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w:t>
      </w:r>
      <w:proofErr w:type="gramStart"/>
      <w:r>
        <w:rPr>
          <w:color w:val="808080"/>
          <w:sz w:val="18"/>
        </w:rPr>
        <w:t>20  —</w:t>
      </w:r>
      <w:proofErr w:type="gramEnd"/>
      <w:r>
        <w:rPr>
          <w:color w:val="808080"/>
          <w:sz w:val="18"/>
        </w:rPr>
        <w:t xml:space="preserve">  February 17, </w:t>
      </w:r>
      <w:proofErr w:type="gramStart"/>
      <w:r>
        <w:rPr>
          <w:color w:val="808080"/>
          <w:sz w:val="18"/>
        </w:rPr>
        <w:t>2026  23</w:t>
      </w:r>
      <w:proofErr w:type="gramEnd"/>
      <w:r>
        <w:rPr>
          <w:color w:val="808080"/>
          <w:sz w:val="18"/>
        </w:rPr>
        <w:t>:45</w:t>
      </w:r>
    </w:p>
    <w:p w14:paraId="5BC085E5" w14:textId="3666FD21" w:rsidR="00E91FC1" w:rsidRDefault="00000000">
      <w:pPr>
        <w:spacing w:before="240" w:after="160" w:line="240" w:lineRule="auto"/>
        <w:jc w:val="both"/>
      </w:pPr>
      <w:r>
        <w:rPr>
          <w:b/>
        </w:rPr>
        <w:t>Abstract</w:t>
      </w:r>
      <w:r>
        <w:t xml:space="preserve">: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For developing countries with abundant energy but narrow export baskets, exporting </w:t>
      </w:r>
      <w:proofErr w:type="gramStart"/>
      <w:r>
        <w:t>compute</w:t>
      </w:r>
      <w:proofErr w:type="gramEnd"/>
      <w:r>
        <w:t xml:space="preserve"> opens a new entry point in the global economy, converting natural resource</w:t>
      </w:r>
      <w:r w:rsidR="002800E1">
        <w:t>s</w:t>
      </w:r>
      <w:r>
        <w:t xml:space="preserv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proofErr w:type="gramStart"/>
      <w:r>
        <w:t>compute</w:t>
      </w:r>
      <w:proofErr w:type="gramEnd"/>
      <w:r>
        <w:t xml:space="preserv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79018EF3" w:rsidR="00E91FC1" w:rsidRDefault="00965A67">
      <w:pPr>
        <w:spacing w:after="160"/>
        <w:jc w:val="both"/>
      </w:pPr>
      <w:r>
        <w:t>Demand for computational resources is driven by the expansion of artificial intelligence. The computation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entire electricity consumption of France—a share projected to more than double by 2030 (</w:t>
      </w:r>
      <w:hyperlink w:anchor="IEA2025" w:history="1">
        <w:r w:rsidR="00E91FC1">
          <w:rPr>
            <w:color w:val="1F3864"/>
            <w:u w:val="single"/>
          </w:rPr>
          <w:t>IEA 2025</w:t>
        </w:r>
      </w:hyperlink>
      <w:r>
        <w:t>). AI-oriented facilities are qualitatively different from traditional cloud or enterprise data centers. They deploy thousands of GPUs at power densities of 40–100 kW per rack (versus 5–10 kW in conventional facilities</w:t>
      </w:r>
      <w:proofErr w:type="gramStart"/>
      <w:r>
        <w:t>), and</w:t>
      </w:r>
      <w:proofErr w:type="gramEnd"/>
      <w:r>
        <w:t xml:space="preserve"> can consume over 500,000 gallons of cooling water per day (</w:t>
      </w:r>
      <w:bookmarkStart w:id="1" w:name="TurnerLee2025txt"/>
      <w:r>
        <w:fldChar w:fldCharType="begin"/>
      </w:r>
      <w:r>
        <w:instrText>HYPERLINK \l "TurnerLee2025"</w:instrText>
      </w:r>
      <w:r>
        <w:fldChar w:fldCharType="separate"/>
      </w:r>
      <w:r>
        <w:rPr>
          <w:color w:val="1F3864"/>
          <w:u w:val="single"/>
        </w:rPr>
        <w:t>Turner Lee and West 2025</w:t>
      </w:r>
      <w:r>
        <w:fldChar w:fldCharType="end"/>
      </w:r>
      <w:bookmarkEnd w:id="1"/>
      <w:r>
        <w:t>). This power intensity makes electricity</w:t>
      </w:r>
      <w:r w:rsidR="0062682B">
        <w:t xml:space="preserve"> </w:t>
      </w:r>
      <w:r>
        <w:t>cost the dominant locational factor for AI compute.</w:t>
      </w:r>
    </w:p>
    <w:p w14:paraId="6EF14D78" w14:textId="77777777" w:rsidR="00E91FC1" w:rsidRDefault="00000000">
      <w:pPr>
        <w:spacing w:after="160"/>
        <w:jc w:val="both"/>
      </w:pPr>
      <w:r>
        <w:t xml:space="preserve">This surge in demand for computation creates a new type of export opportunity. This paper refers to converting cheap electricity into exportable </w:t>
      </w:r>
      <w:proofErr w:type="gramStart"/>
      <w:r>
        <w:t>compute</w:t>
      </w:r>
      <w:proofErr w:type="gramEnd"/>
      <w:r>
        <w:t xml:space="preserve"> services </w:t>
      </w:r>
      <w:proofErr w:type="spellStart"/>
      <w:r>
        <w:t>as</w:t>
      </w:r>
      <w:r>
        <w:rPr>
          <w:i/>
        </w:rPr>
        <w:t>FLOP</w:t>
      </w:r>
      <w:proofErr w:type="spellEnd"/>
      <w:r>
        <w:rPr>
          <w:i/>
        </w:rPr>
        <w:t xml:space="preserve"> exporting</w:t>
      </w:r>
      <w:r>
        <w:t xml:space="preserve">—the production of </w:t>
      </w:r>
      <w:proofErr w:type="gramStart"/>
      <w:r>
        <w:t>compute</w:t>
      </w:r>
      <w:proofErr w:type="gramEnd"/>
      <w:r>
        <w:t xml:space="preserv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 xml:space="preserve">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w:t>
      </w:r>
      <w:proofErr w:type="gramStart"/>
      <w:r>
        <w:t>compute</w:t>
      </w:r>
      <w:proofErr w:type="gramEnd"/>
      <w:r>
        <w:t xml:space="preserv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 examines compute governance and the geography of AI infrastructure (</w:t>
      </w:r>
      <w:hyperlink w:anchor="Sastry2024" w:history="1">
        <w:r w:rsidR="00E91FC1">
          <w:rPr>
            <w:color w:val="1F3864"/>
            <w:u w:val="single"/>
          </w:rPr>
          <w:t>Sastry, Heim, et al. 2024</w:t>
        </w:r>
      </w:hyperlink>
      <w:r>
        <w:t xml:space="preserve">, </w:t>
      </w:r>
      <w:hyperlink w:anchor="Lehdonvirta2024" w:history="1">
        <w:proofErr w:type="spellStart"/>
        <w:r w:rsidR="00E91FC1">
          <w:rPr>
            <w:color w:val="1F3864"/>
            <w:u w:val="single"/>
          </w:rPr>
          <w:t>Lehdonvirta</w:t>
        </w:r>
        <w:proofErr w:type="spellEnd"/>
        <w:r w:rsidR="00E91FC1">
          <w:rPr>
            <w:color w:val="1F3864"/>
            <w:u w:val="single"/>
          </w:rPr>
          <w:t>, Wu, and Hawkins 2024</w:t>
        </w:r>
      </w:hyperlink>
      <w:r>
        <w:t xml:space="preserve">, </w:t>
      </w:r>
      <w:hyperlink w:anchor="Pilz2025" w:history="1">
        <w:r w:rsidR="00E91FC1">
          <w:rPr>
            <w:color w:val="1F3864"/>
            <w:u w:val="single"/>
          </w:rPr>
          <w:t>Pilz, Mahmood, and Heim 2025</w:t>
        </w:r>
      </w:hyperlink>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w:t>
      </w:r>
      <w:r>
        <w:lastRenderedPageBreak/>
        <w:t>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 xml:space="preserve">Goldfarb and </w:t>
      </w:r>
      <w:proofErr w:type="spellStart"/>
      <w:r>
        <w:rPr>
          <w:color w:val="1F3864"/>
          <w:u w:val="single"/>
        </w:rPr>
        <w:t>Trefler</w:t>
      </w:r>
      <w:proofErr w:type="spellEnd"/>
      <w:r>
        <w:rPr>
          <w:color w:val="1F3864"/>
          <w:u w:val="single"/>
        </w:rPr>
        <w:t xml:space="preserve"> (2018)</w:t>
      </w:r>
      <w:r>
        <w:fldChar w:fldCharType="end"/>
      </w:r>
      <w:bookmarkEnd w:id="3"/>
      <w:r>
        <w:t xml:space="preserve"> argue that AI shifts comparative advantage toward countries with data, human capital, and institutional capacity. The model introduces a complementary mechanism—comparative advantage in </w:t>
      </w:r>
      <w:proofErr w:type="gramStart"/>
      <w:r>
        <w:t>compute</w:t>
      </w:r>
      <w:proofErr w:type="gramEnd"/>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proofErr w:type="spellStart"/>
      <w:r>
        <w:rPr>
          <w:color w:val="1F3864"/>
          <w:u w:val="single"/>
        </w:rPr>
        <w:t>Limão</w:t>
      </w:r>
      <w:proofErr w:type="spellEnd"/>
      <w:r>
        <w:rPr>
          <w:color w:val="1F3864"/>
          <w:u w:val="single"/>
        </w:rPr>
        <w:t xml:space="preserve">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 xml:space="preserve">Oltmanns, </w:t>
      </w:r>
      <w:proofErr w:type="spellStart"/>
      <w:r>
        <w:rPr>
          <w:color w:val="1F3864"/>
          <w:u w:val="single"/>
        </w:rPr>
        <w:t>Krcmarik</w:t>
      </w:r>
      <w:proofErr w:type="spellEnd"/>
      <w:r>
        <w:rPr>
          <w:color w:val="1F3864"/>
          <w:u w:val="single"/>
        </w:rPr>
        <w:t>, and Gatti (2021)</w:t>
      </w:r>
      <w:r>
        <w:fldChar w:fldCharType="end"/>
      </w:r>
      <w:bookmarkEnd w:id="7"/>
      <w:r>
        <w:t xml:space="preserve"> model data center location as a function of electricity prices, </w:t>
      </w:r>
      <w:r>
        <w:lastRenderedPageBreak/>
        <w:t xml:space="preserve">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proofErr w:type="spellStart"/>
      <w:r>
        <w:rPr>
          <w:color w:val="1F3864"/>
          <w:u w:val="single"/>
        </w:rPr>
        <w:t>Helpman</w:t>
      </w:r>
      <w:proofErr w:type="spellEnd"/>
      <w:r>
        <w:rPr>
          <w:color w:val="1F3864"/>
          <w:u w:val="single"/>
        </w:rPr>
        <w:t>,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w:t>
      </w:r>
      <w:proofErr w:type="gramStart"/>
      <w:r>
        <w:t>compute</w:t>
      </w:r>
      <w:proofErr w:type="gramEnd"/>
      <w:r>
        <w:t xml:space="preserv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w:t>
      </w:r>
      <w:proofErr w:type="gramStart"/>
      <w:r>
        <w:t>compute</w:t>
      </w:r>
      <w:proofErr w:type="gramEnd"/>
      <w:r>
        <w:t xml:space="preserve"> is well-suited for </w:t>
      </w:r>
      <w:proofErr w:type="gramStart"/>
      <w:r>
        <w:t>regulation</w:t>
      </w:r>
      <w:proofErr w:type="gramEnd"/>
      <w:r>
        <w:t xml:space="preserve">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proofErr w:type="spellStart"/>
        <w:r w:rsidR="00E91FC1">
          <w:rPr>
            <w:color w:val="1F3864"/>
            <w:u w:val="single"/>
          </w:rPr>
          <w:t>Lehdonvirta</w:t>
        </w:r>
        <w:proofErr w:type="spellEnd"/>
        <w:r w:rsidR="00E91FC1">
          <w:rPr>
            <w:color w:val="1F3864"/>
            <w:u w:val="single"/>
          </w:rPr>
          <w:t>,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w:t>
      </w:r>
      <w:r>
        <w:fldChar w:fldCharType="end"/>
      </w:r>
      <w:bookmarkEnd w:id="11"/>
      <w:r>
        <w:t xml:space="preserve"> project that AI data center power demand could reach 327 GW by 2030 and that domestic power shortages may push </w:t>
      </w:r>
      <w:proofErr w:type="gramStart"/>
      <w:r>
        <w:t>compute</w:t>
      </w:r>
      <w:proofErr w:type="gramEnd"/>
      <w:r>
        <w:t xml:space="preserve"> infrastructure abroad.</w:t>
      </w:r>
    </w:p>
    <w:p w14:paraId="22E89945" w14:textId="77777777" w:rsidR="00E91FC1" w:rsidRDefault="00000000">
      <w:pPr>
        <w:pStyle w:val="Heading1"/>
      </w:pPr>
      <w:r>
        <w:rPr>
          <w:rFonts w:ascii="Times New Roman" w:hAnsi="Times New Roman"/>
          <w:color w:val="2F5496"/>
        </w:rPr>
        <w:t>3. Model Setup</w:t>
      </w:r>
    </w:p>
    <w:p w14:paraId="504CB845" w14:textId="04A40B99" w:rsidR="00E91FC1" w:rsidRDefault="00000000">
      <w:pPr>
        <w:spacing w:after="160"/>
        <w:jc w:val="both"/>
      </w:pPr>
      <w:r>
        <w:t xml:space="preserve">The existing literature documents where </w:t>
      </w:r>
      <w:proofErr w:type="gramStart"/>
      <w:r>
        <w:t>compute</w:t>
      </w:r>
      <w:proofErr w:type="gramEnd"/>
      <w:r>
        <w:t xml:space="preserv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w:t>
      </w:r>
      <w:proofErr w:type="gramStart"/>
      <w:r>
        <w:t>compute</w:t>
      </w:r>
      <w:proofErr w:type="gramEnd"/>
      <w:r>
        <w:t xml:space="preserve"> at scale takes place in data centers that house thousands of GPU-equipped servers. Consider </w:t>
      </w:r>
      <m:oMath>
        <m:r>
          <w:rPr>
            <w:rFonts w:ascii="Cambria Math" w:hAnsi="Cambria Math"/>
          </w:rPr>
          <m:t>N</m:t>
        </m:r>
      </m:oMath>
      <w:r>
        <w:t xml:space="preserve"> countries, each capable of producing </w:t>
      </w:r>
      <w:proofErr w:type="gramStart"/>
      <w:r>
        <w:t>compute</w:t>
      </w:r>
      <w:proofErr w:type="gramEnd"/>
      <w:r>
        <w:t xml:space="preserve"> </w:t>
      </w:r>
      <w:r>
        <w:lastRenderedPageBreak/>
        <w:t xml:space="preserve">services. The unit cost of producing one GPU-hour of </w:t>
      </w:r>
      <w:proofErr w:type="gramStart"/>
      <w:r>
        <w:t>compute</w:t>
      </w:r>
      <w:proofErr w:type="gramEnd"/>
      <w:r>
        <w:t xml:space="preserve"> in country </w:t>
      </w:r>
      <m:oMath>
        <m:r>
          <w:rPr>
            <w:rFonts w:ascii="Cambria Math" w:hAnsi="Cambria Math"/>
          </w:rPr>
          <m:t>j</m:t>
        </m:r>
      </m:oMath>
      <w:r>
        <w:t xml:space="preserve"> depends on three </w:t>
      </w:r>
      <w:proofErr w:type="gramStart"/>
      <w:r>
        <w:t>inputs—</w:t>
      </w:r>
      <w:proofErr w:type="gramEnd"/>
      <w:r>
        <w:t>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r>
        <w:lastRenderedPageBreak/>
        <w:t/>
      </w:r>
    </w:p>
    <w:p w14:paraId="1ABEC838" w14:textId="77777777" w:rsidR="00E91FC1" w:rsidRDefault="00000000">
      <w:pPr>
        <w:spacing w:after="160"/>
        <w:jc w:val="both"/>
      </w:pPr>
      <w:r>
        <w:t xml:space="preserve">Countries export goods intensive in their abundant factors (Ohlin 1933).</w:t>
      </w:r>
      <w:proofErr w:type="gramStart"/>
      <w:r>
        <w:t/>
      </w:r>
      <w:proofErr w:type="gramEnd"/>
      <w:r>
        <w:t xml:space="preserve"> For compute production, the relevant endowment is not electricity per se but the natural resources that generate it—hydropower reservoirs (Kyrgyzstan, Ethiopia, Georgia), oil and gas (Iran, 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w:t>
      </w:r>
      <w:proofErr w:type="gramStart"/>
      <w:r>
        <w:t>compute</w:t>
      </w:r>
      <w:proofErr w:type="gramEnd"/>
      <w:r>
        <w:t xml:space="preserve">. When a </w:t>
      </w:r>
      <w:proofErr w:type="gramStart"/>
      <w:r>
        <w:t>country</w:t>
      </w:r>
      <w:proofErr w:type="gramEnd"/>
      <w:r>
        <w:t xml:space="preserve"> purchases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lastRenderedPageBreak/>
        <w:t xml:space="preserve">The </w:t>
      </w:r>
      <w:proofErr w:type="gramStart"/>
      <w:r>
        <w:t>delivered</w:t>
      </w:r>
      <w:proofErr w:type="gramEnd"/>
      <w:r>
        <w:t xml:space="preserve">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w:t>
      </w:r>
      <w:proofErr w:type="gramStart"/>
      <w:r>
        <w:t>power, and</w:t>
      </w:r>
      <w:proofErr w:type="gramEnd"/>
      <w:r>
        <w:t xml:space="preserve"> falls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 xml:space="preserve">Hummels and </w:t>
      </w:r>
      <w:proofErr w:type="spellStart"/>
      <w:r>
        <w:rPr>
          <w:color w:val="1F3864"/>
          <w:u w:val="single"/>
        </w:rPr>
        <w:t>Schaur</w:t>
      </w:r>
      <w:proofErr w:type="spellEnd"/>
      <w:r>
        <w:rPr>
          <w:color w:val="1F3864"/>
          <w:u w:val="single"/>
        </w:rPr>
        <w:t xml:space="preserve">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w:t>
      </w:r>
      <w:proofErr w:type="gramStart"/>
      <w:r>
        <w:t>delivered</w:t>
      </w:r>
      <w:proofErr w:type="gramEnd"/>
      <w:r>
        <w:t xml:space="preserve">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w:t>
      </w:r>
      <w:proofErr w:type="spellStart"/>
      <w:proofErr w:type="gramStart"/>
      <w:r>
        <w:t>compute</w:t>
      </w:r>
      <w:proofErr w:type="spellEnd"/>
      <w:proofErr w:type="gramEnd"/>
      <w:r>
        <w:t xml:space="preserv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w:t>
      </w:r>
      <w:proofErr w:type="gramStart"/>
      <w:r>
        <w:t>compute</w:t>
      </w:r>
      <w:proofErr w:type="gramEnd"/>
      <w:r>
        <w:t xml:space="preserve"> purchased by buyer </w:t>
      </w:r>
      <m:oMath>
        <m:r>
          <w:rPr>
            <w:rFonts w:ascii="Cambria Math" w:hAnsi="Cambria Math"/>
          </w:rPr>
          <m:t>k</m:t>
        </m:r>
      </m:oMath>
      <w:r>
        <w:t xml:space="preserve">. The paper measures </w:t>
      </w:r>
      <w:proofErr w:type="gramStart"/>
      <w:r>
        <w:t>compute</w:t>
      </w:r>
      <w:proofErr w:type="gramEnd"/>
      <w:r>
        <w:t xml:space="preserv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lastRenderedPageBreak/>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w:t>
      </w:r>
      <w:proofErr w:type="gramStart"/>
      <w:r>
        <w:t>compute</w:t>
      </w:r>
      <w:proofErr w:type="gramEnd"/>
      <w:r>
        <w:t xml:space="preserve"> that is fully latency-insensitive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w:t>
      </w:r>
      <w:proofErr w:type="gramStart"/>
      <w:r>
        <w:t>delivered</w:t>
      </w:r>
      <w:proofErr w:type="gramEnd"/>
      <w:r>
        <w:t xml:space="preserve">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measured in GPU-hours per period, representing the maximum volume of </w:t>
      </w:r>
      <w:proofErr w:type="gramStart"/>
      <w:r>
        <w:t>compute</w:t>
      </w:r>
      <w:proofErr w:type="gramEnd"/>
      <w:r>
        <w:t xml:space="preserv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w:t>
      </w:r>
      <w:proofErr w:type="gramStart"/>
      <w:r>
        <w:t>.</w:t>
      </w:r>
      <w:proofErr w:type="gramEnd"/>
      <w:r>
        <w:t xml:space="preserv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w:t>
      </w:r>
      <w:proofErr w:type="gramStart"/>
      <w:r>
        <w:t>marginal exporter’s</w:t>
      </w:r>
      <w:proofErr w:type="gramEnd"/>
      <w:r>
        <w:t xml:space="preserve">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lastRenderedPageBreak/>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w:t>
      </w:r>
      <w:proofErr w:type="gramStart"/>
      <w:r>
        <w:t>delivered</w:t>
      </w:r>
      <w:proofErr w:type="gramEnd"/>
      <w:r>
        <w:t xml:space="preserve">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w:t>
      </w:r>
      <w:proofErr w:type="gramStart"/>
      <w:r>
        <w:t>hour of</w:t>
      </w:r>
      <w:proofErr w:type="gramEnd"/>
      <w:r>
        <w:t xml:space="preserve">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 xml:space="preserve">This section derives the formal properties of the capacity-constrained equilibrium defined in Section 3. Full derivations appear in Appendix B.</w:t>
      </w:r>
      <w:proofErr w:type="gramStart"/>
      <w:r>
        <w:t/>
      </w:r>
      <w:proofErr w:type="gramEnd"/>
      <w:r>
        <w:t xml:space="preserve"/>
      </w:r>
    </w:p>
    <w:p w14:paraId="21EB6620" w14:textId="77777777" w:rsidR="00E91FC1" w:rsidRDefault="00000000">
      <w:pPr>
        <w:spacing w:after="160"/>
        <w:jc w:val="both"/>
      </w:pPr>
      <w:r>
        <w:rPr>
          <w:b/>
        </w:rPr>
        <w:t xml:space="preserve">Proposition 1 (Country Taxonomy). </w:t>
      </w:r>
      <w:r>
        <w:t>In equilibrium, each country falls into exactly one of three regimes: (</w:t>
      </w:r>
      <w:proofErr w:type="spellStart"/>
      <w:r>
        <w:t>i</w:t>
      </w:r>
      <w:proofErr w:type="spellEnd"/>
      <w:r>
        <w:t>)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lastRenderedPageBreak/>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inference to proximate demand centers, this cost advantage dominates the latency markup, so the same country wins the inference competition. Since training has no distance penalty while inference does, every </w:t>
      </w:r>
      <w:r>
        <w:lastRenderedPageBreak/>
        <w:t>country that exports training is also competitive in inference within its geographicneighborhood,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proofErr w:type="spellStart"/>
      <w:r>
        <w:rPr>
          <w:color w:val="1F3864"/>
          <w:u w:val="single"/>
        </w:rPr>
        <w:t>GlobalPetrolPrices</w:t>
      </w:r>
      <w:proofErr w:type="spellEnd"/>
      <w:r>
        <w:rPr>
          <w:color w:val="1F3864"/>
          <w:u w:val="single"/>
        </w:rPr>
        <w:t xml:space="preserve"> (2025)</w:t>
      </w:r>
      <w:r>
        <w:fldChar w:fldCharType="end"/>
      </w:r>
      <w:bookmarkEnd w:id="27"/>
      <w:r>
        <w:t xml:space="preserve"> for remaining countries. All prices are converted to USD/kWh </w:t>
      </w:r>
      <w:proofErr w:type="gramStart"/>
      <w:r>
        <w:t>at</w:t>
      </w:r>
      <w:proofErr w:type="gramEnd"/>
      <w:r>
        <w:t xml:space="preserve">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proofErr w:type="spellStart"/>
      <w:r>
        <w:fldChar w:fldCharType="begin"/>
      </w:r>
      <w:r>
        <w:instrText>HYPERLINK \l "Hersbach2020"</w:instrText>
      </w:r>
      <w:r>
        <w:fldChar w:fldCharType="separate"/>
      </w:r>
      <w:r>
        <w:rPr>
          <w:color w:val="1F3864"/>
          <w:u w:val="single"/>
        </w:rPr>
        <w:t>Hersbach</w:t>
      </w:r>
      <w:proofErr w:type="spellEnd"/>
      <w:r>
        <w:rPr>
          <w:color w:val="1F3864"/>
          <w:u w:val="single"/>
        </w:rPr>
        <w:t xml:space="preserve">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xml:space="preserve">). The moderate explanatory power reflects the fact that construction costs depend on factors such as labor markets, building codes, and imported-materials logistics that </w:t>
      </w:r>
      <w:r>
        <w:lastRenderedPageBreak/>
        <w:t>these variables capture imperfectly. Since construction is only 3–6% of total FLOP costs, imputation error has limited impact on cost rankings.</w:t>
      </w:r>
      <w:r>
        <w:rPr>
          <w:rStyle w:val="FootnoteReference"/>
        </w:rPr>
        <w:footnoteReference w:id="12"/>
      </w:r>
      <w:r>
        <w:t xml:space="preserve"> Costs are amortized over 15 years. 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 xml:space="preserve">Inter-country round-trip latency is measured using </w:t>
      </w:r>
      <w:proofErr w:type="spellStart"/>
      <w:r>
        <w:t>WonderNetwork’s</w:t>
      </w:r>
      <w:proofErr w:type="spellEnd"/>
      <w:r>
        <w:t xml:space="preserve"> global ping dataset (</w:t>
      </w:r>
      <w:bookmarkStart w:id="31" w:name="WonderNetwork2024txt"/>
      <w:proofErr w:type="spellStart"/>
      <w:r>
        <w:fldChar w:fldCharType="begin"/>
      </w:r>
      <w:r>
        <w:instrText>HYPERLINK \l "WonderNetwork2024"</w:instrText>
      </w:r>
      <w:r>
        <w:fldChar w:fldCharType="separate"/>
      </w:r>
      <w:r>
        <w:rPr>
          <w:color w:val="1F3864"/>
          <w:u w:val="single"/>
        </w:rPr>
        <w:t>WonderNetwork</w:t>
      </w:r>
      <w:proofErr w:type="spellEnd"/>
      <w:r>
        <w:rPr>
          <w:color w:val="1F3864"/>
          <w:u w:val="single"/>
        </w:rPr>
        <w:t xml:space="preserve"> 2024</w:t>
      </w:r>
      <w:r>
        <w:fldChar w:fldCharType="end"/>
      </w:r>
      <w:bookmarkEnd w:id="31"/>
      <w:r>
        <w:t xml:space="preserve">). For each country pair, the median round-trip time (RTT) in milliseconds is used. Domestic latency defaults to 5 </w:t>
      </w:r>
      <w:proofErr w:type="spellStart"/>
      <w:r>
        <w:t>ms</w:t>
      </w:r>
      <w:proofErr w:type="spellEnd"/>
      <w:r>
        <w:t xml:space="preserve">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 xml:space="preserve">Barroso, </w:t>
        </w:r>
        <w:proofErr w:type="spellStart"/>
        <w:r w:rsidR="00E91FC1">
          <w:rPr>
            <w:color w:val="1F3864"/>
            <w:u w:val="single"/>
          </w:rPr>
          <w:t>Hölzle</w:t>
        </w:r>
        <w:proofErr w:type="spellEnd"/>
        <w:r w:rsidR="00E91FC1">
          <w:rPr>
            <w:color w:val="1F3864"/>
            <w:u w:val="single"/>
          </w:rPr>
          <w:t>,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 xml:space="preserve">Barroso, </w:t>
        </w:r>
        <w:proofErr w:type="spellStart"/>
        <w:r w:rsidR="00E91FC1">
          <w:rPr>
            <w:color w:val="1F3864"/>
            <w:u w:val="single"/>
          </w:rPr>
          <w:t>Hölzle</w:t>
        </w:r>
        <w:proofErr w:type="spellEnd"/>
        <w:r w:rsidR="00E91FC1">
          <w:rPr>
            <w:color w:val="1F3864"/>
            <w:u w:val="single"/>
          </w:rPr>
          <w:t>,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 xml:space="preserve">Barroso, </w:t>
      </w:r>
      <w:proofErr w:type="spellStart"/>
      <w:r>
        <w:rPr>
          <w:color w:val="1F3864"/>
          <w:u w:val="single"/>
        </w:rPr>
        <w:t>Hölzle</w:t>
      </w:r>
      <w:proofErr w:type="spellEnd"/>
      <w:r>
        <w:rPr>
          <w:color w:val="1F3864"/>
          <w:u w:val="single"/>
        </w:rPr>
        <w:t>, and Ranganathan 2018</w:t>
      </w:r>
      <w:r>
        <w:fldChar w:fldCharType="end"/>
      </w:r>
      <w:bookmarkEnd w:id="33"/>
      <w:r>
        <w:t>).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w:t>
      </w:r>
      <w:proofErr w:type="spellStart"/>
      <w:r>
        <w:t>hr</w:t>
      </w:r>
      <w:proofErr w:type="spellEnd"/>
      <w:r>
        <w:t xml:space="preserve"> to unit costs, substantially eroding the thin cost advantages documented in Table A2. This assumption thus works in favor of </w:t>
      </w:r>
      <w:proofErr w:type="gramStart"/>
      <w:r>
        <w:lastRenderedPageBreak/>
        <w:t>developing-country</w:t>
      </w:r>
      <w:proofErr w:type="gramEnd"/>
      <w:r>
        <w:t xml:space="preserve">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a latency difference of 100 ms (roughly the 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proofErr w:type="gramStart"/>
      <w:r>
        <w:t>Compute</w:t>
      </w:r>
      <w:proofErr w:type="gramEnd"/>
      <w:r>
        <w:t xml:space="preserv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w:t>
      </w:r>
      <w:r>
        <w:lastRenderedPageBreak/>
        <w:t xml:space="preserve">Canada (3%), and Australia (2%)) account for 77% of global demand. MW capacity captures the scale of </w:t>
      </w:r>
      <w:proofErr w:type="gramStart"/>
      <w:r>
        <w:t>compute</w:t>
      </w:r>
      <w:proofErr w:type="gramEnd"/>
      <w:r>
        <w:t xml:space="preserve"> infrastructure more accurately than facility counts. Chinese data centers, though fewer in number (449 in </w:t>
      </w:r>
      <w:bookmarkStart w:id="37" w:name="Cloudscene2025txt"/>
      <w:r>
        <w:fldChar w:fldCharType="begin"/>
      </w:r>
      <w:r>
        <w:instrText>HYPERLINK \l "Cloudscene2025"</w:instrText>
      </w:r>
      <w:r>
        <w:fldChar w:fldCharType="separate"/>
      </w:r>
      <w:proofErr w:type="spellStart"/>
      <w:r>
        <w:rPr>
          <w:color w:val="1F3864"/>
          <w:u w:val="single"/>
        </w:rPr>
        <w:t>Cloudscene</w:t>
      </w:r>
      <w:proofErr w:type="spellEnd"/>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in the spirit of the multi-country Ricardian tests of </w:t>
      </w:r>
      <w:bookmarkStart w:id="40" w:name="CDK2012txt"/>
      <w:r>
        <w:fldChar w:fldCharType="begin"/>
      </w:r>
      <w:r>
        <w:instrText>HYPERLINK \l "CDK2012"</w:instrText>
      </w:r>
      <w:r>
        <w:fldChar w:fldCharType="separate"/>
      </w:r>
      <w:proofErr w:type="spellStart"/>
      <w:r>
        <w:rPr>
          <w:color w:val="1F3864"/>
          <w:u w:val="single"/>
        </w:rPr>
        <w:t>Costinot</w:t>
      </w:r>
      <w:proofErr w:type="spellEnd"/>
      <w:r>
        <w:rPr>
          <w:color w:val="1F3864"/>
          <w:u w:val="single"/>
        </w:rPr>
        <w:t xml:space="preserve">, Donaldson, and </w:t>
      </w:r>
      <w:proofErr w:type="spellStart"/>
      <w:r>
        <w:rPr>
          <w:color w:val="1F3864"/>
          <w:u w:val="single"/>
        </w:rPr>
        <w:t>Komunjer</w:t>
      </w:r>
      <w:proofErr w:type="spellEnd"/>
      <w:r>
        <w:rPr>
          <w:color w:val="1F3864"/>
          <w:u w:val="single"/>
        </w:rPr>
        <w:t xml:space="preserve">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($1.11/hr) and Kyrgyzstan ($1.13/hr).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w:t>
      </w:r>
      <w:proofErr w:type="spellStart"/>
      <w:r>
        <w:t>sts</w:t>
      </w:r>
      <w:proofErr w:type="spellEnd"/>
      <w:r>
        <w:t>, ranging from $0.033/</w:t>
      </w:r>
      <w:proofErr w:type="spellStart"/>
      <w:r>
        <w:t>hr</w:t>
      </w:r>
      <w:proofErr w:type="spellEnd"/>
      <w:r>
        <w:t xml:space="preserve"> (China) to </w:t>
      </w:r>
      <w:r>
        <w:lastRenderedPageBreak/>
        <w:t>$0.078/</w:t>
      </w:r>
      <w:proofErr w:type="spellStart"/>
      <w:r>
        <w:t>hr</w:t>
      </w:r>
      <w:proofErr w:type="spellEnd"/>
      <w:r>
        <w:t xml:space="preserve"> (Japan, Singapore). The Nordics benefit from low PUE (1.08–1.10). At the expensive end, Ireland ($1.28/</w:t>
      </w:r>
      <w:proofErr w:type="spellStart"/>
      <w:r>
        <w:t>hr</w:t>
      </w:r>
      <w:proofErr w:type="spellEnd"/>
      <w:r>
        <w:t>) and Greenland ($1.32/</w:t>
      </w:r>
      <w:proofErr w:type="spellStart"/>
      <w:r>
        <w:t>hr</w:t>
      </w:r>
      <w:proofErr w:type="spellEnd"/>
      <w:r>
        <w:t>)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This adjustment is applied to 13 countries whose retail electricity prices fall below estimated LRMC. Hydropower producers (Kyrgyzstan, Canada, 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w:t>
      </w:r>
      <w:proofErr w:type="spellStart"/>
      <w:r>
        <w:t>hr</w:t>
      </w:r>
      <w:proofErr w:type="spellEnd"/>
      <w:r>
        <w:t>), Canada ($1.59/</w:t>
      </w:r>
      <w:proofErr w:type="spellStart"/>
      <w:r>
        <w:t>hr</w:t>
      </w:r>
      <w:proofErr w:type="spellEnd"/>
      <w:r>
        <w:t>), Ethiopia ($1.59/</w:t>
      </w:r>
      <w:proofErr w:type="spellStart"/>
      <w:r>
        <w:t>hr</w:t>
      </w:r>
      <w:proofErr w:type="spellEnd"/>
      <w:r>
        <w:t>), Kosovo ($1.60/</w:t>
      </w:r>
      <w:proofErr w:type="spellStart"/>
      <w:r>
        <w:t>hr</w:t>
      </w:r>
      <w:proofErr w:type="spellEnd"/>
      <w:r>
        <w:t>), and Tajikistan ($1.60/</w:t>
      </w:r>
      <w:proofErr w:type="spellStart"/>
      <w:r>
        <w:t>hr</w:t>
      </w:r>
      <w:proofErr w:type="spellEnd"/>
      <w:r>
        <w:t xml:space="preserve">). A sovereignty premium </w:t>
      </w:r>
      <m:oMath>
        <m:r>
          <w:rPr>
            <w:rFonts w:ascii="Cambria Math" w:hAnsi="Cambria Math"/>
          </w:rPr>
          <m:t>λ</m:t>
        </m:r>
        <m:r>
          <m:rPr>
            <m:sty m:val="p"/>
          </m:rPr>
          <w:rPr>
            <w:rFonts w:ascii="Cambria Math" w:hAnsi="Cambria Math"/>
          </w:rPr>
          <m:t xml:space="preserve"> = 10%</m:t>
        </m:r>
      </m:oMath>
      <w:r>
        <w:t xml:space="preserve"> shifts </w:t>
      </w:r>
      <w:proofErr w:type="gramStart"/>
      <w:r>
        <w:t>the majority of</w:t>
      </w:r>
      <w:proofErr w:type="gramEnd"/>
      <w:r>
        <w:t xml:space="preserve"> countries to </w:t>
      </w:r>
      <w:r>
        <w:rPr>
          <w:i/>
        </w:rPr>
        <w:t>domestic</w:t>
      </w:r>
      <w:r>
        <w:t xml:space="preserve"> production. The sovereignty premium is particularly powerful for inference, since the latency markup within Europe is moderate (10–40 </w:t>
      </w:r>
      <w:proofErr w:type="spellStart"/>
      <w:r>
        <w:t>ms</w:t>
      </w:r>
      <w:proofErr w:type="spellEnd"/>
      <w:r>
        <w:t xml:space="preserve">,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rather than alter the cost-recovery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w:t>
      </w:r>
      <w:proofErr w:type="gramStart"/>
      <w:r>
        <w:t>premia</w:t>
      </w:r>
      <w:proofErr w:type="gramEnd"/>
      <w:r>
        <w:t xml:space="preserve">.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w:t>
      </w:r>
      <w:proofErr w:type="gramStart"/>
      <w:r>
        <w:t>premia</w:t>
      </w:r>
      <w:proofErr w:type="gramEnd"/>
      <w:r>
        <w:t xml:space="preserve">.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w:t>
      </w:r>
      <w:r>
        <w:lastRenderedPageBreak/>
        <w:t xml:space="preserve">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t xml:space="preserve">Trade flows under capacity constraints. </w:t>
      </w:r>
      <w:proofErr w:type="gramStart"/>
      <w:r>
        <w:t>Weighting</w:t>
      </w:r>
      <w:proofErr w:type="gramEnd"/>
      <w:r>
        <w:t xml:space="preserve">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Kyrgyzstan ($0.014/</w:t>
      </w:r>
      <w:proofErr w:type="spellStart"/>
      <w:r>
        <w:t>hr</w:t>
      </w:r>
      <w:proofErr w:type="spellEnd"/>
      <w:r>
        <w:t xml:space="preserve">),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 xml:space="preserve">Doubling the sovereignty premium to 20% shifts 1 additional country to domestic training production, reducing the share of global training demand available to foreign producers from 0% to 0%. At 20%, nearly all countries produce training domestically, and the export market for training effectively disappears. Inference export revenue is </w:t>
      </w:r>
      <w:r>
        <w:lastRenderedPageBreak/>
        <w:t xml:space="preserve">more resilient to sovereignty </w:t>
      </w:r>
      <w:proofErr w:type="gramStart"/>
      <w:r>
        <w:t>premia</w:t>
      </w:r>
      <w:proofErr w:type="gramEnd"/>
      <w:r>
        <w:t xml:space="preserve"> because the latency advantage of proximity partially insulates regional hubs.</w:t>
      </w:r>
    </w:p>
    <w:p w14:paraId="6FD2319B" w14:textId="77777777" w:rsidR="00E91FC1" w:rsidRDefault="00000000">
      <w:pPr>
        <w:spacing w:after="160"/>
        <w:jc w:val="both"/>
      </w:pPr>
      <w:r>
        <w:rPr>
          <w:i/>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w:t>
      </w:r>
      <w:proofErr w:type="spellStart"/>
      <w:r>
        <w:t>hr</w:t>
      </w:r>
      <w:proofErr w:type="spellEnd"/>
      <w:r>
        <w:t>). For Germany, inference is sourced from Kosovo (.65/hr) and for France from Kosovo (.66/hr). The United Kingdom produces inference domestically at .66/hr.</w:t>
      </w:r>
      <w:proofErr w:type="spellStart"/>
      <w:r>
        <w:t/>
      </w:r>
      <w:proofErr w:type="spellEnd"/>
      <w:r>
        <w:t/>
      </w:r>
      <w:proofErr w:type="spellStart"/>
      <w:r>
        <w:t/>
      </w:r>
      <w:proofErr w:type="spellEnd"/>
      <w:r>
        <w:t>66/</w:t>
      </w:r>
      <w:proofErr w:type="spellStart"/>
      <w:r>
        <w:t>hr</w:t>
      </w:r>
      <w:proofErr w:type="spellEnd"/>
      <w:r>
        <w:t>). For China, the cheapest inference source is Kyrgyzstan ($1.63/</w:t>
      </w:r>
      <w:proofErr w:type="spellStart"/>
      <w:r>
        <w:t>hr</w:t>
      </w:r>
      <w:proofErr w:type="spellEnd"/>
      <w:r>
        <w:t>),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w:t>
      </w:r>
      <w:proofErr w:type="gramStart"/>
      <w:r>
        <w:t>compute</w:t>
      </w:r>
      <w:proofErr w:type="gramEnd"/>
      <w:r>
        <w:t xml:space="preserv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w:t>
      </w:r>
    </w:p>
    <w:p w14:paraId="57552A7E" w14:textId="272B7764" w:rsidR="00E91FC1" w:rsidRDefault="00000000">
      <w:pPr>
        <w:spacing w:after="160"/>
        <w:jc w:val="both"/>
      </w:pPr>
      <w:r>
        <w:t xml:space="preserve">The EU’s GDPR and AI Act segment the </w:t>
      </w:r>
      <w:proofErr w:type="gramStart"/>
      <w:r>
        <w:t>compute</w:t>
      </w:r>
      <w:proofErr w:type="gramEnd"/>
      <w:r>
        <w:t xml:space="preserv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w:t>
      </w:r>
      <w:r>
        <w:lastRenderedPageBreak/>
        <w:t xml:space="preserve">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w:t>
      </w:r>
      <w:proofErr w:type="gramStart"/>
      <w:r>
        <w:t>replaced by</w:t>
      </w:r>
      <w:proofErr w:type="gramEnd"/>
      <w:r>
        <w:t xml:space="preserve"> countries with stronger institutions and more reliable grids. Although GPUs account for roughly 40 percent of total upfront data center capital expenditure, their short replacement cycle (3 years, compared with 15–25 years for the building shell) means that hardware amortization dominates the per-GPU-hour cost, accounting for over 80 percent of the total.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t>
      </w:r>
      <w:proofErr w:type="gramStart"/>
      <w:r>
        <w:t>water-scarce</w:t>
      </w:r>
      <w:proofErr w:type="gramEnd"/>
      <w:r>
        <w:t>. Liquid cooling reduces water needs but does not eliminate them.</w:t>
      </w:r>
    </w:p>
    <w:p w14:paraId="39F7454A" w14:textId="77777777" w:rsidR="00E91FC1" w:rsidRDefault="00000000">
      <w:pPr>
        <w:spacing w:after="16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w:t>
      </w:r>
      <w:proofErr w:type="gramStart"/>
      <w:r>
        <w:t/>
      </w:r>
      <w:proofErr w:type="gramEnd"/>
      <w:r>
        <w:t xml:space="preserve"> domestic production, forgoing the cost savings from specialization. Developing countries in Central Asia and Africa are likely to follow the EU template, imposing data localization requirements that their small markets cannot efficiently serve. The irony is that the same countries whose cost advantages make them natural FLOP exporters may simultaneously erect sovereignty barriers against importing </w:t>
      </w:r>
      <w:proofErr w:type="gramStart"/>
      <w:r>
        <w:t>compute</w:t>
      </w:r>
      <w:proofErr w:type="gramEnd"/>
      <w:r>
        <w:t xml:space="preserve"> from their neighbors, undermining the regional trade the model predicts would be welfare-improving.</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w:t>
      </w:r>
      <w:r>
        <w:lastRenderedPageBreak/>
        <w:t>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w:t>
      </w:r>
      <w:proofErr w:type="gramStart"/>
      <w:r>
        <w:t>At export</w:t>
      </w:r>
      <w:proofErr w:type="gramEnd"/>
      <w:r>
        <w:t xml:space="preserve">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w:t>
      </w:r>
      <w:proofErr w:type="gramStart"/>
      <w:r w:rsidR="00805854">
        <w:t>compute</w:t>
      </w:r>
      <w:proofErr w:type="gramEnd"/>
      <w:r w:rsidR="00805854">
        <w:t xml:space="preserv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w:t>
      </w:r>
      <w:proofErr w:type="spellStart"/>
      <w:r>
        <w:t>behaviour</w:t>
      </w:r>
      <w:proofErr w:type="spellEnd"/>
      <w:r>
        <w:t xml:space="preserve"> breaks down. Increased demand would bid up wholesale electricity prices, competing with residential heating in winter (when Kyrgyz hydropower output drops), and likely </w:t>
      </w:r>
      <w:proofErr w:type="gramStart"/>
      <w:r>
        <w:t>triggering</w:t>
      </w:r>
      <w:proofErr w:type="gramEnd"/>
      <w:r>
        <w:t xml:space="preserve"> regulatory intervention. The cheap electricity that attracts investment would be </w:t>
      </w:r>
      <w:r>
        <w:lastRenderedPageBreak/>
        <w:t>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w:t>
      </w:r>
      <w:proofErr w:type="gramStart"/>
      <w:r>
        <w:t>compute</w:t>
      </w:r>
      <w:proofErr w:type="gramEnd"/>
      <w:r>
        <w:t xml:space="preserve"> output, but within the feasible range, the model’s fixed-price assumption means that the cost advantages in Table A2 are upper 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providing buyers with incentives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 xml:space="preserve">The competitive framework abstracts from the industrial organization of the cloud compute market, which is dominated by a small number of </w:t>
      </w:r>
      <w:proofErr w:type="spellStart"/>
      <w:r>
        <w:t>hyperscalers</w:t>
      </w:r>
      <w:proofErr w:type="spellEnd"/>
      <w:r>
        <w:t xml:space="preserve"> (AWS, Azure, Google Cloud) with significant scale economies, proprietary networks, and market power. In practice, whether a country becomes a compute exporter depends not only on unit costs but on whether a </w:t>
      </w:r>
      <w:proofErr w:type="spellStart"/>
      <w:r>
        <w:t>hyperscaler</w:t>
      </w:r>
      <w:proofErr w:type="spellEnd"/>
      <w:r>
        <w:t xml:space="preserve">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lastRenderedPageBreak/>
        <w:t xml:space="preserve">The model’s contribution is to identify which countries satisfy the necessary cost condition for competitive supply. Even under increasing returns, </w:t>
      </w:r>
      <w:proofErr w:type="spellStart"/>
      <w:r>
        <w:t>hyperscalers</w:t>
      </w:r>
      <w:proofErr w:type="spellEnd"/>
      <w:r>
        <w:t xml:space="preserve"> expanding internationally will favor locations where electricity, cooling, and construction costs are lowest, conditional on meeting minimum infrastructure thresholds. The cost ranking in Table A2 thus identifies the feasibility frontier. countries that are cost-competitive have a 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w:t>
      </w:r>
      <w:proofErr w:type="gramStart"/>
      <w:r>
        <w:t/>
      </w:r>
      <w:proofErr w:type="gramEnd"/>
      <w:r>
        <w:t xml:space="preserve">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 xml:space="preserve">This paper develops a capacity-constrained model of trade in computing services (FLOPs) in which countries </w:t>
      </w:r>
      <w:proofErr w:type="gramStart"/>
      <w:r>
        <w:t>produce</w:t>
      </w:r>
      <w:proofErr w:type="gramEnd"/>
      <w:r>
        <w:t xml:space="preserv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w:t>
      </w:r>
      <w:proofErr w:type="gramStart"/>
      <w:r>
        <w:t>calibrates</w:t>
      </w:r>
      <w:proofErr w:type="gramEnd"/>
      <w:r>
        <w:t xml:space="preserve"> the model for 86 countries using data on electricity prices, temperatures, construction costs, bilateral latencies, and grid capacity.</w:t>
      </w:r>
    </w:p>
    <w:p w14:paraId="4995C155" w14:textId="77777777" w:rsidR="00E91FC1" w:rsidRDefault="00000000">
      <w:pPr>
        <w:spacing w:after="160"/>
        <w:jc w:val="both"/>
      </w:pPr>
      <w:r>
        <w:t xml:space="preserve">Across 86 countries, low-energy-cost countries export training </w:t>
      </w:r>
      <w:proofErr w:type="gramStart"/>
      <w:r>
        <w:t>compute</w:t>
      </w:r>
      <w:proofErr w:type="gramEnd"/>
      <w:r>
        <w:t>,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proofErr w:type="spellStart"/>
      <w:r>
        <w:fldChar w:fldCharType="begin"/>
      </w:r>
      <w:r>
        <w:instrText>HYPERLINK \l "ACR2012"</w:instrText>
      </w:r>
      <w:r>
        <w:fldChar w:fldCharType="separate"/>
      </w:r>
      <w:r>
        <w:rPr>
          <w:color w:val="1F3864"/>
          <w:u w:val="single"/>
        </w:rPr>
        <w:t>Arkolakis</w:t>
      </w:r>
      <w:proofErr w:type="spellEnd"/>
      <w:r>
        <w:rPr>
          <w:color w:val="1F3864"/>
          <w:u w:val="single"/>
        </w:rPr>
        <w:t xml:space="preserve">, </w:t>
      </w:r>
      <w:proofErr w:type="spellStart"/>
      <w:r>
        <w:rPr>
          <w:color w:val="1F3864"/>
          <w:u w:val="single"/>
        </w:rPr>
        <w:t>Costinot</w:t>
      </w:r>
      <w:proofErr w:type="spellEnd"/>
      <w:r>
        <w:rPr>
          <w:color w:val="1F3864"/>
          <w:u w:val="single"/>
        </w:rPr>
        <w:t>, and Rodríguez-Clare 2012</w:t>
      </w:r>
      <w:r>
        <w:fldChar w:fldCharType="end"/>
      </w:r>
      <w:bookmarkEnd w:id="52"/>
      <w:r>
        <w:t xml:space="preserve">). The model generates a </w:t>
      </w:r>
      <w:proofErr w:type="gramStart"/>
      <w:r>
        <w:t>country</w:t>
      </w:r>
      <w:proofErr w:type="gramEnd"/>
      <w:r>
        <w:t xml:space="preserve">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proofErr w:type="spellStart"/>
      <w:r>
        <w:rPr>
          <w:color w:val="1F3864"/>
          <w:u w:val="single"/>
        </w:rPr>
        <w:t>Lehdonvirta</w:t>
      </w:r>
      <w:proofErr w:type="spellEnd"/>
      <w:r>
        <w:rPr>
          <w:color w:val="1F3864"/>
          <w:u w:val="single"/>
        </w:rPr>
        <w:t>, Wu, and Hawkins (2024)</w:t>
      </w:r>
      <w:r>
        <w:fldChar w:fldCharType="end"/>
      </w:r>
      <w:bookmarkEnd w:id="53"/>
      <w:r>
        <w:t xml:space="preserve">, who </w:t>
      </w:r>
      <w:r>
        <w:lastRenderedPageBreak/>
        <w:t>independently find that training-capable GPU infrastructure is concentrated in roughly 30 countries while the rest are limited to inference-grade hardware.</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1613FCA5" w14:textId="77777777" w:rsidR="00E91FC1" w:rsidRDefault="00000000">
      <w:pPr>
        <w:spacing w:after="160"/>
        <w:jc w:val="both"/>
      </w:pPr>
      <w:r>
        <w:t xml:space="preserve">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w:t>
      </w:r>
      <w:proofErr w:type="gramStart"/>
      <w:r>
        <w:t>compute</w:t>
      </w:r>
      <w:proofErr w:type="gramEnd"/>
      <w:r>
        <w:t xml:space="preserv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w:t>
      </w:r>
      <w:proofErr w:type="spellStart"/>
      <w:r>
        <w:rPr>
          <w:color w:val="1F3864"/>
          <w:u w:val="single"/>
        </w:rPr>
        <w:t>Costinot</w:t>
      </w:r>
      <w:proofErr w:type="spellEnd"/>
      <w:r>
        <w:rPr>
          <w:color w:val="1F3864"/>
          <w:u w:val="single"/>
        </w:rPr>
        <w:t xml:space="preserve">,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w:t>
      </w:r>
      <w:proofErr w:type="spellStart"/>
      <w:r>
        <w:rPr>
          <w:color w:val="1F3864"/>
          <w:u w:val="single"/>
        </w:rPr>
        <w:t>Hölzle</w:t>
      </w:r>
      <w:proofErr w:type="spellEnd"/>
      <w:r>
        <w:rPr>
          <w:color w:val="1F3864"/>
          <w:u w:val="single"/>
        </w:rPr>
        <w:t xml:space="preserve">, and P. Ranganathan. </w:t>
      </w:r>
      <w:r>
        <w:fldChar w:fldCharType="end"/>
      </w:r>
      <w:r>
        <w:t xml:space="preserve">(2018). </w:t>
      </w:r>
      <w:r>
        <w:rPr>
          <w:i/>
        </w:rPr>
        <w:t>The Datacenter as a Computer</w:t>
      </w:r>
      <w:r>
        <w:t>: Designing Warehouse-Scale Machines, 3rd ed. San Rafael, CA: Morgan &amp; Claypool.</w:t>
      </w:r>
      <w:bookmarkEnd w:id="56"/>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proofErr w:type="spellStart"/>
      <w:r>
        <w:rPr>
          <w:color w:val="1F3864"/>
          <w:u w:val="single"/>
        </w:rPr>
        <w:t>Cloudscene</w:t>
      </w:r>
      <w:proofErr w:type="spellEnd"/>
      <w:r>
        <w:rPr>
          <w:color w:val="1F3864"/>
          <w:u w:val="single"/>
        </w:rPr>
        <w:t xml:space="preserv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proofErr w:type="spellStart"/>
      <w:r>
        <w:rPr>
          <w:color w:val="1F3864"/>
          <w:u w:val="single"/>
        </w:rPr>
        <w:t>Costinot</w:t>
      </w:r>
      <w:proofErr w:type="spellEnd"/>
      <w:r>
        <w:rPr>
          <w:color w:val="1F3864"/>
          <w:u w:val="single"/>
        </w:rPr>
        <w:t xml:space="preserve">, A., J. Donaldson, and I. </w:t>
      </w:r>
      <w:proofErr w:type="spellStart"/>
      <w:r>
        <w:rPr>
          <w:color w:val="1F3864"/>
          <w:u w:val="single"/>
        </w:rPr>
        <w:t>Komunjer</w:t>
      </w:r>
      <w:proofErr w:type="spellEnd"/>
      <w:r>
        <w:rPr>
          <w:color w:val="1F3864"/>
          <w:u w:val="single"/>
        </w:rPr>
        <w:t xml:space="preserve">.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proofErr w:type="spellStart"/>
      <w:r>
        <w:rPr>
          <w:i/>
        </w:rPr>
        <w:t>Econometrica</w:t>
      </w:r>
      <w:proofErr w:type="spellEnd"/>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p w14:paraId="57B986B7" w14:textId="77777777" w:rsidR="00E91FC1" w:rsidRDefault="00000000">
      <w:pPr>
        <w:spacing w:after="80" w:line="240" w:lineRule="exact"/>
        <w:ind w:left="720" w:hanging="720"/>
        <w:jc w:val="both"/>
      </w:pPr>
      <w:bookmarkStart w:id="66" w:name="EPRI2024"/>
      <w:r>
        <w:rPr>
          <w:color w:val="1F3864"/>
          <w:u w:val="single"/>
        </w:rPr>
        <w:t xml:space="preserve">EPRI. (2024). </w:t>
      </w:r>
      <w:r>
        <w:t>“Powering Intelligence: Analyzing AI and Data Center Energy Consumption.” Electric Power Research Institute.</w:t>
      </w:r>
      <w:bookmarkEnd w:id="66"/>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proofErr w:type="spellStart"/>
      <w:r>
        <w:rPr>
          <w:color w:val="1F3864"/>
          <w:u w:val="single"/>
        </w:rPr>
        <w:t>GlobalPetrolPrices</w:t>
      </w:r>
      <w:proofErr w:type="spellEnd"/>
      <w:r>
        <w:rPr>
          <w:color w:val="1F3864"/>
          <w:u w:val="single"/>
        </w:rPr>
        <w:t xml:space="preserve">.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w:t>
      </w:r>
      <w:proofErr w:type="spellStart"/>
      <w:r>
        <w:rPr>
          <w:color w:val="1F3864"/>
          <w:u w:val="single"/>
        </w:rPr>
        <w:t>Trefler</w:t>
      </w:r>
      <w:proofErr w:type="spellEnd"/>
      <w:r>
        <w:rPr>
          <w:color w:val="1F3864"/>
          <w:u w:val="single"/>
        </w:rPr>
        <w:t xml:space="preserve">.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proofErr w:type="spellStart"/>
      <w:r>
        <w:rPr>
          <w:color w:val="1F3864"/>
          <w:u w:val="single"/>
        </w:rPr>
        <w:t>Helpman</w:t>
      </w:r>
      <w:proofErr w:type="spellEnd"/>
      <w:r>
        <w:rPr>
          <w:color w:val="1F3864"/>
          <w:u w:val="single"/>
        </w:rPr>
        <w:t xml:space="preserve">,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proofErr w:type="spellStart"/>
      <w:r>
        <w:rPr>
          <w:color w:val="1F3864"/>
          <w:u w:val="single"/>
        </w:rPr>
        <w:t>Hersbach</w:t>
      </w:r>
      <w:proofErr w:type="spellEnd"/>
      <w:r>
        <w:rPr>
          <w:color w:val="1F3864"/>
          <w:u w:val="single"/>
        </w:rPr>
        <w:t xml:space="preserve">,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w:t>
      </w:r>
      <w:proofErr w:type="spellStart"/>
      <w:r>
        <w:rPr>
          <w:color w:val="1F3864"/>
          <w:u w:val="single"/>
        </w:rPr>
        <w:t>Schaur</w:t>
      </w:r>
      <w:proofErr w:type="spellEnd"/>
      <w:r>
        <w:rPr>
          <w:color w:val="1F3864"/>
          <w:u w:val="single"/>
        </w:rPr>
        <w:t xml:space="preserve">.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proofErr w:type="spellStart"/>
      <w:r>
        <w:rPr>
          <w:color w:val="1F3864"/>
          <w:u w:val="single"/>
        </w:rPr>
        <w:t>Lehdonvirta</w:t>
      </w:r>
      <w:proofErr w:type="spellEnd"/>
      <w:r>
        <w:rPr>
          <w:color w:val="1F3864"/>
          <w:u w:val="single"/>
        </w:rPr>
        <w:t xml:space="preserve">,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proofErr w:type="spellStart"/>
      <w:r>
        <w:rPr>
          <w:color w:val="1F3864"/>
          <w:u w:val="single"/>
        </w:rPr>
        <w:t>Limão</w:t>
      </w:r>
      <w:proofErr w:type="spellEnd"/>
      <w:r>
        <w:rPr>
          <w:color w:val="1F3864"/>
          <w:u w:val="single"/>
        </w:rPr>
        <w:t xml:space="preserve">,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w:t>
      </w:r>
      <w:proofErr w:type="spellStart"/>
      <w:r>
        <w:rPr>
          <w:color w:val="1F3864"/>
          <w:u w:val="single"/>
        </w:rPr>
        <w:t>Krcmarik</w:t>
      </w:r>
      <w:proofErr w:type="spellEnd"/>
      <w:r>
        <w:rPr>
          <w:color w:val="1F3864"/>
          <w:u w:val="single"/>
        </w:rPr>
        <w:t xml:space="preserve">,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proofErr w:type="spellStart"/>
      <w:r>
        <w:rPr>
          <w:color w:val="1F3864"/>
          <w:u w:val="single"/>
        </w:rPr>
        <w:t>WonderNetwork</w:t>
      </w:r>
      <w:proofErr w:type="spellEnd"/>
      <w:r>
        <w:rPr>
          <w:color w:val="1F3864"/>
          <w:u w:val="single"/>
        </w:rPr>
        <w:t xml:space="preserve">.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 xml:space="preserve">Each country is shaded by its all-in cost of one GPU-hour of training </w:t>
      </w:r>
      <w:proofErr w:type="gramStart"/>
      <w:r>
        <w:rPr>
          <w:sz w:val="20"/>
        </w:rPr>
        <w:t>compute</w:t>
      </w:r>
      <w:proofErr w:type="gramEnd"/>
      <w:r>
        <w:rPr>
          <w:sz w:val="20"/>
        </w:rPr>
        <w:t xml:space="preserve"> ($/GPU-</w:t>
      </w:r>
      <w:proofErr w:type="spellStart"/>
      <w:r>
        <w:rPr>
          <w:sz w:val="20"/>
        </w:rPr>
        <w:t>hr</w:t>
      </w:r>
      <w:proofErr w:type="spellEnd"/>
      <w:r>
        <w:rPr>
          <w:sz w:val="20"/>
        </w:rPr>
        <w:t>),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 xml:space="preserve">8766 </w:t>
            </w:r>
            <w:proofErr w:type="spellStart"/>
            <w:r>
              <w:rPr>
                <w:sz w:val="16"/>
              </w:rPr>
              <w:t>hr</w:t>
            </w:r>
            <w:proofErr w:type="spellEnd"/>
            <w:r>
              <w:rPr>
                <w:sz w:val="16"/>
              </w:rPr>
              <w:t>/yr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w:t>
            </w:r>
            <w:proofErr w:type="spellStart"/>
            <w:r>
              <w:rPr>
                <w:sz w:val="16"/>
              </w:rPr>
              <w:t>hr</w:t>
            </w:r>
            <w:proofErr w:type="spellEnd"/>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w:t>
            </w:r>
            <w:proofErr w:type="spellStart"/>
            <w:r>
              <w:rPr>
                <w:sz w:val="16"/>
              </w:rPr>
              <w:t>hr</w:t>
            </w:r>
            <w:proofErr w:type="spellEnd"/>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 xml:space="preserve">Latency degradation per </w:t>
            </w:r>
            <w:proofErr w:type="spellStart"/>
            <w:r>
              <w:rPr>
                <w:sz w:val="16"/>
              </w:rPr>
              <w:t>ms</w:t>
            </w:r>
            <w:proofErr w:type="spellEnd"/>
            <w:r>
              <w:rPr>
                <w:sz w:val="16"/>
              </w:rPr>
              <w:t xml:space="preserve">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 xml:space="preserve">0.0008 per </w:t>
            </w:r>
            <w:proofErr w:type="spellStart"/>
            <w:r>
              <w:rPr>
                <w:sz w:val="16"/>
              </w:rPr>
              <w:t>ms</w:t>
            </w:r>
            <w:proofErr w:type="spellEnd"/>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 xml:space="preserve">Training share of </w:t>
            </w:r>
            <w:proofErr w:type="gramStart"/>
            <w:r>
              <w:rPr>
                <w:sz w:val="16"/>
              </w:rPr>
              <w:t>compute</w:t>
            </w:r>
            <w:proofErr w:type="gramEnd"/>
            <w:r>
              <w:rPr>
                <w:sz w:val="16"/>
              </w:rPr>
              <w:t xml:space="preserv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w:t>
            </w:r>
            <w:proofErr w:type="spellStart"/>
            <w:r>
              <w:rPr>
                <w:sz w:val="16"/>
              </w:rPr>
              <w:t>hr</w:t>
            </w:r>
            <w:proofErr w:type="spellEnd"/>
            <w:r>
              <w:rPr>
                <w:sz w:val="16"/>
              </w:rPr>
              <w:t>/yr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 xml:space="preserve">Hardware cost ρ = Pᴳᴘᴜ / (L · H · β). PUE(θ) = φ + δ · </w:t>
      </w:r>
      <w:proofErr w:type="gramStart"/>
      <w:r>
        <w:rPr>
          <w:sz w:val="20"/>
        </w:rPr>
        <w:t>max(</w:t>
      </w:r>
      <w:proofErr w:type="gramEnd"/>
      <w:r>
        <w:rPr>
          <w:sz w:val="20"/>
        </w:rPr>
        <w:t>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w:t>
            </w:r>
            <w:proofErr w:type="spellStart"/>
            <w:r>
              <w:rPr>
                <w:b/>
                <w:sz w:val="16"/>
              </w:rPr>
              <w:t>hr</w:t>
            </w:r>
            <w:proofErr w:type="spellEnd"/>
            <w:r>
              <w:rPr>
                <w:b/>
                <w:sz w:val="16"/>
              </w:rPr>
              <w:t>)</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w:t>
      </w:r>
      <w:proofErr w:type="gramStart"/>
      <w:r>
        <w:rPr>
          <w:sz w:val="20"/>
        </w:rPr>
        <w:t>compute</w:t>
      </w:r>
      <w:proofErr w:type="gramEnd"/>
      <w:r>
        <w:rPr>
          <w:sz w:val="20"/>
        </w:rPr>
        <w:t xml:space="preserv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w:t>
      </w:r>
      <w:proofErr w:type="spellStart"/>
      <w:r>
        <w:rPr>
          <w:sz w:val="20"/>
        </w:rPr>
        <w:t>hr</w:t>
      </w:r>
      <w:proofErr w:type="spellEnd"/>
      <w:r>
        <w:rPr>
          <w:sz w:val="20"/>
        </w:rPr>
        <w:t xml:space="preserve"> + networking at $0.15/</w:t>
      </w:r>
      <w:proofErr w:type="spellStart"/>
      <w:r>
        <w:rPr>
          <w:sz w:val="20"/>
        </w:rPr>
        <w:t>hr</w:t>
      </w:r>
      <w:proofErr w:type="spellEnd"/>
      <w:r>
        <w:rPr>
          <w:sz w:val="20"/>
        </w:rPr>
        <w:t xml:space="preserve">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w:t>
      </w:r>
      <w:proofErr w:type="gramStart"/>
      <w:r>
        <w:t>hours</w:t>
      </w:r>
      <w:proofErr w:type="gramEnd"/>
      <w:r>
        <w:t xml:space="preserve"> per period), representing the maximum volume of </w:t>
      </w:r>
      <w:proofErr w:type="gramStart"/>
      <w:r>
        <w:t>compute</w:t>
      </w:r>
      <w:proofErr w:type="gramEnd"/>
      <w:r>
        <w:t xml:space="preserv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w:t>
      </w:r>
      <w:proofErr w:type="gramStart"/>
      <w:r>
        <w:t>compute</w:t>
      </w:r>
      <w:proofErr w:type="gramEnd"/>
      <w:r>
        <w:t xml:space="preserv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w:t>
      </w:r>
      <w:proofErr w:type="gramStart"/>
      <w:r>
        <w:t>highest-margin</w:t>
      </w:r>
      <w:proofErr w:type="gramEnd"/>
      <w:r>
        <w:t xml:space="preserve">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 xml:space="preserve">Table A3 reports equilibrium outcomes under five parameter perturbations. Rankings are robust because hardware amortization accounts for approximately 94 percent of total cost and is identical across countries. Only the electricity and construction components vary </w:t>
      </w:r>
      <w:proofErr w:type="gramStart"/>
      <w:r>
        <w:t>cross-country</w:t>
      </w:r>
      <w:proofErr w:type="gramEnd"/>
      <w:r>
        <w:t>,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w:t>
            </w:r>
            <w:proofErr w:type="spellStart"/>
            <w:r>
              <w:rPr>
                <w:b/>
                <w:sz w:val="16"/>
              </w:rPr>
              <w:t>hr</w:t>
            </w:r>
            <w:proofErr w:type="spellEnd"/>
            <w:r>
              <w:rPr>
                <w:b/>
                <w:sz w:val="16"/>
              </w:rPr>
              <w:t>)</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w:t>
            </w:r>
            <w:proofErr w:type="spellStart"/>
            <w:r>
              <w:rPr>
                <w:sz w:val="16"/>
              </w:rPr>
              <w:t>hr</w:t>
            </w:r>
            <w:proofErr w:type="spellEnd"/>
            <w:r>
              <w:rPr>
                <w:sz w:val="16"/>
              </w:rPr>
              <w:t xml:space="preserve">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 xml:space="preserve">70% </w:t>
            </w:r>
            <w:proofErr w:type="gramStart"/>
            <w:r>
              <w:rPr>
                <w:sz w:val="16"/>
              </w:rPr>
              <w:t>steady-state</w:t>
            </w:r>
            <w:proofErr w:type="gramEnd"/>
            <w:r>
              <w:rPr>
                <w:sz w:val="16"/>
              </w:rPr>
              <w:t xml:space="preserv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 xml:space="preserve">Table A5. Year-by-year cash flow ($ </w:t>
      </w:r>
      <w:proofErr w:type="gramStart"/>
      <w:r>
        <w:rPr>
          <w:b/>
        </w:rPr>
        <w:t>millions</w:t>
      </w:r>
      <w:proofErr w:type="gramEnd"/>
      <w:r>
        <w:rPr>
          <w:b/>
        </w:rPr>
        <w:t>)</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 xml:space="preserve">The project yields an NPV of $353M at </w:t>
      </w:r>
      <w:proofErr w:type="gramStart"/>
      <w:r>
        <w:t>a 12.6</w:t>
      </w:r>
      <w:proofErr w:type="gramEnd"/>
      <w:r>
        <w:t>%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 xml:space="preserve">Kyrgyzstan depends on the </w:t>
      </w:r>
      <w:proofErr w:type="spellStart"/>
      <w:r>
        <w:t>Toktogul</w:t>
      </w:r>
      <w:proofErr w:type="spellEnd"/>
      <w:r>
        <w:t xml:space="preserve">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0C867" w14:textId="77777777" w:rsidR="00FB48E1" w:rsidRDefault="00FB48E1">
      <w:pPr>
        <w:spacing w:line="240" w:lineRule="auto"/>
      </w:pPr>
      <w:r>
        <w:separator/>
      </w:r>
    </w:p>
  </w:endnote>
  <w:endnote w:type="continuationSeparator" w:id="0">
    <w:p w14:paraId="5FD01F6A" w14:textId="77777777" w:rsidR="00FB48E1" w:rsidRDefault="00FB48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9B9BC2" w14:textId="77777777" w:rsidR="00FB48E1" w:rsidRDefault="00FB48E1">
      <w:pPr>
        <w:spacing w:line="240" w:lineRule="auto"/>
      </w:pPr>
      <w:r>
        <w:separator/>
      </w:r>
    </w:p>
  </w:footnote>
  <w:footnote w:type="continuationSeparator" w:id="0">
    <w:p w14:paraId="178E0DF2" w14:textId="77777777" w:rsidR="00FB48E1" w:rsidRDefault="00FB48E1">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800E1"/>
    <w:rsid w:val="00291119"/>
    <w:rsid w:val="0029639D"/>
    <w:rsid w:val="002C7742"/>
    <w:rsid w:val="00326F90"/>
    <w:rsid w:val="0042002A"/>
    <w:rsid w:val="004975C0"/>
    <w:rsid w:val="004C0086"/>
    <w:rsid w:val="004F11AE"/>
    <w:rsid w:val="00514157"/>
    <w:rsid w:val="0053508E"/>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36DD1"/>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F01"/>
    <w:rsid w:val="00FB3E7C"/>
    <w:rsid w:val="00FB48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40</Pages>
  <Words>11063</Words>
  <Characters>63060</Characters>
  <Application>Microsoft Office Word</Application>
  <DocSecurity>0</DocSecurity>
  <Lines>525</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44</cp:revision>
  <dcterms:created xsi:type="dcterms:W3CDTF">2013-12-23T23:15:00Z</dcterms:created>
  <dcterms:modified xsi:type="dcterms:W3CDTF">2026-02-17T18:59:00Z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