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26, 2026  14:58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ten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0.29, Uzbekistan: 0.40, Ethiopia: 0.38).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33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Iceland. </w:t>
      </w:r>
      <w:r>
        <w:t xml:space="preserve">Six developing countries appear in the top fifteen: China, Kyrgyzstan, Kosovo, Montenegro, Ethiopia, and Vietnam. The Δ column shows the rank change from raw tariffs to the preferred specification (column 1 to column 4): Turkmenistan drops 83 places, Tajikistan drops 72, while Denmark and Iceland rise 53 places. Countries that combine cheap energy with adequate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−6.4%</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−32.4%</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exports are more dispersed, with the top five exporters being Canada (45%), Finland (7%), Norway (7%), Singapore (4%), and the United Arab Emirates (0.3%), collectively accounting for 63% of cross-border inference demand (HHI = 0.21).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foreign source of inference is Japan.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15 countries become exporters, 10 of them developing economies: Argentina, Brazil, Georgia, Indonesia, Kosovo, Kyrgyzstan, Montenegro, Tajikistan, Ukraine, and Vietnam. The developing-country export opportunity identified in the cost rankings (column 3) is not eliminated by sovereignty — it is blocked by the absence of a trust intermediary and restored when one is present.</w:t>
      </w:r>
      <w:r>
        <w:t xml:space="preserve"> Within the top 25 countries shown in Table 3b, Argentina, Georgia, Kosovo, Kyrgyzstan, Montenegro, Vietnam are the visible developing-country exporters; the remaining developing-country exporters (Indonesia (rank 52), Brazil (rank 58), Ukraine (rank 74), and Tajikistan (rank 84)) appear at lower efficiency-adjusted ranks where their FDI-intermediated costs fall below the import threshold.</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1.9%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1.9% of compute spending. The resolution lies in the hyperscaler FDI channel: when a trusted cloud provider operates the facility, the buyer’s sovereignty concern attaches to the operator, not the host country. Under this specification, ten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through cost-recovery pricing to efficiency-adjusted costs. Step 2 applies bilateral sovereignty premiums, with a uniform premium (λ = 0.10) as robustness check. Step 3 replaces host-country trust with hyperscaler-intermediated FDI.</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36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0.87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0.86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b/>
                <w:sz w:val="16"/>
              </w:rPr>
              <w:t>35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0.60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Georgia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$1.77</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$1.77</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43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-14</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$1.83</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$1.83</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-38</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$1.97</w:t>
            </w:r>
          </w:p>
        </w:tc>
        <w:tc>
          <w:tcPr>
            <w:tcW w:w="450" w:type="dxa"/>
          </w:tcPr>
          <w:p>
            <w:pPr>
              <w:jc w:val="center"/>
              <w:spacing w:before="10" w:after="10"/>
            </w:pPr>
            <w:r/>
            <w:r>
              <w:rPr>
                <w:rFonts w:ascii="Times New Roman" w:hAnsi="Times New Roman"/>
                <w:sz w:val="16"/>
              </w:rPr>
              <w:t>0.38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$1.97</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Borders>
              <w:bottom w:val="double" w:sz="4" w:space="0" w:color="auto"/>
            </w:tcBorders>
            <w:tcW w:w="1800" w:type="dxa"/>
          </w:tcPr>
          <w:p>
            <w:pPr>
              <w:jc w:val="left"/>
              <w:spacing w:before="10" w:after="10"/>
            </w:pPr>
            <w:r/>
            <w:r>
              <w:rPr>
                <w:rFonts w:ascii="Times New Roman" w:hAnsi="Times New Roman"/>
                <w:sz w:val="16"/>
              </w:rPr>
              <w:t>Kyrgyzstan</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4</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$2.12</w:t>
            </w:r>
          </w:p>
        </w:tc>
        <w:tc>
          <w:tcPr>
            <w:tcBorders>
              <w:bottom w:val="double" w:sz="4" w:space="0" w:color="auto"/>
            </w:tcBorders>
            <w:tcW w:w="450" w:type="dxa"/>
          </w:tcPr>
          <w:p>
            <w:pPr>
              <w:jc w:val="center"/>
              <w:spacing w:before="10" w:after="10"/>
            </w:pPr>
            <w:r/>
            <w:r>
              <w:rPr>
                <w:rFonts w:ascii="Times New Roman" w:hAnsi="Times New Roman"/>
                <w:sz w:val="16"/>
              </w:rPr>
              <w:t>0.29</w:t>
            </w:r>
          </w:p>
        </w:tc>
        <w:tc>
          <w:tcPr>
            <w:tcBorders>
              <w:bottom w:val="double" w:sz="4" w:space="0" w:color="auto"/>
            </w:tcBorders>
            <w:tcW w:w="540" w:type="dxa"/>
          </w:tcPr>
          <w:p>
            <w:pPr>
              <w:jc w:val="center"/>
              <w:spacing w:before="10" w:after="10"/>
            </w:pPr>
            <w:r/>
            <w:r>
              <w:rPr>
                <w:rFonts w:ascii="Times New Roman" w:hAnsi="Times New Roman"/>
                <w:sz w:val="16"/>
              </w:rPr>
              <w:t>78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$2.12</w:t>
            </w:r>
          </w:p>
        </w:tc>
        <w:tc>
          <w:tcPr>
            <w:tcBorders>
              <w:bottom w:val="double" w:sz="4" w:space="0" w:color="auto"/>
            </w:tcBorders>
            <w:tcW w:w="540" w:type="dxa"/>
          </w:tcPr>
          <w:p>
            <w:pPr>
              <w:jc w:val="center"/>
              <w:spacing w:before="10" w:after="10"/>
            </w:pPr>
            <w:r/>
            <w:r>
              <w:rPr>
                <w:rFonts w:ascii="Times New Roman" w:hAnsi="Times New Roman"/>
                <w:b/>
                <w:sz w:val="16"/>
              </w:rPr>
              <w:t>78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-74</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−0.0%</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0.7%</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0.8%</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1.9%</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2.6%</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$1.66</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$1.66</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3.3%</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$1.66</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3.3%</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$1.67</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$1.68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$1.68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4.7%</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$1.69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5.3%</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$1.71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$1.71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6.5%</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$1.74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8.4%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$1.76</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38</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9.4%</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$1.76</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40</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9.5%</w:t>
            </w:r>
          </w:p>
        </w:tc>
      </w:tr>
      <w:tr>
        <w:tc>
          <w:tcPr>
            <w:tcW w:w="2000" w:type="dxa"/>
          </w:tcPr>
          <w:p>
            <w:pPr>
              <w:jc w:val="left"/>
              <w:spacing w:before="10" w:after="10"/>
            </w:pPr>
            <w:r/>
            <w:r>
              <w:rPr>
                <w:rFonts w:ascii="Times New Roman" w:hAnsi="Times New Roman"/>
                <w:sz w:val="16"/>
              </w:rPr>
              <w:t>Georgia</w:t>
            </w:r>
          </w:p>
        </w:tc>
        <w:tc>
          <w:tcPr>
            <w:tcW w:w="1100" w:type="dxa"/>
          </w:tcPr>
          <w:p>
            <w:pPr>
              <w:jc w:val="center"/>
              <w:spacing w:before="10" w:after="10"/>
            </w:pPr>
            <w:r/>
            <w:r>
              <w:rPr>
                <w:rFonts w:ascii="Times New Roman" w:hAnsi="Times New Roman"/>
                <w:sz w:val="16"/>
              </w:rPr>
              <w:t>$1.77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41</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10.3%</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$1.79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43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11.3%</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$1.83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800" w:type="dxa"/>
          </w:tcPr>
          <w:p>
            <w:pPr>
              <w:jc w:val="center"/>
              <w:spacing w:before="10" w:after="10"/>
            </w:pPr>
            <w:r/>
            <w:r>
              <w:rPr>
                <w:rFonts w:ascii="Times New Roman" w:hAnsi="Times New Roman"/>
                <w:sz w:val="16"/>
              </w:rPr>
              <w:t>55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14.4%</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$1.85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800" w:type="dxa"/>
          </w:tcPr>
          <w:p>
            <w:pPr>
              <w:jc w:val="center"/>
              <w:spacing w:before="10" w:after="10"/>
            </w:pPr>
            <w:r/>
            <w:r>
              <w:rPr>
                <w:rFonts w:ascii="Times New Roman" w:hAnsi="Times New Roman"/>
                <w:sz w:val="16"/>
              </w:rPr>
              <w:t>59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15.3%</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$1.97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800" w:type="dxa"/>
          </w:tcPr>
          <w:p>
            <w:pPr>
              <w:jc w:val="center"/>
              <w:spacing w:before="10" w:after="10"/>
            </w:pPr>
            <w:r/>
            <w:r>
              <w:rPr>
                <w:rFonts w:ascii="Times New Roman" w:hAnsi="Times New Roman"/>
                <w:sz w:val="16"/>
              </w:rPr>
              <w:t>73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23.0%</w:t>
            </w:r>
          </w:p>
        </w:tc>
      </w:tr>
      <w:tr>
        <w:tc>
          <w:tcPr>
            <w:tcBorders>
              <w:bottom w:val="double" w:sz="4" w:space="0" w:color="auto"/>
            </w:tcBorders>
            <w:tcW w:w="2000" w:type="dxa"/>
          </w:tcPr>
          <w:p>
            <w:pPr>
              <w:jc w:val="left"/>
              <w:spacing w:before="10" w:after="10"/>
            </w:pPr>
            <w:r/>
            <w:r>
              <w:rPr>
                <w:rFonts w:ascii="Times New Roman" w:hAnsi="Times New Roman"/>
                <w:sz w:val="16"/>
              </w:rPr>
              <w:t>Kyrgyzstan</w:t>
            </w:r>
          </w:p>
        </w:tc>
        <w:tc>
          <w:tcPr>
            <w:tcBorders>
              <w:bottom w:val="double" w:sz="4" w:space="0" w:color="auto"/>
            </w:tcBorders>
            <w:tcW w:w="1100" w:type="dxa"/>
          </w:tcPr>
          <w:p>
            <w:pPr>
              <w:jc w:val="center"/>
              <w:spacing w:before="10" w:after="10"/>
            </w:pPr>
            <w:r/>
            <w:r>
              <w:rPr>
                <w:rFonts w:ascii="Times New Roman" w:hAnsi="Times New Roman"/>
                <w:sz w:val="16"/>
              </w:rPr>
              <w:t>$2.12</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800" w:type="dxa"/>
          </w:tcPr>
          <w:p>
            <w:pPr>
              <w:jc w:val="center"/>
              <w:spacing w:before="10" w:after="10"/>
            </w:pPr>
            <w:r/>
            <w:r>
              <w:rPr>
                <w:rFonts w:ascii="Times New Roman" w:hAnsi="Times New Roman"/>
                <w:sz w:val="16"/>
              </w:rPr>
              <w:t>78</w:t>
            </w:r>
          </w:p>
        </w:tc>
        <w:tc>
          <w:tcPr>
            <w:tcBorders>
              <w:bottom w:val="double" w:sz="4" w:space="0" w:color="auto"/>
            </w:tcBorders>
            <w:tcW w:w="900" w:type="dxa"/>
          </w:tcPr>
          <w:p>
            <w:pPr>
              <w:jc w:val="center"/>
              <w:spacing w:before="10" w:after="10"/>
            </w:pPr>
            <w:r/>
            <w:r>
              <w:rPr>
                <w:rFonts w:ascii="Times New Roman" w:hAnsi="Times New Roman"/>
                <w:sz w:val="16"/>
              </w:rPr>
              <w:t>EE†</w:t>
            </w:r>
          </w:p>
        </w:tc>
        <w:tc>
          <w:tcPr>
            <w:tcBorders>
              <w:bottom w:val="double" w:sz="4" w:space="0" w:color="auto"/>
            </w:tcBorders>
            <w:tcW w:w="1100" w:type="dxa"/>
          </w:tcPr>
          <w:p>
            <w:pPr>
              <w:jc w:val="center"/>
              <w:spacing w:before="10" w:after="10"/>
            </w:pPr>
            <w:r/>
            <w:r>
              <w:rPr>
                <w:rFonts w:ascii="Times New Roman" w:hAnsi="Times New Roman"/>
                <w:sz w:val="16"/>
              </w:rPr>
              <w:t>32.4%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0.29</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0.95</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0.38</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0.25</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0.71</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0.39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0.45</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0.32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0.22</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0.57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0.92</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0.32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0.59</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0.30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0.42</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0.63</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0.80</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0.77</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0.80</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0.51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0.70</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0.59</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0.74</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0.76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0.96</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0.92</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0.56</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0.38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$2.01</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0.29</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0.35</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-78</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450" w:type="dxa"/>
          </w:tcPr>
          <w:p>
            <w:pPr>
              <w:jc w:val="center"/>
              <w:spacing w:before="5" w:after="5"/>
            </w:pPr>
            <w:r/>
            <w:r>
              <w:rPr>
                <w:rFonts w:ascii="Times New Roman" w:hAnsi="Times New Roman"/>
                <w:sz w:val="14"/>
              </w:rPr>
              <w:t>0.34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450" w:type="dxa"/>
          </w:tcPr>
          <w:p>
            <w:pPr>
              <w:jc w:val="center"/>
              <w:spacing w:before="5" w:after="5"/>
            </w:pPr>
            <w:r/>
            <w:r>
              <w:rPr>
                <w:rFonts w:ascii="Times New Roman" w:hAnsi="Times New Roman"/>
                <w:sz w:val="14"/>
              </w:rPr>
              <w:t>0.30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$2.33</w:t>
            </w:r>
          </w:p>
        </w:tc>
        <w:tc>
          <w:tcPr>
            <w:tcW w:w="450" w:type="dxa"/>
          </w:tcPr>
          <w:p>
            <w:pPr>
              <w:jc w:val="center"/>
              <w:spacing w:before="5" w:after="5"/>
            </w:pPr>
            <w:r/>
            <w:r>
              <w:rPr>
                <w:rFonts w:ascii="Times New Roman" w:hAnsi="Times New Roman"/>
                <w:sz w:val="14"/>
              </w:rPr>
              <w:t>0.25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$2.33</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-72</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$1.57</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$1.62</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$2.55</w:t>
            </w:r>
          </w:p>
        </w:tc>
        <w:tc>
          <w:tcPr>
            <w:tcBorders>
              <w:bottom w:val="double" w:sz="4" w:space="0" w:color="auto"/>
            </w:tcBorders>
            <w:tcW w:w="450" w:type="dxa"/>
          </w:tcPr>
          <w:p>
            <w:pPr>
              <w:jc w:val="center"/>
              <w:spacing w:before="5" w:after="5"/>
            </w:pPr>
            <w:r/>
            <w:r>
              <w:rPr>
                <w:rFonts w:ascii="Times New Roman" w:hAnsi="Times New Roman"/>
                <w:sz w:val="14"/>
              </w:rPr>
              <w:t>0.22</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$2.55</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