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11:27</w:t>
      </w:r>
    </w:p>
    <w:p>
      <w:pPr>
        <w:spacing w:before="240" w:after="160" w:line="240" w:lineRule="auto"/>
        <w:ind w:firstLine="0" w:left="720" w:right="720"/>
        <w:jc w:val="both"/>
      </w:pPr>
      <w:r>
        <w:rPr>
          <w:b/>
        </w:rPr>
        <w:t>Abstract</w:t>
      </w:r>
      <w:r>
        <w:t xml:space="preserve">: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w:t>
      </w:r>
      <w:r>
        <w:t>The resulting cost spread across 85 countries is only 12–20 percent, making compute one of the most contested tradable goods in the world economy: small policy-induced frictions — sovereignty premia, governance penalties, capital cost differences — are sufficient to reshuffle the entire ranking.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Because hardware accounts for roughly 90 percent of the unit cost and is globally priced, the cross-country cost spread is only 12–20 percent — narrower than in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aluminum smelting near cheap hydropower — imported capital equipment transforms local electricity into an exportable product with minimal domestic labor — but with two differences: the input is renewable where generated from hydro, solar, or geothermal sources, and compute demand is growing faster than demand for any physical commodity.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