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18:57</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(3) Bilateral</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II</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7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31</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Specifications (1) and (2) show unit cost ($/GPU-hr), rank among 85 countries, and regime type. (3) shows regime type only (cost and rank unchanged from (2)). EE = training + inference exporter; IE = inference exporter; DD = domestic producer; II = full importer. (1) Raw: observed electricity tariffs. (2) Cost-recovery: subsidized tariffs replaced with LRMC. (3) Bilateral: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only regime assignments change.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