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v24  —  February 23, 2026  00:02</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bilateral sovereignty premium captures governments’ preference for domestic data processing, varying with geopolitical alignment, regulatory compatibility, and sanctions. Calibration across 85 countries shows that energy-abundant economies have a comparative advantage in training compute, while regional inference hubs form around major demand centers. Because hardware costs are globally uniform, cross-country cost differences are small, making production efficiency, bilateral trade frictions,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4" w:name="EpochAI2024txt"/>
      <w:hyperlink w:anchor="EpochAI2024" w:history="1">
        <w:r>
          <w:rPr>
            <w:color w:val="1F3864"/>
            <w:u w:val="single"/>
          </w:rPr>
          <w:t xml:space="preserve">Epoch AI 2024</w:t>
        </w:r>
      </w:hyperlink>
      <w:bookmarkEnd w:id="234"/>
      <w:r>
        <w:t xml:space="preserve">). Data centers accounted for approximately 1.5% of global electricity demand in 2024—more than the electricity consumption of France—a share projected to more than double by 2030 (</w:t>
      </w:r>
      <w:bookmarkStart w:id="246" w:name="IEA2025txt"/>
      <w:hyperlink w:anchor="IEA2025" w:history="1">
        <w:r>
          <w:rPr>
            <w:color w:val="1F3864"/>
            <w:u w:val="single"/>
          </w:rPr>
          <w:t xml:space="preserve">IEA 2025</w:t>
        </w:r>
      </w:hyperlink>
      <w:bookmarkEnd w:id="246"/>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rPr>
          <w:rStyle w:val="FootnoteReference"/>
        </w:rPr>
        <w:footnoteReference w:id="4"/>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5" w:name="WorldBank2024txt"/>
      <w:hyperlink w:anchor="WorldBank2024" w:history="1">
        <w:r>
          <w:rPr>
            <w:color w:val="1F3864"/>
            <w:u w:val="single"/>
          </w:rPr>
          <w:t xml:space="preserve">World Bank 2024</w:t>
        </w:r>
      </w:hyperlink>
      <w:bookmarkEnd w:id="235"/>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36" w:name="Sastry2024txt"/>
      <w:hyperlink w:anchor="Sastry2024" w:history="1">
        <w:r>
          <w:rPr>
            <w:color w:val="1F3864"/>
            <w:u w:val="single"/>
          </w:rPr>
          <w:t xml:space="preserve">Sastry et al. 2024</w:t>
        </w:r>
      </w:hyperlink>
      <w:bookmarkEnd w:id="236"/>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37" w:name="Pilz2025txt"/>
      <w:hyperlink w:anchor="Pilz2025" w:history="1">
        <w:r>
          <w:rPr>
            <w:color w:val="1F3864"/>
            <w:u w:val="single"/>
          </w:rPr>
          <w:t xml:space="preserve">Pilz et al. 2025</w:t>
        </w:r>
      </w:hyperlink>
      <w:bookmarkEnd w:id="237"/>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under raw electricity tariffs (20 percent after efficiency adjustment). Once production-efficiency penalties for grid outages and weak governance are applied, the cost ranking changes substantially. Several energy-abundant but institutionally fragile economies fall out of the top tier, replaced by countries with more reliable grids and stronger institutions at moderately higher energy costs. Durable comparative advantage requires credible production efficiency alongside low energy costs, while market access depends on bilateral trust and regulatory alignment.</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Section 7 examines robustness and extensions. Section 8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47" w:name="Hausmann2007txt"/>
      <w:hyperlink w:anchor="Hausmann2007" w:history="1">
        <w:r>
          <w:rPr>
            <w:color w:val="1F3864"/>
            <w:u w:val="single"/>
          </w:rPr>
          <w:t xml:space="preserve">Hausmann et al. (2007)</w:t>
        </w:r>
      </w:hyperlink>
      <w:bookmarkEnd w:id="247"/>
      <w:r>
        <w:t xml:space="preserve">, who show that what a country exports matters for growth. </w:t>
      </w:r>
      <w:bookmarkStart w:id="238" w:name="Limao2001txt"/>
      <w:hyperlink w:anchor="Limao2001" w:history="1">
        <w:r>
          <w:rPr>
            <w:color w:val="1F3864"/>
            <w:u w:val="single"/>
          </w:rPr>
          <w:t xml:space="preserve">Limão and Venables (2001)</w:t>
        </w:r>
      </w:hyperlink>
      <w:bookmarkEnd w:id="238"/>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48" w:name="Liu2023txt"/>
      <w:hyperlink w:anchor="Liu2023" w:history="1">
        <w:r>
          <w:rPr>
            <w:color w:val="1F3864"/>
            <w:u w:val="single"/>
          </w:rPr>
          <w:t xml:space="preserve">Liu et al. (2023)</w:t>
        </w:r>
      </w:hyperlink>
      <w:bookmarkEnd w:id="248"/>
      <w:r>
        <w:t xml:space="preserve"> study data center placement under renewable energy constraints. These studies focus on where firms should build data centers. In international trade theory, </w:t>
      </w:r>
      <w:bookmarkStart w:id="251" w:name="Brainard1997txt"/>
      <w:hyperlink w:anchor="Brainard1997" w:history="1">
        <w:r>
          <w:rPr>
            <w:color w:val="1F3864"/>
            <w:u w:val="single"/>
          </w:rPr>
          <w:t xml:space="preserve">Brainard (1997)</w:t>
        </w:r>
      </w:hyperlink>
      <w:bookmarkEnd w:id="251"/>
      <w:r>
        <w:t xml:space="preserve"> formalizes the proximity-concentration trade-off between serving a market locally and concentrating production abroad, and </w:t>
      </w:r>
      <w:bookmarkStart w:id="239" w:name="HMY2004txt"/>
      <w:hyperlink w:anchor="HMY2004" w:history="1">
        <w:r>
          <w:rPr>
            <w:color w:val="1F3864"/>
            <w:u w:val="single"/>
          </w:rPr>
          <w:t xml:space="preserve">Helpman et al. (2004)</w:t>
        </w:r>
      </w:hyperlink>
      <w:bookmarkEnd w:id="239"/>
      <w:r>
        <w:t xml:space="preserve"> extend this to heterogeneous firms choosing between exporting and FDI.</w:t>
      </w:r>
    </w:p>
    <w:p>
      <w:pPr>
        <w:spacing w:before="0" w:after="160"/>
        <w:ind w:firstLine="0"/>
        <w:jc w:val="both"/>
      </w:pPr>
      <w:r>
        <w:t xml:space="preserve">On the governance side, </w:t>
      </w:r>
      <w:bookmarkStart w:id="240" w:name="Sastry2024txt"/>
      <w:hyperlink w:anchor="Sastry2024" w:history="1">
        <w:r>
          <w:rPr>
            <w:color w:val="1F3864"/>
            <w:u w:val="single"/>
          </w:rPr>
          <w:t xml:space="preserve">Sastry et al. (2024)</w:t>
        </w:r>
      </w:hyperlink>
      <w:bookmarkEnd w:id="240"/>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2" w:name="Pilz2025txt"/>
      <w:hyperlink w:anchor="Pilz2025" w:history="1">
        <w:r>
          <w:rPr>
            <w:color w:val="1F3864"/>
            <w:u w:val="single"/>
          </w:rPr>
          <w:t xml:space="preserve">Pilz et al. (2025)</w:t>
        </w:r>
      </w:hyperlink>
      <w:bookmarkEnd w:id="252"/>
      <w:r>
        <w:t xml:space="preserve"> project that AI data center power demand could reach 327 GW by 2030 and that domestic power shortages may push compute infrastructure abroad. The </w:t>
      </w:r>
      <w:bookmarkStart w:id="253" w:name="WorldBank2025txt"/>
      <w:hyperlink w:anchor="WorldBank2025" w:history="1">
        <w:r>
          <w:rPr>
            <w:color w:val="1F3864"/>
            <w:u w:val="single"/>
          </w:rPr>
          <w:t xml:space="preserve">World Bank (2025)</w:t>
        </w:r>
      </w:hyperlink>
      <w:bookmarkEnd w:id="253"/>
      <w:r>
        <w:t xml:space="preserve"> documents the resulting global compute divide: high-income countries hold 77% of colocation data center capacity and account for 87% of cloud computing exports (</w:t>
      </w:r>
      <w:bookmarkStart w:id="249" w:name="Stojkoski2024txt"/>
      <w:hyperlink w:anchor="Stojkoski2024" w:history="1">
        <w:r>
          <w:rPr>
            <w:color w:val="1F3864"/>
            <w:u w:val="single"/>
          </w:rPr>
          <w:t xml:space="preserve">Stojkoski et al. 2024</w:t>
        </w:r>
      </w:hyperlink>
      <w:bookmarkEnd w:id="249"/>
      <w:r>
        <w:t xml:space="preserve">), but the report offers descriptive evidence without a formal framework linking production costs to trade patterns. On the industrial organization side, </w:t>
      </w:r>
      <w:bookmarkStart w:id="241" w:name="Biglaiser2024txt"/>
      <w:hyperlink w:anchor="Biglaiser2024" w:history="1">
        <w:r>
          <w:rPr>
            <w:color w:val="1F3864"/>
            <w:u w:val="single"/>
          </w:rPr>
          <w:t xml:space="preserve">Biglaiser et al. (2024)</w:t>
        </w:r>
      </w:hyperlink>
      <w:bookmarkEnd w:id="241"/>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w:t>
      </w:r>
    </w:p>
    <w:p>
      <w:pPr>
        <w:pStyle w:val="Heading1"/>
      </w:pPr>
      <w:r>
        <w:rPr>
          <w:rFonts w:ascii="Times New Roman" w:hAnsi="Times New Roman"/>
          <w:b/>
          <w:color w:val="2F5496"/>
          <w:sz w:val="28"/>
        </w:rPr>
        <w:t>3. Model Setup</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r>
        <w:rPr>
          <w:rStyle w:val="FootnoteReference"/>
        </w:rPr>
        <w:footnoteReference w:id="6"/>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proportional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three observables: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The calibration of these coefficients is described in Section 6.1.</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It is constructed as the product of two normalized scores: grid reliability (inverse of hours without electricity per firm per year) and operational risk (a composite of contract enforcement, expropriation risk, and regulatory predictability). It approaches one for countries with reliable power and sound institutions, and falls below one where outages or operational risk reduce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This iceberg formulation parallels </w:t>
      </w:r>
      <w:bookmarkStart w:id="211" w:name="Hummels2013txt"/>
      <w:hyperlink w:anchor="Hummels2013" w:history="1">
        <w:r>
          <w:rPr>
            <w:color w:val="1F3864"/>
            <w:u w:val="single"/>
          </w:rPr>
          <w:t xml:space="preserve">Hummels and Schaur (2013)</w:t>
        </w:r>
      </w:hyperlink>
      <w:bookmarkEnd w:id="211"/>
      <w:r>
        <w:t xml:space="preserve">, who estimate that each day of shipping time is equivalent to a tariff; here, milliseconds replace days.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reduces to the production cost plus the sovereignty markup, and distance plays no role.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can be considered to be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xml:space="preserve">) and three possible statuses (export, domestic production, import), there are nine potential regime combinations. In equilibrium, only five are realized.(i)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 By Proposition 4, every training exporter also exports inference within its latency neighborhood.</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also justifies domestic inference, which additionally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1"/>
      </w:r>
      <w:r>
        <w:t xml:space="preserve">,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the paper uses prices from Eurostat (industrial band, 20,000–69,999) (</w:t>
      </w:r>
      <w:bookmarkStart w:id="242" w:name="Eurostat2025txt"/>
      <w:hyperlink w:anchor="Eurostat2025" w:history="1">
        <w:r>
          <w:rPr>
            <w:color w:val="1F3864"/>
            <w:u w:val="single"/>
          </w:rPr>
          <w:t xml:space="preserve">Eurostat 2025</w:t>
        </w:r>
      </w:hyperlink>
      <w:bookmarkEnd w:id="242"/>
      <w:r>
        <w:t xml:space="preserve">). For non-European countries, the prices are obtained from national regulator tariff sheets and secondary sources, including the U.S. Energy Information Administration (</w:t>
      </w:r>
      <w:bookmarkStart w:id="250" w:name="EIA2025txt"/>
      <w:hyperlink w:anchor="EIA2025" w:history="1">
        <w:r>
          <w:rPr>
            <w:color w:val="1F3864"/>
            <w:u w:val="single"/>
          </w:rPr>
          <w:t xml:space="preserve">EIA 2025</w:t>
        </w:r>
      </w:hyperlink>
      <w:bookmarkEnd w:id="250"/>
      <w:r>
        <w:t xml:space="preserve">) for the United States, KEPCO for South Korea, national utility tariffs for Central Asian countries, and </w:t>
      </w:r>
      <w:bookmarkStart w:id="212" w:name="GlobalPetrolPrices2025txt"/>
      <w:hyperlink w:anchor="GlobalPetrolPrices2025" w:history="1">
        <w:r>
          <w:rPr>
            <w:color w:val="1F3864"/>
            <w:u w:val="single"/>
          </w:rPr>
          <w:t xml:space="preserve">GlobalPetrolPrices (2025)</w:t>
        </w:r>
      </w:hyperlink>
      <w:bookmarkEnd w:id="212"/>
      <w:r>
        <w:t xml:space="preserve"> for the remaining countries. All prices are converted to $/kWh at 2024 average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computed from ERA5 reanalysis data (</w:t>
      </w:r>
      <w:bookmarkStart w:id="213" w:name="Hersbach2020txt"/>
      <w:hyperlink w:anchor="Hersbach2020" w:history="1">
        <w:r>
          <w:rPr>
            <w:color w:val="1F3864"/>
            <w:u w:val="single"/>
          </w:rPr>
          <w:t xml:space="preserve">Hersbach et al. 2020</w:t>
        </w:r>
      </w:hyperlink>
      <w:bookmarkEnd w:id="213"/>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4" w:name="TurnerTownsend2025txt"/>
      <w:hyperlink w:anchor="TurnerTownsend2025" w:history="1">
        <w:r>
          <w:rPr>
            <w:color w:val="1F3864"/>
            <w:u w:val="single"/>
          </w:rPr>
          <w:t xml:space="preserve">Turner &amp; Townsend 2025</w:t>
        </w:r>
      </w:hyperlink>
      <w:bookmarkEnd w:id="214"/>
      <w:r>
        <w:t xml:space="preserve">), for 37 countries. For the remaining countries, costs are predicted (Appendix E). Since construction is only 3–6% of total per-GPU-hour costs, imputation error has a limited impact on cost rankings.</w:t>
      </w:r>
      <w:r>
        <w:rPr>
          <w:rStyle w:val="FootnoteReference"/>
        </w:rPr>
        <w:footnoteReference w:id="12"/>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5" w:name="WonderNetwork2024txt"/>
      <w:hyperlink w:anchor="WonderNetwork2024" w:history="1">
        <w:r>
          <w:rPr>
            <w:color w:val="1F3864"/>
            <w:u w:val="single"/>
          </w:rPr>
          <w:t xml:space="preserve">WonderNetwork 2024</w:t>
        </w:r>
      </w:hyperlink>
      <w:bookmarkEnd w:id="215"/>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 For smaller markets, capacity is estimated from facility counts (</w:t>
      </w:r>
      <w:bookmarkStart w:id="216" w:name="Cloudscene2025txt"/>
      <w:hyperlink w:anchor="Cloudscene2025" w:history="1">
        <w:r>
          <w:rPr>
            <w:color w:val="1F3864"/>
            <w:u w:val="single"/>
          </w:rPr>
          <w:t xml:space="preserve">Cloudscene 2025</w:t>
        </w:r>
      </w:hyperlink>
      <w:bookmarkEnd w:id="216"/>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7" w:name="UptimeInstitute2024txt"/>
      <w:hyperlink w:anchor="UptimeInstitute2024" w:history="1">
        <w:r>
          <w:rPr>
            <w:color w:val="1F3864"/>
            <w:u w:val="single"/>
          </w:rPr>
          <w:t xml:space="preserve">Uptime Institute 2024</w:t>
        </w:r>
      </w:hyperlink>
      <w:bookmarkEnd w:id="217"/>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8" w:name="Liu2023txt"/>
      <w:hyperlink w:anchor="Liu2023" w:history="1">
        <w:r>
          <w:rPr>
            <w:color w:val="1F3864"/>
            <w:u w:val="single"/>
          </w:rPr>
          <w:t xml:space="preserve">Liu et al. 2023</w:t>
        </w:r>
      </w:hyperlink>
      <w:bookmarkEnd w:id="218"/>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9" w:name="UptimeInstitute2024txt"/>
      <w:hyperlink w:anchor="UptimeInstitute2024" w:history="1">
        <w:r>
          <w:rPr>
            <w:color w:val="1F3864"/>
            <w:u w:val="single"/>
          </w:rPr>
          <w:t xml:space="preserve">Uptime Institute 2024</w:t>
        </w:r>
      </w:hyperlink>
      <w:bookmarkEnd w:id="219"/>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Google’s GPU utilization, after years of optimization, runs in the 60–75% range (</w:t>
      </w:r>
      <w:bookmarkStart w:id="220" w:name="Barroso2018txt"/>
      <w:hyperlink w:anchor="Barroso2018" w:history="1">
        <w:r>
          <w:rPr>
            <w:color w:val="1F3864"/>
            <w:u w:val="single"/>
          </w:rPr>
          <w:t xml:space="preserve">Barroso et al. 2018</w:t>
        </w:r>
      </w:hyperlink>
      <w:bookmarkEnd w:id="220"/>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1" w:name="Barroso2018txt"/>
      <w:hyperlink w:anchor="Barroso2018" w:history="1">
        <w:r>
          <w:rPr>
            <w:color w:val="1F3864"/>
            <w:u w:val="single"/>
          </w:rPr>
          <w:t xml:space="preserve">Barroso et al. 2018</w:t>
        </w:r>
      </w:hyperlink>
      <w:bookmarkEnd w:id="221"/>
      <w:r>
        <w:t xml:space="preserve">). GPU and networking equipment prices are assumed to be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w:t>
      </w:r>
      <w:hyperlink w:anchor="TableA1" w:history="1">
        <w:r>
          <w:rPr>
            <w:color w:val="1F3864"/>
            <w:u w:val="single"/>
          </w:rPr>
          <w:t xml:space="preserve">Table A1</w:t>
        </w:r>
      </w:hyperlink>
      <w:r>
        <w:t>. This assumption thus favors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GPU vintage. </w:t>
      </w:r>
      <w:r>
        <w:t>The calibration uses the NVIDIA H100, but successor GPUs (B200, shipping 2025) draw approximately 1,000W versus 700W and deliver roughly four times the training throughput. Higher power draw widens the absolute electricity cost gap across countries, modestly strengthening developing-country comparative advantage. However, late entrants selling older-generation GPU-hours must discount to compete with competitors using newer hardware, potentially eroding their cost advantage. Our qualitative findings are therefore robust to hardware choice.</w:t>
      </w:r>
    </w:p>
    <w:p>
      <w:pPr>
        <w:spacing w:before="0" w:after="160"/>
        <w:ind w:firstLine="0"/>
        <w:jc w:val="both"/>
      </w:pPr>
      <w:r>
        <w:rPr>
          <w:rFonts w:ascii="Times New Roman" w:hAnsi="Times New Roman"/>
          <w:b w:val="0"/>
          <w:i/>
          <w:sz w:val="24"/>
        </w:rPr>
        <w:t xml:space="preserve">Other parameters. </w:t>
      </w:r>
      <w:r>
        <w:t xml:space="preserve">The latency degradation parameter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latency inflates inference cost by 8%. This value is calibrated to match the observed willingness of cloud providers to invest in regional points of presence.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a latency difference of 100 ms (roughly the intercontinental round-trip between Europe and East Asia) imposes an 8% cost penalty, broadly consistent with the finding in </w:t>
      </w:r>
      <w:bookmarkStart w:id="222" w:name="Deloitte2020txt"/>
      <w:hyperlink w:anchor="Deloitte2020" w:history="1">
        <w:r>
          <w:rPr>
            <w:color w:val="1F3864"/>
            <w:u w:val="single"/>
          </w:rPr>
          <w:t xml:space="preserve">Deloitte (2020)</w:t>
        </w:r>
      </w:hyperlink>
      <w:bookmarkEnd w:id="222"/>
      <w:r>
        <w:t xml:space="preserve"> that a 0.1-second improvement in page load time raises e-commerce conversion rates by 8.4%.</w:t>
      </w:r>
      <w:r>
        <w:rPr>
          <w:rStyle w:val="FootnoteReference"/>
        </w:rPr>
        <w:footnoteReference w:id="14"/>
      </w:r>
      <w:r>
        <w:t xml:space="preserv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as specified in </w:t>
      </w:r>
      <w:bookmarkStart w:id="902" w:name="Eq2txt902"/>
      <w:hyperlink w:anchor="Eq2" w:history="1">
        <w:r>
          <w:rPr>
            <w:color w:val="1F3864"/>
            <w:u w:val="single"/>
          </w:rPr>
          <w:t xml:space="preserve">equation (2)</w:t>
        </w:r>
      </w:hyperlink>
      <w:bookmarkEnd w:id="902"/>
      <w:r>
        <w:t xml:space="preserve">. The coefficient weights are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 </w:t>
      </w:r>
      <w:r>
        <w:rPr>
          <w:rStyle w:val="FootnoteReference"/>
        </w:rPr>
        <w:footnoteReference w:id="15"/>
      </w:r>
    </w:p>
    <w:p>
      <w:pPr>
        <w:spacing w:before="0" w:after="160"/>
        <w:ind w:firstLine="0"/>
        <w:jc w:val="both"/>
      </w:pPr>
      <w:r>
        <w:t xml:space="preserve">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3" w:name="Deloitte2025txt"/>
      <w:hyperlink w:anchor="Deloitte2025" w:history="1">
        <w:r>
          <w:rPr>
            <w:color w:val="1F3864"/>
            <w:u w:val="single"/>
          </w:rPr>
          <w:t xml:space="preserve">Deloitte 2025</w:t>
        </w:r>
      </w:hyperlink>
      <w:bookmarkEnd w:id="223"/>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from </w:t>
      </w:r>
      <w:bookmarkStart w:id="903" w:name="Eq3txt903"/>
      <w:hyperlink w:anchor="Eq3" w:history="1">
        <w:r>
          <w:rPr>
            <w:color w:val="1F3864"/>
            <w:u w:val="single"/>
          </w:rPr>
          <w:t xml:space="preserve">equation (3)</w:t>
        </w:r>
      </w:hyperlink>
      <w:bookmarkEnd w:id="903"/>
      <w:r>
        <w:t xml:space="preserve"> is constructed as the geometric mean of two normalized scores: governance quality (</w:t>
      </w:r>
      <w:bookmarkStart w:id="224" w:name="WorldBank2024txt"/>
      <w:hyperlink w:anchor="WorldBank2024" w:history="1">
        <w:r>
          <w:rPr>
            <w:color w:val="1F3864"/>
            <w:u w:val="single"/>
          </w:rPr>
          <w:t xml:space="preserve">World Bank</w:t>
        </w:r>
      </w:hyperlink>
      <w:bookmarkEnd w:id="224"/>
      <w:r>
        <w:t xml:space="preserve"> Worldwide Governance Indicators, Rule of Law percentile, rescaled to [0, 1]) and grid reliability (inverse of hours without electricity per firm per year, from the </w:t>
      </w:r>
      <w:bookmarkStart w:id="243" w:name="WorldBank2024txt"/>
      <w:hyperlink w:anchor="WorldBank2024" w:history="1">
        <w:r>
          <w:rPr>
            <w:color w:val="1F3864"/>
            <w:u w:val="single"/>
          </w:rPr>
          <w:t xml:space="preserve">World Bank</w:t>
        </w:r>
      </w:hyperlink>
      <w:bookmarkEnd w:id="243"/>
      <w:r>
        <w:t xml:space="preserve"> Enterprise Surveys). Sanctions exposure, previously part of ξ, is now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4" w:name="Eq2txt904"/>
      <w:hyperlink w:anchor="Eq2" w:history="1">
        <w:r>
          <w:rPr>
            <w:color w:val="1F3864"/>
            <w:u w:val="single"/>
          </w:rPr>
          <w:t xml:space="preserve">equation (2)</w:t>
        </w:r>
      </w:hyperlink>
      <w:bookmarkEnd w:id="904"/>
      <w:r>
        <w:t xml:space="preserve">. For OECD countries with negligible outages,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with weak grids and governance fall in between (e.g., Kyrgyzstan: 0.57, Iran: 0.51). Note that even countries with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can shift in rank after efficiency adjustment: penalizing low-ξ competitors pushes them down, mechanically raising higher-ξ countries. Moreover, ξ ranges from 0.95 to 1.00 even within the OECD, and the tight cross-country cost spread (≈20%) means small efficiency differences reshuffle adjacent ranks.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r>
        <w:t xml:space="preserve">Under observed electricity tariffs and without efficiency adjustment, the cheapest producer is Iran ($1.41/hr), followed by Turkmenistan ($1.42/hr) and Ethiopia ($1.43/hr), as shown in column (1) of </w:t>
      </w:r>
      <w:bookmarkStart w:id="112" w:name="Table3txt"/>
      <w:hyperlink w:anchor="Table3" w:history="1">
        <w:r>
          <w:rPr>
            <w:color w:val="1F3864"/>
            <w:u w:val="single"/>
          </w:rPr>
          <w:t xml:space="preserve">Table 3a</w:t>
        </w:r>
      </w:hyperlink>
      <w:bookmarkEnd w:id="112"/>
      <w:r>
        <w:t xml:space="preserve">. But this ranking is misleading. Iran’s headline cost rests on electricity priced at $0.005/kWh, a figure sustained by one of the world’s largest fossil fuel subsidies. Turkmenistan, Algeria, Qatar, and several other low-cost producers face similar distortions. </w:t>
      </w:r>
    </w:p>
    <w:p>
      <w:pPr>
        <w:spacing w:before="0" w:after="160"/>
        <w:ind w:firstLine="0"/>
        <w:jc w:val="both"/>
      </w:pPr>
      <w:r>
        <w:t xml:space="preserve">To distinguish genuine comparative advantage from fiscal artifact, we replace subsidized tariffs with cost-recovery prices. These are defined as the long-run marginal cost (LRMC) of the dominant generation technology at opportunity-cost fuel prices (</w:t>
      </w:r>
      <w:bookmarkStart w:id="244" w:name="IMF2025txt"/>
      <w:hyperlink w:anchor="IMF2025" w:history="1">
        <w:r>
          <w:rPr>
            <w:color w:val="1F3864"/>
            <w:u w:val="single"/>
          </w:rPr>
          <w:t xml:space="preserve">IMF 2025</w:t>
        </w:r>
      </w:hyperlink>
      <w:bookmarkEnd w:id="244"/>
      <w:r>
        <w:t xml:space="preserve">, </w:t>
      </w:r>
      <w:bookmarkStart w:id="225" w:name="Lazard2025txt"/>
      <w:hyperlink w:anchor="Lazard2025" w:history="1">
        <w:r>
          <w:rPr>
            <w:color w:val="1F3864"/>
            <w:u w:val="single"/>
          </w:rPr>
          <w:t xml:space="preserve">Lazard 2025</w:t>
        </w:r>
      </w:hyperlink>
      <w:bookmarkEnd w:id="225"/>
      <w:r>
        <w:t xml:space="preserve">). This adjustment is applied to 13 countries whose retail electricity prices fall below the estimated LRMC.  The resulting cost-recovery ranking—column (2) of </w:t>
      </w:r>
      <w:hyperlink w:anchor="Table3" w:history="1">
        <w:r>
          <w:rPr>
            <w:color w:val="1F3864"/>
            <w:u w:val="single"/>
          </w:rPr>
          <w:t xml:space="preserve">Table 3a</w:t>
        </w:r>
      </w:hyperlink>
      <w:r>
        <w:t>—shifts the top of the ranking toward hydropower-rich countries: Kyrgyzstan ($1.58/hr), Canada ($1.59/hr), Ethiopia ($1.59/hr), Kosovo ($1.60/hr), and Tajikistan ($1.60/hr).</w:t>
      </w:r>
    </w:p>
    <w:p>
      <w:pPr>
        <w:spacing w:before="0" w:after="160"/>
        <w:ind w:firstLine="0"/>
        <w:jc w:val="both"/>
      </w:pPr>
      <w:r>
        <w:t>The cost-recovery prices are derived from country-specific LRMC estimates.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w:t>
      </w:r>
      <w:r>
        <w:rPr>
          <w:rStyle w:val="FootnoteReference"/>
        </w:rPr>
        <w:footnoteReference w:id="16"/>
      </w:r>
      <w:r>
        <w:t xml:space="preserve"> The subsidy gap ranges from $0.019 to $0.080/kWh. For Iran, a 100 MW IT-load data center would receive roughly $93 million per year in implicit fiscal transfer. At the export scale, this fiscal arithmetic becomes unsustainable. Iran drops from first to 24th. 42 countries change their trade regimes.</w:t>
      </w:r>
    </w:p>
    <w:p>
      <w:pPr>
        <w:spacing w:before="0" w:after="160"/>
        <w:ind w:firstLine="0"/>
        <w:jc w:val="both"/>
      </w:pPr>
      <w:r>
        <w:t xml:space="preserve">Dividing the cost-recovery costs by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penalizes countries with weak governance and unreliable grids. Column (3) of </w:t>
      </w:r>
      <w:hyperlink w:anchor="Table3" w:history="1">
        <w:r>
          <w:rPr>
            <w:color w:val="1F3864"/>
            <w:u w:val="single"/>
          </w:rPr>
          <w:t xml:space="preserve">Table 3a</w:t>
        </w:r>
      </w:hyperlink>
      <w:r>
        <w:t xml:space="preserve"> reports the preferred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($1.46/hr), Norway ($1.47/hr), Finland ($1.47/hr), Sweden ($1.49/hr), and South Africa ($1.49/hr). </w:t>
      </w:r>
      <w:r>
        <w:t>The Δ column records the rank change from raw tariffs to the preferred specification: Iran drops 80 places</w:t>
      </w:r>
      <w:r>
        <w:t>, Kyrgyzstan drops 70</w:t>
      </w:r>
      <w:r>
        <w:t xml:space="preserve">, while Switzerland rises 63 places, </w:t>
      </w:r>
      <w:r>
        <w:t>and Singapore rises 62</w:t>
      </w:r>
      <w:r>
        <w:t xml:space="preserve">. Nine of the ten cheapest countries under the pure engineering cost ranking fall out of the top ten after efficiency adjustment, replaced by countries with stronger institutions and more reliable grids. Because hardware and networking costs account for roughly 94% of engineering costs, the cross-country cost spread is narrow (about 20%). Even modest institutional penalties are large relative to this thin margin, so governance quality can easily dominate the cost ranking. An engineering cost advantage is therefore necessary but not sufficient for FLOP exporting. </w:t>
      </w:r>
      <w:bookmarkStart w:id="121" w:name="Figure1txt"/>
      <w:hyperlink w:anchor="Figure1" w:history="1">
        <w:r>
          <w:rPr>
            <w:color w:val="1F3864"/>
            <w:u w:val="single"/>
          </w:rPr>
          <w:t xml:space="preserve">Figure 1</w:t>
        </w:r>
      </w:hyperlink>
      <w:bookmarkEnd w:id="121"/>
      <w:r>
        <w:t xml:space="preserve"> illustrates the resulting rank reshuffling. </w:t>
      </w:r>
    </w:p>
    <w:p>
      <w:pPr>
        <w:spacing w:before="0" w:after="160"/>
        <w:ind w:firstLine="0"/>
        <w:jc w:val="both"/>
      </w:pPr>
      <w:r>
        <w:t>The preceding analysis identifies which countries can produce cheaply. The bilateral sovereignty premium determines which countries will trade.</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from </w:t>
      </w:r>
      <w:bookmarkStart w:id="905" w:name="Eq2txt905"/>
      <w:hyperlink w:anchor="Eq2" w:history="1">
        <w:r>
          <w:rPr>
            <w:color w:val="1F3864"/>
            <w:u w:val="single"/>
          </w:rPr>
          <w:t xml:space="preserve">equation (2)</w:t>
        </w:r>
      </w:hyperlink>
      <w:bookmarkEnd w:id="905"/>
      <w:r>
        <w:t xml:space="preserve"> reshapes trade patterns along geopolitical lines. Between allies with mutual data adequacy agreements (e.g., EU member states), the effective premium is near zero; between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negative values indicate countries cheap enough to export (e.g., Canada at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−8.1%</m:t>
        </m:r>
      </m:oMath>
      <w:r>
        <w:t xml:space="preserve">), while positive values indicate the minimum premium for domestic production (e.g.,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0.2%</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20.3%</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56.8%</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6" w:name="Eq4txt906"/>
      <w:hyperlink w:anchor="Eq4" w:history="1">
        <w:r>
          <w:rPr>
            <w:color w:val="1F3864"/>
            <w:u w:val="single"/>
          </w:rPr>
          <w:t xml:space="preserve">equation (4)</w:t>
        </w:r>
      </w:hyperlink>
      <w:bookmarkEnd w:id="906"/>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in Kyrgyzstan ($0.014/hr), indicating modest returns to capacity expansion. </w:t>
      </w:r>
      <w:r>
        <w:t>Inference is more dispersed, with the top five suppliers being Canada (48%), Finland (34%), Norway (7%), Singapore (5%), and Australia (2%), collectively accounting for 96% of global inference demand (HHI = 0.35). Under the bilateral sovereignty premium, most training demand is served domestically, and the smaller export market is served by 1 exporter (HHI = 1.00) at $1.58/hr.</w:t>
      </w:r>
    </w:p>
    <w:p>
      <w:pPr>
        <w:spacing w:before="0" w:after="160"/>
        <w:ind w:firstLine="0"/>
        <w:jc w:val="both"/>
      </w:pPr>
      <w:r>
        <w:rPr>
          <w:rFonts w:ascii="Times New Roman" w:hAnsi="Times New Roman"/>
          <w:b w:val="0"/>
          <w:i/>
          <w:sz w:val="24"/>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($1.69/hr). For Germany, inference is sourced from Norway ($1.66/hr), for the United Kingdom from Finland ($1.67/hr), and for France from Finland ($1.67/hr). For China, the cheapest source of inference is Finland ($1.92/hr), a neighboring country with hydropower-based electricity. These patterns illustrate the model’s core prediction that inference organizes around latency-bounded regional hubs, and each major market has a distinct optimal supplier determined by geography. </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4.7% of average compute spending, comparable to the 0.2–10% welfare losses from trade barriers estimated for goods trade (</w:t>
      </w:r>
      <w:bookmarkStart w:id="226" w:name="EatonKortum2002txt"/>
      <w:hyperlink w:anchor="EatonKortum2002" w:history="1">
        <w:r>
          <w:rPr>
            <w:color w:val="1F3864"/>
            <w:u w:val="single"/>
          </w:rPr>
          <w:t xml:space="preserve">Eaton and Kortum 2002</w:t>
        </w:r>
      </w:hyperlink>
      <w:bookmarkEnd w:id="226"/>
      <w:r>
        <w:t xml:space="preserve">, </w:t>
      </w:r>
      <w:bookmarkStart w:id="245" w:name="ACR2012txt"/>
      <w:hyperlink w:anchor="ACR2012" w:history="1">
        <w:r>
          <w:rPr>
            <w:color w:val="1F3864"/>
            <w:u w:val="single"/>
          </w:rPr>
          <w:t xml:space="preserve">Arkolakis et al. 2012</w:t>
        </w:r>
      </w:hyperlink>
      <w:bookmarkEnd w:id="245"/>
      <w:r>
        <w:t xml:space="preserve">).</w:t>
      </w:r>
    </w:p>
    <w:p>
      <w:pPr>
        <w:spacing w:before="0" w:after="160"/>
        <w:ind w:firstLine="0"/>
        <w:jc w:val="both"/>
      </w:pPr>
      <w:r>
        <w:t xml:space="preserve">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the bilateral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Natural FLOP exporters may simultaneously erect sovereignty barriers against importing from neighbors, forgoing the regional specialization gains the model predicts. The EU’s GDPR and AI Act already segment the compute market along regulatory lines, reinforcing the sovereignty premium as a structural feature. The </w:t>
      </w:r>
      <w:bookmarkStart w:id="227" w:name="WorldBank2025txt"/>
      <w:hyperlink w:anchor="WorldBank2025" w:history="1">
        <w:r>
          <w:rPr>
            <w:color w:val="1F3864"/>
            <w:u w:val="single"/>
          </w:rPr>
          <w:t xml:space="preserve">World Bank (2025)</w:t>
        </w:r>
      </w:hyperlink>
      <w:bookmarkEnd w:id="227"/>
      <w:r>
        <w:t xml:space="preserve"> frames this as the central policy choice: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The calibration likely overstates developing-country competitiveness. Several of the cheapest producers (Iran, Turkmenistan, Uzbekistan) rank poorly on property rights and rule of law indices, and subsidized electricity prices may be politically fragile. Data center investments are large, long-lived, and immobile, so viability depends on institutional factors not fully captured by ξ alone. GPU export controls further constrain Iran, Russia, and Belarus, and water scarcity limits Iran, Turkmenistan, Egypt, and Saudi Arabia. Effective entry barriers are therefore higher than production costs alone suggest.</w:t>
      </w:r>
    </w:p>
    <w:p>
      <w:pPr>
        <w:spacing w:before="0" w:after="160"/>
        <w:ind w:firstLine="0"/>
        <w:jc w:val="both"/>
      </w:pPr>
      <w:r>
        <w:t>Even after adjusting for cost-recovery pricing, fiscal sustainability remains a concern. Regulated tariffs in many developing countries cover operating expenses but not the full capital cost of generation, transmission, and distribution infrastructure. State-owned enterprises (SOEs) accumulate quasi-fiscal deficits that are eventually borne by taxpayers or future consumers. Allowing large-scale FLOP exports at these prices would accelerate infrastructure depreciation while the SOE cannot finance replacement, raising a fundamental question—is it politically sustainable to export compute while the domestic energy sector cannot maintain its capital stock? Governments ultimately face a choice between raising data center tariffs (eroding the cost advantage), maintaining subsidies at growing fiscal cost, or capping capacity.</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parameters. For large economies, this is innocuous, but for the small, cheap-energy countries that rank highest in </w:t>
      </w:r>
      <w:hyperlink w:anchor="TableA1" w:history="1">
        <w:r>
          <w:rPr>
            <w:color w:val="1F3864"/>
            <w:u w:val="single"/>
          </w:rPr>
          <w:t xml:space="preserve">Table A1</w:t>
        </w:r>
      </w:hyperlink>
      <w:r>
        <w:t>, a hyperscale data center can be large relative to the host grid. Kyrgyzstan’s 3,800 MW grid (Appendix D) would face significant strain from a single 100 MW facility consuming roughly 3% of national electricity output. At the multi-facility scale implied by the model’s export predictions, data centers would become the dominant industrial load competing with residential heating in winter when hydropower output drops and likely triggering regulatory intervention. The cheap electricity that attracts investment would be partially eroded by the investment itself.</w:t>
      </w:r>
      <w:r>
        <w:rPr>
          <w:rStyle w:val="FootnoteReference"/>
        </w:rPr>
        <w:footnoteReference w:id="18"/>
      </w:r>
      <w:r>
        <w:t xml:space="preserve">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concern by capping each country’s compute output within a feasible range, but the model’s fixed-price assumption means the cost advantages in </w:t>
      </w:r>
      <w:hyperlink w:anchor="TableA1" w:history="1">
        <w:r>
          <w:rPr>
            <w:color w:val="1F3864"/>
            <w:u w:val="single"/>
          </w:rPr>
          <w:t xml:space="preserve">Table A1</w:t>
        </w:r>
      </w:hyperlink>
      <w:r>
        <w:t xml:space="preserve"> are upper bounds. A general equilibrium extension with upward-sloping electricity supply curves would compress these advantages further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costs via straight-line depreciation. In practice, the financing gap is large (</w:t>
      </w:r>
      <w:bookmarkStart w:id="228" w:name="Calcaterra2024txt"/>
      <w:hyperlink w:anchor="Calcaterra2024" w:history="1">
        <w:r>
          <w:rPr>
            <w:color w:val="1F3864"/>
            <w:u w:val="single"/>
          </w:rPr>
          <w:t xml:space="preserve">Calcaterra et al. 2024</w:t>
        </w:r>
      </w:hyperlink>
      <w:bookmarkEnd w:id="228"/>
      <w:r>
        <w:t xml:space="preserve">). An OECD hyperscaler at a WACC of 8% faces hardware costs of $1.58 per GPU-hour, while a developing-country operator at 18% pays $1.87—a $0.29 gap on hardware alone, widening to $0.37 including construction, about four times the electricity cost spread across the top 20 countries. If hyperscalers finance at their own WACC regardless of host country, the baseline rankings hold. If facilities are locally financed, the cost-of-capital channel reinforces the efficiency adjustment: the same institutional weaknesses that lower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Sensitivity analysis. </w:t>
      </w:r>
      <w:r>
        <w:t xml:space="preserve">The cost rankings in </w:t>
      </w:r>
      <w:hyperlink w:anchor="TableA1" w:history="1">
        <w:r>
          <w:rPr>
            <w:color w:val="1F3864"/>
            <w:u w:val="single"/>
          </w:rPr>
          <w:t xml:space="preserve">Table A1</w:t>
        </w:r>
      </w:hyperlink>
      <w:r>
        <w:t xml:space="preserve">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w:t>
      </w:r>
      <w:bookmarkStart w:id="143" w:name="TableA3txt"/>
      <w:hyperlink w:anchor="TableA3" w:history="1">
        <w:r>
          <w:rPr>
            <w:color w:val="1F3864"/>
            <w:u w:val="single"/>
          </w:rPr>
          <w:t xml:space="preserve">Table A3</w:t>
        </w:r>
      </w:hyperlink>
      <w:bookmarkEnd w:id="143"/>
      <w:r>
        <w:t xml:space="preserve"> in Appendix C reports the full results.</w:t>
      </w:r>
    </w:p>
    <w:p>
      <w:pPr>
        <w:spacing w:before="0" w:after="160"/>
        <w:ind w:firstLine="0"/>
        <w:jc w:val="both"/>
      </w:pPr>
      <w:r>
        <w:rPr>
          <w:rFonts w:ascii="Times New Roman" w:hAnsi="Times New Roman"/>
          <w:b w:val="0"/>
          <w:i/>
          <w:sz w:val="24"/>
        </w:rPr>
        <w:t xml:space="preserve">Uniform sovereignty premium. </w:t>
      </w:r>
      <w:r>
        <w:t xml:space="preserve">As a robustness check, column (6) of </w:t>
      </w:r>
      <w:hyperlink w:anchor="Table3b" w:history="1">
        <w:r>
          <w:rPr>
            <w:color w:val="1F3864"/>
            <w:u w:val="single"/>
          </w:rPr>
          <w:t xml:space="preserve">Table 3b</w:t>
        </w:r>
      </w:hyperlink>
      <w:r>
        <w:t xml:space="preserve"> reports results under a uniform sovereignty premium </w:t>
      </w:r>
      <m:oMath>
        <m:r>
          <m:rPr>
            <m:sty m:val="i"/>
          </m:rPr>
          <w:rPr>
            <w:rFonts w:ascii="Cambria Math" w:hAnsi="Cambria Math"/>
          </w:rPr>
          <m:t xml:space="preserve">λ</m:t>
        </m:r>
        <m:r>
          <m:rPr>
            <m:sty m:val="p"/>
          </m:rPr>
          <w:rPr>
            <w:rFonts w:ascii="Cambria Math" w:hAnsi="Cambria Math"/>
          </w:rPr>
          <m:t xml:space="preserve"> = 10%</m:t>
        </m:r>
      </m:oMath>
      <w:r>
        <w:t>, the specification used in earlier versions of the model. The uniform premium produces broadly similar regime assignments: most countries produce domestically under either specification. The main difference is that the bilateral premium excludes sanctioned countries from serving any demand center, while the uniform premium treats all country pairs identically. The bilateral specification is preferred because it captures the observed heterogeneity in sovereignty preferences across country pairs.</w:t>
      </w:r>
    </w:p>
    <w:p>
      <w:pPr>
        <w:spacing w:before="0" w:after="160"/>
        <w:ind w:firstLine="0"/>
        <w:jc w:val="both"/>
      </w:pPr>
      <w:r>
        <w:t xml:space="preserve">As a refinement, the model segments each country’s compute demand into three tiers: sovereign workloads (10% of demand, domestic only), regulated workloads (20%, higher regulatory compatibility weight), and commercial workloads (70%, geopolitical alignment only). Under the calibrated parameters, tiering leaves regime type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frameworks, favoring EU member states and APEC CBPR participants over geographically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 xml:space="preserve">The model can be extended in several directions.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29" w:name="Krugman1991txt"/>
      <w:hyperlink w:anchor="Krugman1991" w:history="1">
        <w:r>
          <w:rPr>
            <w:color w:val="1F3864"/>
            <w:u w:val="single"/>
          </w:rPr>
          <w:t xml:space="preserve">Krugman 1991</w:t>
        </w:r>
      </w:hyperlink>
      <w:bookmarkEnd w:id="229"/>
      <w:r>
        <w:t xml:space="preserve">). The concentration of data centers in locations such as Northern Virginia reflects these centripetal forces.</w:t>
      </w:r>
    </w:p>
    <w:p>
      <w:pPr>
        <w:pStyle w:val="Heading1"/>
      </w:pPr>
      <w:r>
        <w:rPr>
          <w:rFonts w:ascii="Times New Roman" w:hAnsi="Times New Roman"/>
          <w:b/>
          <w:color w:val="2F5496"/>
          <w:sz w:val="28"/>
        </w:rPr>
        <w:t>8.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bilateral sovereignty premium to capture governments’ preference for domestic data processing, varying with geopolitical alignment, regulatory compatibility, and sanctions exposure. Capacity ceilings transform the classical cost-based assignment into a framework with market-clearing prices and scarcity rents. The paper calibrates the model for 85 countries using data on electricity prices, temperatures, construction costs, bilateral latencies, and grid capacity.</w:t>
      </w:r>
    </w:p>
    <w:p>
      <w:pPr>
        <w:spacing w:before="0" w:after="160"/>
        <w:ind w:firstLine="0"/>
        <w:jc w:val="both"/>
      </w:pPr>
      <w:r>
        <w:t xml:space="preserve">Across 85 countries, low-energy-cost countries export training compute, while inference is served by regional hubs close enough to users to meet latency requirements. The bilateral sovereignty premium rationalizes widespread domestic investment, shifting the majority of countries from import to domestic production, at a demand-weighted welfare cost of 4.7% of compute spending. The model generates a country taxonomy (full importers, training exporters, inference hubs, and hybrid regimes) that maps onto observed investment patterns. This geographic structure is consistent with </w:t>
      </w:r>
      <w:bookmarkStart w:id="230" w:name="Lehdonvirta2024txt"/>
      <w:hyperlink w:anchor="Lehdonvirta2024" w:history="1">
        <w:r>
          <w:rPr>
            <w:color w:val="1F3864"/>
            <w:u w:val="single"/>
          </w:rPr>
          <w:t xml:space="preserve">Lehdonvirta et al. (2024)</w:t>
        </w:r>
      </w:hyperlink>
      <w:bookmarkEnd w:id="230"/>
      <w:r>
        <w:t xml:space="preserve">, who independently find that training-capable GPU infrastructure is concentrated in roughly 30 countries, while the rest are limited to inference-grade hardware. Given the narrow cross-country cost spread documented in Section 6, production efficiency, bilateral trade frictions, and access to GPU hardware are often decisive in determining actual data center location. </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1" w:name="vanderPloeg2011txt"/>
      <w:hyperlink w:anchor="vanderPloeg2011" w:history="1">
        <w:r>
          <w:rPr>
            <w:color w:val="1F3864"/>
            <w:u w:val="single"/>
          </w:rPr>
          <w:t xml:space="preserve">van der Ploeg 2011</w:t>
        </w:r>
      </w:hyperlink>
      <w:bookmarkEnd w:id="231"/>
      <w:r>
        <w:t xml:space="preserve">) warns that concentrated export revenues can lead to Dutch disease, institutional degradation, and volatility. Whether FLOP-exporting shares these risks depends on whether revenues are broadly distributed or concentrated among a narrow set of actors, and on whether governments invest the proceeds in human capital and institutional development.</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production efficiency, bilateral trust, and data governance frameworks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5"/>
    </w:p>
    <w:p>
      <w:pPr>
        <w:spacing w:before="0" w:after="80" w:line="240" w:lineRule="exact"/>
        <w:ind w:hanging="720" w:left="720"/>
        <w:jc w:val="both"/>
      </w:pPr>
      <w:bookmarkStart w:id="506"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6"/>
    </w:p>
    <w:p>
      <w:pPr>
        <w:spacing w:before="0" w:after="80" w:line="240" w:lineRule="exact"/>
        <w:ind w:hanging="720" w:left="720"/>
        <w:jc w:val="both"/>
      </w:pPr>
      <w:bookmarkStart w:id="50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7"/>
    </w:p>
    <w:p>
      <w:pPr>
        <w:spacing w:before="0" w:after="80" w:line="240" w:lineRule="exact"/>
        <w:ind w:hanging="720" w:left="720"/>
        <w:jc w:val="both"/>
      </w:pPr>
      <w:bookmarkStart w:id="508" w:name="Deloitte2020"/>
      <w:hyperlink w:anchor="Deloitte2020txt" w:history="1">
        <w:r>
          <w:rPr>
            <w:color w:val="1F3864"/>
            <w:u w:val="single"/>
          </w:rPr>
          <w:t xml:space="preserve">Deloitte and Google. (2020). </w:t>
        </w:r>
      </w:hyperlink>
      <w:r>
        <w:t>“Milliseconds Make Millions.” Deloitte Digital and Google.</w:t>
      </w:r>
      <w:bookmarkEnd w:id="508"/>
    </w:p>
    <w:p>
      <w:pPr>
        <w:spacing w:before="0" w:after="80" w:line="240" w:lineRule="exact"/>
        <w:ind w:hanging="720" w:left="720"/>
        <w:jc w:val="both"/>
      </w:pPr>
      <w:bookmarkStart w:id="50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9"/>
    </w:p>
    <w:p>
      <w:pPr>
        <w:spacing w:before="0" w:after="80" w:line="240" w:lineRule="exact"/>
        <w:ind w:hanging="720" w:left="720"/>
        <w:jc w:val="both"/>
      </w:pPr>
      <w:bookmarkStart w:id="510"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0"/>
    </w:p>
    <w:p>
      <w:pPr>
        <w:spacing w:before="0" w:after="80" w:line="240" w:lineRule="exact"/>
        <w:ind w:hanging="720" w:left="720"/>
        <w:jc w:val="both"/>
      </w:pPr>
      <w:bookmarkStart w:id="511"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1"/>
    </w:p>
    <w:p>
      <w:pPr>
        <w:spacing w:before="0" w:after="80" w:line="240" w:lineRule="exact"/>
        <w:ind w:hanging="720" w:left="720"/>
        <w:jc w:val="both"/>
      </w:pPr>
      <w:bookmarkStart w:id="512" w:name="EpochAI2024"/>
      <w:hyperlink w:anchor="EpochAI2024txt" w:history="1">
        <w:r>
          <w:rPr>
            <w:color w:val="1F3864"/>
            <w:u w:val="single"/>
          </w:rPr>
          <w:t xml:space="preserve">Epoch AI. (2024). </w:t>
        </w:r>
      </w:hyperlink>
      <w:r>
        <w:t>“The Training Compute of Notable AI Models.” epochai.org.</w:t>
      </w:r>
      <w:bookmarkEnd w:id="512"/>
    </w:p>
    <w:p>
      <w:pPr>
        <w:spacing w:before="0" w:after="80" w:line="240" w:lineRule="exact"/>
        <w:ind w:hanging="720" w:left="720"/>
        <w:jc w:val="both"/>
      </w:pPr>
      <w:bookmarkStart w:id="513"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3"/>
    </w:p>
    <w:p>
      <w:pPr>
        <w:spacing w:before="0" w:after="80" w:line="240" w:lineRule="exact"/>
        <w:ind w:hanging="720" w:left="720"/>
        <w:jc w:val="both"/>
      </w:pPr>
      <w:bookmarkStart w:id="514"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4"/>
    </w:p>
    <w:p>
      <w:pPr>
        <w:spacing w:before="0" w:after="80" w:line="240" w:lineRule="exact"/>
        <w:ind w:hanging="720" w:left="720"/>
        <w:jc w:val="both"/>
      </w:pPr>
      <w:bookmarkStart w:id="515"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5"/>
    </w:p>
    <w:p>
      <w:pPr>
        <w:spacing w:before="0" w:after="80" w:line="240" w:lineRule="exact"/>
        <w:ind w:hanging="720" w:left="720"/>
        <w:jc w:val="both"/>
      </w:pPr>
      <w:bookmarkStart w:id="516"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6"/>
    </w:p>
    <w:p>
      <w:pPr>
        <w:spacing w:before="0" w:after="80" w:line="240" w:lineRule="exact"/>
        <w:ind w:hanging="720" w:left="720"/>
        <w:jc w:val="both"/>
      </w:pPr>
      <w:bookmarkStart w:id="517"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7"/>
    </w:p>
    <w:p>
      <w:pPr>
        <w:spacing w:before="0" w:after="80" w:line="240" w:lineRule="exact"/>
        <w:ind w:hanging="720" w:left="720"/>
        <w:jc w:val="both"/>
      </w:pPr>
      <w:bookmarkStart w:id="518" w:name="Google2024"/>
      <w:r>
        <w:rPr>
          <w:color w:val="1F3864"/>
          <w:u w:val="single"/>
        </w:rPr>
        <w:t xml:space="preserve">Google. </w:t>
      </w:r>
      <w:r>
        <w:t xml:space="preserve">(2024). </w:t>
      </w:r>
      <w:r>
        <w:rPr>
          <w:i/>
        </w:rPr>
        <w:t>2024 Environmental Report</w:t>
      </w:r>
      <w:r>
        <w:t>. sustainability.google.</w:t>
      </w:r>
      <w:bookmarkEnd w:id="518"/>
    </w:p>
    <w:p>
      <w:pPr>
        <w:spacing w:before="0" w:after="80" w:line="240" w:lineRule="exact"/>
        <w:ind w:hanging="720" w:left="720"/>
        <w:jc w:val="both"/>
      </w:pPr>
      <w:bookmarkStart w:id="519"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9"/>
    </w:p>
    <w:p>
      <w:pPr>
        <w:spacing w:before="0" w:after="80" w:line="240" w:lineRule="exact"/>
        <w:ind w:hanging="720" w:left="720"/>
        <w:jc w:val="both"/>
      </w:pPr>
      <w:bookmarkStart w:id="520"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0"/>
    </w:p>
    <w:p>
      <w:pPr>
        <w:spacing w:before="0" w:after="80" w:line="240" w:lineRule="exact"/>
        <w:ind w:hanging="720" w:left="720"/>
        <w:jc w:val="both"/>
      </w:pPr>
      <w:bookmarkStart w:id="521"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1"/>
    </w:p>
    <w:p>
      <w:pPr>
        <w:spacing w:before="0" w:after="80" w:line="240" w:lineRule="exact"/>
        <w:ind w:hanging="720" w:left="720"/>
        <w:jc w:val="both"/>
      </w:pPr>
      <w:bookmarkStart w:id="522" w:name="Hummels2013"/>
      <w:hyperlink w:anchor="Hummels2013txt" w:history="1">
        <w:r>
          <w:rPr>
            <w:color w:val="1F3864"/>
            <w:u w:val="single"/>
          </w:rPr>
          <w:t xml:space="preserve">Hummels, D., and G. Schaur. (2013). </w:t>
        </w:r>
      </w:hyperlink>
      <w:r>
        <w:t xml:space="preserve">“Time as a Trade Barrier.” </w:t>
      </w:r>
      <w:r>
        <w:rPr>
          <w:i/>
        </w:rPr>
        <w:t>American Economic Review</w:t>
      </w:r>
      <w:r>
        <w:t>, 103(7): 2935–2959.</w:t>
      </w:r>
      <w:bookmarkEnd w:id="522"/>
    </w:p>
    <w:p>
      <w:pPr>
        <w:spacing w:before="0" w:after="80" w:line="240" w:lineRule="exact"/>
        <w:ind w:hanging="720" w:left="720"/>
        <w:jc w:val="both"/>
      </w:pPr>
      <w:bookmarkStart w:id="523" w:name="IEA2025"/>
      <w:hyperlink w:anchor="IEA2025txt" w:history="1">
        <w:r>
          <w:rPr>
            <w:color w:val="1F3864"/>
            <w:u w:val="single"/>
          </w:rPr>
          <w:t xml:space="preserve">IEA. (2025). </w:t>
        </w:r>
      </w:hyperlink>
      <w:r>
        <w:t>“Energy Demand from AI.” Published online at iea.org.</w:t>
      </w:r>
      <w:bookmarkEnd w:id="523"/>
    </w:p>
    <w:p>
      <w:pPr>
        <w:spacing w:before="0" w:after="80" w:line="240" w:lineRule="exact"/>
        <w:ind w:hanging="720" w:left="720"/>
        <w:jc w:val="both"/>
      </w:pPr>
      <w:bookmarkStart w:id="524"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4"/>
    </w:p>
    <w:p>
      <w:pPr>
        <w:spacing w:before="0" w:after="80" w:line="240" w:lineRule="exact"/>
        <w:ind w:hanging="720" w:left="720"/>
        <w:jc w:val="both"/>
      </w:pPr>
      <w:bookmarkStart w:id="525"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5"/>
    </w:p>
    <w:p>
      <w:pPr>
        <w:spacing w:before="0" w:after="80" w:line="240" w:lineRule="exact"/>
        <w:ind w:hanging="720" w:left="720"/>
        <w:jc w:val="both"/>
      </w:pPr>
      <w:bookmarkStart w:id="526"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6"/>
    </w:p>
    <w:p>
      <w:pPr>
        <w:spacing w:before="0" w:after="80" w:line="240" w:lineRule="exact"/>
        <w:ind w:hanging="720" w:left="720"/>
        <w:jc w:val="both"/>
      </w:pPr>
      <w:bookmarkStart w:id="527"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7"/>
    </w:p>
    <w:p>
      <w:pPr>
        <w:spacing w:before="0" w:after="80" w:line="240" w:lineRule="exact"/>
        <w:ind w:hanging="720" w:left="720"/>
        <w:jc w:val="both"/>
      </w:pPr>
      <w:bookmarkStart w:id="528"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8"/>
    </w:p>
    <w:p>
      <w:pPr>
        <w:spacing w:before="0" w:after="80" w:line="240" w:lineRule="exact"/>
        <w:ind w:hanging="720" w:left="720"/>
        <w:jc w:val="both"/>
      </w:pPr>
      <w:bookmarkStart w:id="529"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2" w:name="WorldBank2024txt"/>
      <w:hyperlink w:anchor="WorldBank2024" w:history="1">
        <w:r>
          <w:rPr>
            <w:i/>
            <w:color w:val="1F3864"/>
            <w:u w:val="single"/>
          </w:rPr>
          <w:t xml:space="preserve">World Bank</w:t>
        </w:r>
      </w:hyperlink>
      <w:bookmarkEnd w:id="232"/>
      <w:r>
        <w:rPr>
          <w:i/>
        </w:rPr>
        <w:t xml:space="preserve"> Economic Review</w:t>
      </w:r>
      <w:r>
        <w:t>, 15(3): 451–479.</w:t>
      </w:r>
      <w:bookmarkEnd w:id="529"/>
    </w:p>
    <w:p>
      <w:pPr>
        <w:spacing w:before="0" w:after="80" w:line="240" w:lineRule="exact"/>
        <w:ind w:hanging="720" w:left="720"/>
        <w:jc w:val="both"/>
      </w:pPr>
      <w:bookmarkStart w:id="530"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0"/>
    </w:p>
    <w:p>
      <w:pPr>
        <w:spacing w:before="0" w:after="80" w:line="240" w:lineRule="exact"/>
        <w:ind w:hanging="720" w:left="720"/>
        <w:jc w:val="both"/>
      </w:pPr>
      <w:bookmarkStart w:id="531" w:name="NVIDIA2024"/>
      <w:r>
        <w:rPr>
          <w:color w:val="1F3864"/>
          <w:u w:val="single"/>
        </w:rPr>
        <w:t xml:space="preserve">NVIDIA. </w:t>
      </w:r>
      <w:r>
        <w:t xml:space="preserve">(2024). </w:t>
      </w:r>
      <w:r>
        <w:rPr>
          <w:i/>
        </w:rPr>
        <w:t>NVIDIA H100 Tensor Core GPU Datasheet</w:t>
      </w:r>
      <w:r>
        <w:t>. nvidia.com.</w:t>
      </w:r>
      <w:bookmarkEnd w:id="531"/>
    </w:p>
    <w:p>
      <w:pPr>
        <w:spacing w:before="0" w:after="80" w:line="240" w:lineRule="exact"/>
        <w:ind w:hanging="720" w:left="720"/>
        <w:jc w:val="both"/>
      </w:pPr>
      <w:bookmarkStart w:id="532"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2"/>
    </w:p>
    <w:p>
      <w:pPr>
        <w:spacing w:before="0" w:after="80" w:line="240" w:lineRule="exact"/>
        <w:ind w:hanging="720" w:left="720"/>
        <w:jc w:val="both"/>
      </w:pPr>
      <w:bookmarkStart w:id="533"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3"/>
    </w:p>
    <w:p>
      <w:pPr>
        <w:spacing w:before="0" w:after="80" w:line="240" w:lineRule="exact"/>
        <w:ind w:hanging="720" w:left="720"/>
        <w:jc w:val="both"/>
      </w:pPr>
      <w:bookmarkStart w:id="534" w:name="Sastry2024"/>
      <w:hyperlink w:anchor="Sastry2024txt" w:history="1">
        <w:r>
          <w:rPr>
            <w:color w:val="1F3864"/>
            <w:u w:val="single"/>
          </w:rPr>
          <w:t xml:space="preserve">Sastry, G., L. Heim, et al. (2024). </w:t>
        </w:r>
      </w:hyperlink>
      <w:r>
        <w:t>“Computing Power and the Governance of Artificial Intelligence.” arXiv:2402.08797.</w:t>
      </w:r>
      <w:bookmarkEnd w:id="534"/>
    </w:p>
    <w:p>
      <w:pPr>
        <w:spacing w:before="0" w:after="80" w:line="240" w:lineRule="exact"/>
        <w:ind w:hanging="720" w:left="720"/>
        <w:jc w:val="both"/>
      </w:pPr>
      <w:bookmarkStart w:id="535"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5"/>
    </w:p>
    <w:p>
      <w:pPr>
        <w:spacing w:before="0" w:after="80" w:line="240" w:lineRule="exact"/>
        <w:ind w:hanging="720" w:left="720"/>
        <w:jc w:val="both"/>
      </w:pPr>
      <w:bookmarkStart w:id="536"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6"/>
    </w:p>
    <w:p>
      <w:pPr>
        <w:spacing w:before="0" w:after="80" w:line="240" w:lineRule="exact"/>
        <w:ind w:hanging="720" w:left="720"/>
        <w:jc w:val="both"/>
      </w:pPr>
      <w:bookmarkStart w:id="537" w:name="TurnerLee2025"/>
      <w:hyperlink w:anchor="TurnerLee2025txt" w:history="1">
        <w:r>
          <w:rPr>
            <w:color w:val="1F3864"/>
            <w:u w:val="single"/>
          </w:rPr>
          <w:t xml:space="preserve">Turner Lee, N., and D. West. (2025). </w:t>
        </w:r>
      </w:hyperlink>
      <w:r>
        <w:t>“The Future of Data Centers.” Brookings Institution, November 2025.</w:t>
      </w:r>
      <w:bookmarkEnd w:id="537"/>
    </w:p>
    <w:p>
      <w:pPr>
        <w:spacing w:before="0" w:after="80" w:line="240" w:lineRule="exact"/>
        <w:ind w:hanging="720" w:left="720"/>
        <w:jc w:val="both"/>
      </w:pPr>
      <w:bookmarkStart w:id="538" w:name="DOJFTC2010"/>
      <w:r>
        <w:rPr>
          <w:color w:val="1F3864"/>
          <w:u w:val="single"/>
        </w:rPr>
        <w:t xml:space="preserve">U.S. Department of Justice and Federal Trade Commission. </w:t>
      </w:r>
      <w:r>
        <w:t xml:space="preserve">(2010). </w:t>
      </w:r>
      <w:r>
        <w:rPr>
          <w:i/>
        </w:rPr>
        <w:t>Horizontal Merger Guidelines</w:t>
      </w:r>
      <w:r>
        <w:t>. Washington, DC.</w:t>
      </w:r>
      <w:bookmarkEnd w:id="538"/>
    </w:p>
    <w:p>
      <w:pPr>
        <w:spacing w:before="0" w:after="80" w:line="240" w:lineRule="exact"/>
        <w:ind w:hanging="720" w:left="720"/>
        <w:jc w:val="both"/>
      </w:pPr>
      <w:bookmarkStart w:id="539" w:name="UNCTAD2025"/>
      <w:r>
        <w:rPr>
          <w:color w:val="1F3864"/>
          <w:u w:val="single"/>
        </w:rPr>
        <w:t xml:space="preserve">UNCTAD. </w:t>
      </w:r>
      <w:r>
        <w:t xml:space="preserve">(2025). </w:t>
      </w:r>
      <w:r>
        <w:rPr>
          <w:i/>
        </w:rPr>
        <w:t>Technology and Innovation Report 2025</w:t>
      </w:r>
      <w:r>
        <w:t>. Geneva: United Nations.</w:t>
      </w:r>
      <w:bookmarkEnd w:id="539"/>
    </w:p>
    <w:p>
      <w:pPr>
        <w:spacing w:before="0" w:after="80" w:line="240" w:lineRule="exact"/>
        <w:ind w:hanging="720" w:left="720"/>
        <w:jc w:val="both"/>
      </w:pPr>
      <w:bookmarkStart w:id="540"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0"/>
    </w:p>
    <w:p>
      <w:pPr>
        <w:spacing w:before="0" w:after="80" w:line="240" w:lineRule="exact"/>
        <w:ind w:hanging="720" w:left="720"/>
        <w:jc w:val="both"/>
      </w:pPr>
      <w:bookmarkStart w:id="541"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1"/>
    </w:p>
    <w:p>
      <w:pPr>
        <w:spacing w:before="0" w:after="80" w:line="240" w:lineRule="exact"/>
        <w:ind w:hanging="720" w:left="720"/>
        <w:jc w:val="both"/>
      </w:pPr>
      <w:bookmarkStart w:id="542"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2"/>
    </w:p>
    <w:p>
      <w:pPr>
        <w:spacing w:before="0" w:after="80" w:line="240" w:lineRule="exact"/>
        <w:ind w:hanging="720" w:left="720"/>
        <w:jc w:val="both"/>
      </w:pPr>
      <w:bookmarkStart w:id="543"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3"/>
    </w:p>
    <w:p>
      <w:pPr>
        <w:spacing w:before="0" w:after="80" w:line="240" w:lineRule="exact"/>
        <w:ind w:hanging="720" w:left="720"/>
        <w:jc w:val="both"/>
      </w:pPr>
      <w:bookmarkStart w:id="544"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3" w:name="WorldBank2024txt"/>
      <w:hyperlink w:anchor="WorldBank2024" w:history="1">
        <w:r>
          <w:rPr>
            <w:color w:val="1F3864"/>
            <w:u w:val="single"/>
          </w:rPr>
          <w:t xml:space="preserve">World Bank</w:t>
        </w:r>
      </w:hyperlink>
      <w:bookmarkEnd w:id="233"/>
      <w:r>
        <w:t xml:space="preserve">.</w:t>
      </w:r>
      <w:bookmarkEnd w:id="544"/>
    </w:p>
    <w:p>
      <w:pPr>
        <w:spacing w:before="0" w:after="0"/>
      </w:pPr>
      <w:r>
        <w:br w:type="page"/>
      </w:r>
    </w:p>
    <w:p>
      <w:pPr>
        <w:spacing w:before="120" w:after="80"/>
        <w:ind w:firstLine="0"/>
        <w:jc w:val="both"/>
      </w:pPr>
      <w:bookmarkStart w:id="120" w:name="Figure1"/>
      <w:hyperlink w:anchor="Figure1txt" w:history="1">
        <w:r>
          <w:rPr>
            <w:b/>
            <w:sz w:val="20"/>
            <w:color w:val="1F3864"/>
            <w:u w:val="single"/>
          </w:rPr>
          <w:t>Figure 1</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3012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4130125"/>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combines governance quality and grid reliability (equation 3).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17"/>
        <w:gridCol w:w="617"/>
        <w:gridCol w:w="617"/>
        <w:gridCol w:w="617"/>
        <w:gridCol w:w="617"/>
        <w:gridCol w:w="617"/>
        <w:gridCol w:w="617"/>
        <w:gridCol w:w="617"/>
        <w:gridCol w:w="617"/>
        <w:gridCol w:w="617"/>
        <w:gridCol w:w="617"/>
        <w:gridCol w:w="617"/>
        <w:gridCol w:w="617"/>
        <w:gridCol w:w="617"/>
      </w:tblGrid>
      <w:tr>
        <w:tc>
          <w:tcPr>
            <w:tcBorders>
              <w:top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tcBorders>
            <w:tcW w:w="540" w:type="dxa"/>
          </w:tcPr>
          <w:p>
            <w:pPr>
              <w:jc w:val="center"/>
              <w:spacing w:before="10" w:after="10"/>
            </w:pPr>
            <w:r/>
            <w:r>
              <w:rPr>
                <w:rFonts w:ascii="Times New Roman" w:hAnsi="Times New Roman"/>
                <w:sz w:val="16"/>
              </w:rPr>
            </w:r>
          </w:p>
        </w:tc>
      </w:tr>
      <w:tr>
        <w:tc>
          <w:tcPr>
            <w:tcBorders>
              <w:bottom w:val="single" w:sz="4" w:space="0" w:color="auto"/>
            </w:tcBorders>
            <w:tcW w:w="1800" w:type="dxa"/>
          </w:tcPr>
          <w:p>
            <w:pPr>
              <w:jc w:val="left"/>
              <w:spacing w:before="10" w:after="10"/>
            </w:pPr>
            <w:r/>
            <w:r>
              <w:rPr>
                <w:rFonts w:ascii="Times New Roman" w:hAnsi="Times New Roman"/>
                <w:b/>
                <w:sz w:val="16"/>
              </w:rPr>
              <w:t>Country</w:t>
            </w:r>
          </w:p>
        </w:tc>
        <w:tc>
          <w:tcPr>
            <w:tcBorders>
              <w:bottom w:val="single" w:sz="4" w:space="0" w:color="auto"/>
            </w:tcBorders>
            <w:tcW w:w="900" w:type="dxa"/>
          </w:tcPr>
          <w:p>
            <w:pPr>
              <w:jc w:val="center"/>
              <w:spacing w:before="10" w:after="10"/>
            </w:pPr>
            <w:r/>
            <w:r>
              <w:rPr>
                <w:rFonts w:ascii="Times New Roman" w:hAnsi="Times New Roman"/>
                <w:b/>
                <w:sz w:val="16"/>
              </w:rPr>
              <w:t>cⱼ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cⱼ/ξⱼᵉᶠᶠ</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cⱼ/ξⱼᵉᶠᶠ</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South Africa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+27</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+11</w:t>
            </w:r>
          </w:p>
        </w:tc>
      </w:tr>
      <w:tr>
        <w:tc>
          <w:tcPr>
            <w:tcW w:w="1800" w:type="dxa"/>
          </w:tcPr>
          <w:p>
            <w:pPr>
              <w:jc w:val="left"/>
              <w:spacing w:before="10" w:after="10"/>
            </w:pPr>
            <w:r/>
            <w:r>
              <w:rPr>
                <w:rFonts w:ascii="Times New Roman" w:hAnsi="Times New Roman"/>
                <w:sz w:val="16"/>
              </w:rPr>
              <w:t>Japan</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+54</w:t>
            </w:r>
          </w:p>
        </w:tc>
      </w:tr>
      <w:tr>
        <w:tc>
          <w:tcPr>
            <w:tcW w:w="1800" w:type="dxa"/>
          </w:tcPr>
          <w:p>
            <w:pPr>
              <w:jc w:val="left"/>
              <w:spacing w:before="10" w:after="10"/>
            </w:pPr>
            <w:r/>
            <w:r>
              <w:rPr>
                <w:rFonts w:ascii="Times New Roman" w:hAnsi="Times New Roman"/>
                <w:sz w:val="16"/>
              </w:rPr>
              <w:t>Qatar</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37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-20</w:t>
            </w:r>
          </w:p>
        </w:tc>
      </w:tr>
      <w:tr>
        <w:tc>
          <w:tcPr>
            <w:tcW w:w="1800" w:type="dxa"/>
          </w:tcPr>
          <w:p>
            <w:pPr>
              <w:jc w:val="left"/>
              <w:spacing w:before="10" w:after="10"/>
            </w:pPr>
            <w:r/>
            <w:r>
              <w:rPr>
                <w:rFonts w:ascii="Times New Roman" w:hAnsi="Times New Roman"/>
                <w:sz w:val="16"/>
              </w:rPr>
              <w:t>Saudi Arabia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b/>
                <w:sz w:val="16"/>
              </w:rPr>
              <w:t>41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-13</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$1.92</w:t>
            </w:r>
          </w:p>
        </w:tc>
        <w:tc>
          <w:tcPr>
            <w:tcW w:w="540" w:type="dxa"/>
          </w:tcPr>
          <w:p>
            <w:pPr>
              <w:jc w:val="center"/>
              <w:spacing w:before="10" w:after="10"/>
            </w:pPr>
            <w:r/>
            <w:r>
              <w:rPr>
                <w:rFonts w:ascii="Times New Roman" w:hAnsi="Times New Roman"/>
                <w:sz w:val="16"/>
              </w:rPr>
              <w:t>45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$1.92</w:t>
            </w:r>
          </w:p>
        </w:tc>
        <w:tc>
          <w:tcPr>
            <w:tcW w:w="540" w:type="dxa"/>
          </w:tcPr>
          <w:p>
            <w:pPr>
              <w:jc w:val="center"/>
              <w:spacing w:before="10" w:after="10"/>
            </w:pPr>
            <w:r/>
            <w:r>
              <w:rPr>
                <w:rFonts w:ascii="Times New Roman" w:hAnsi="Times New Roman"/>
                <w:b/>
                <w:sz w:val="16"/>
              </w:rPr>
              <w:t>45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-35</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$2.05</w:t>
            </w:r>
          </w:p>
        </w:tc>
        <w:tc>
          <w:tcPr>
            <w:tcW w:w="540" w:type="dxa"/>
          </w:tcPr>
          <w:p>
            <w:pPr>
              <w:jc w:val="center"/>
              <w:spacing w:before="10" w:after="10"/>
            </w:pPr>
            <w:r/>
            <w:r>
              <w:rPr>
                <w:rFonts w:ascii="Times New Roman" w:hAnsi="Times New Roman"/>
                <w:sz w:val="16"/>
              </w:rPr>
              <w:t>52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$2.05</w:t>
            </w:r>
          </w:p>
        </w:tc>
        <w:tc>
          <w:tcPr>
            <w:tcW w:w="540" w:type="dxa"/>
          </w:tcPr>
          <w:p>
            <w:pPr>
              <w:jc w:val="center"/>
              <w:spacing w:before="10" w:after="10"/>
            </w:pPr>
            <w:r/>
            <w:r>
              <w:rPr>
                <w:rFonts w:ascii="Times New Roman" w:hAnsi="Times New Roman"/>
                <w:b/>
                <w:sz w:val="16"/>
              </w:rPr>
              <w:t>52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-30</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$2.18</w:t>
            </w:r>
          </w:p>
        </w:tc>
        <w:tc>
          <w:tcPr>
            <w:tcW w:w="540" w:type="dxa"/>
          </w:tcPr>
          <w:p>
            <w:pPr>
              <w:jc w:val="center"/>
              <w:spacing w:before="10" w:after="10"/>
            </w:pPr>
            <w:r/>
            <w:r>
              <w:rPr>
                <w:rFonts w:ascii="Times New Roman" w:hAnsi="Times New Roman"/>
                <w:sz w:val="16"/>
              </w:rPr>
              <w:t>59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$2.18</w:t>
            </w:r>
          </w:p>
        </w:tc>
        <w:tc>
          <w:tcPr>
            <w:tcW w:w="540" w:type="dxa"/>
          </w:tcPr>
          <w:p>
            <w:pPr>
              <w:jc w:val="center"/>
              <w:spacing w:before="10" w:after="10"/>
            </w:pPr>
            <w:r/>
            <w:r>
              <w:rPr>
                <w:rFonts w:ascii="Times New Roman" w:hAnsi="Times New Roman"/>
                <w:b/>
                <w:sz w:val="16"/>
              </w:rPr>
              <w:t>59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-41</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$2.23</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$2.23</w:t>
            </w:r>
          </w:p>
        </w:tc>
        <w:tc>
          <w:tcPr>
            <w:tcW w:w="540" w:type="dxa"/>
          </w:tcPr>
          <w:p>
            <w:pPr>
              <w:jc w:val="center"/>
              <w:spacing w:before="10" w:after="10"/>
            </w:pPr>
            <w:r/>
            <w:r>
              <w:rPr>
                <w:rFonts w:ascii="Times New Roman" w:hAnsi="Times New Roman"/>
                <w:b/>
                <w:sz w:val="16"/>
              </w:rPr>
              <w:t>62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$2.27</w:t>
            </w:r>
          </w:p>
        </w:tc>
        <w:tc>
          <w:tcPr>
            <w:tcW w:w="540" w:type="dxa"/>
          </w:tcPr>
          <w:p>
            <w:pPr>
              <w:jc w:val="center"/>
              <w:spacing w:before="10" w:after="10"/>
            </w:pPr>
            <w:r/>
            <w:r>
              <w:rPr>
                <w:rFonts w:ascii="Times New Roman" w:hAnsi="Times New Roman"/>
                <w:sz w:val="16"/>
              </w:rPr>
              <w:t>65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$2.27</w:t>
            </w:r>
          </w:p>
        </w:tc>
        <w:tc>
          <w:tcPr>
            <w:tcW w:w="540" w:type="dxa"/>
          </w:tcPr>
          <w:p>
            <w:pPr>
              <w:jc w:val="center"/>
              <w:spacing w:before="10" w:after="10"/>
            </w:pPr>
            <w:r/>
            <w:r>
              <w:rPr>
                <w:rFonts w:ascii="Times New Roman" w:hAnsi="Times New Roman"/>
                <w:b/>
                <w:sz w:val="16"/>
              </w:rPr>
              <w:t>65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-49</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$1.43</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$2.48</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$2.48</w:t>
            </w:r>
          </w:p>
        </w:tc>
        <w:tc>
          <w:tcPr>
            <w:tcW w:w="540" w:type="dxa"/>
          </w:tcPr>
          <w:p>
            <w:pPr>
              <w:jc w:val="center"/>
              <w:spacing w:before="10" w:after="10"/>
            </w:pPr>
            <w:r/>
            <w:r>
              <w:rPr>
                <w:rFonts w:ascii="Times New Roman" w:hAnsi="Times New Roman"/>
                <w:b/>
                <w:sz w:val="16"/>
              </w:rPr>
              <w:t>73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-68</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$2.50</w:t>
            </w:r>
          </w:p>
        </w:tc>
        <w:tc>
          <w:tcPr>
            <w:tcW w:w="540" w:type="dxa"/>
          </w:tcPr>
          <w:p>
            <w:pPr>
              <w:jc w:val="center"/>
              <w:spacing w:before="10" w:after="10"/>
            </w:pPr>
            <w:r/>
            <w:r>
              <w:rPr>
                <w:rFonts w:ascii="Times New Roman" w:hAnsi="Times New Roman"/>
                <w:sz w:val="16"/>
              </w:rPr>
              <w:t>74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$2.50</w:t>
            </w:r>
          </w:p>
        </w:tc>
        <w:tc>
          <w:tcPr>
            <w:tcW w:w="540" w:type="dxa"/>
          </w:tcPr>
          <w:p>
            <w:pPr>
              <w:jc w:val="center"/>
              <w:spacing w:before="10" w:after="10"/>
            </w:pPr>
            <w:r/>
            <w:r>
              <w:rPr>
                <w:rFonts w:ascii="Times New Roman" w:hAnsi="Times New Roman"/>
                <w:b/>
                <w:sz w:val="16"/>
              </w:rPr>
              <w:t>74</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-70</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$2.51</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$2.51</w:t>
            </w:r>
          </w:p>
        </w:tc>
        <w:tc>
          <w:tcPr>
            <w:tcW w:w="540" w:type="dxa"/>
          </w:tcPr>
          <w:p>
            <w:pPr>
              <w:jc w:val="center"/>
              <w:spacing w:before="10" w:after="10"/>
            </w:pPr>
            <w:r/>
            <w:r>
              <w:rPr>
                <w:rFonts w:ascii="Times New Roman" w:hAnsi="Times New Roman"/>
                <w:b/>
                <w:sz w:val="16"/>
              </w:rPr>
              <w:t>75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-67</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$2.84</w:t>
            </w:r>
          </w:p>
        </w:tc>
        <w:tc>
          <w:tcPr>
            <w:tcW w:w="540" w:type="dxa"/>
          </w:tcPr>
          <w:p>
            <w:pPr>
              <w:jc w:val="center"/>
              <w:spacing w:before="10" w:after="10"/>
            </w:pPr>
            <w:r/>
            <w:r>
              <w:rPr>
                <w:rFonts w:ascii="Times New Roman" w:hAnsi="Times New Roman"/>
                <w:sz w:val="16"/>
              </w:rPr>
              <w:t>80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$2.84</w:t>
            </w:r>
          </w:p>
        </w:tc>
        <w:tc>
          <w:tcPr>
            <w:tcW w:w="540" w:type="dxa"/>
          </w:tcPr>
          <w:p>
            <w:pPr>
              <w:jc w:val="center"/>
              <w:spacing w:before="10" w:after="10"/>
            </w:pPr>
            <w:r/>
            <w:r>
              <w:rPr>
                <w:rFonts w:ascii="Times New Roman" w:hAnsi="Times New Roman"/>
                <w:b/>
                <w:sz w:val="16"/>
              </w:rPr>
              <w:t>80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-68</w:t>
            </w:r>
          </w:p>
        </w:tc>
      </w:tr>
      <w:tr>
        <w:tc>
          <w:tcPr>
            <w:tcW w:w="1800" w:type="dxa"/>
          </w:tcPr>
          <w:p>
            <w:pPr>
              <w:jc w:val="left"/>
              <w:spacing w:before="10" w:after="10"/>
            </w:pPr>
            <w:r/>
            <w:r>
              <w:rPr>
                <w:rFonts w:ascii="Times New Roman" w:hAnsi="Times New Roman"/>
                <w:sz w:val="16"/>
              </w:rPr>
              <w:t>Iran</w:t>
            </w:r>
          </w:p>
        </w:tc>
        <w:tc>
          <w:tcPr>
            <w:tcW w:w="900" w:type="dxa"/>
          </w:tcPr>
          <w:p>
            <w:pPr>
              <w:jc w:val="center"/>
              <w:spacing w:before="10" w:after="10"/>
            </w:pPr>
            <w:r/>
            <w:r>
              <w:rPr>
                <w:rFonts w:ascii="Times New Roman" w:hAnsi="Times New Roman"/>
                <w:sz w:val="16"/>
              </w:rPr>
              <w:t>$1.40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$2.89</w:t>
            </w:r>
          </w:p>
        </w:tc>
        <w:tc>
          <w:tcPr>
            <w:tcW w:w="540" w:type="dxa"/>
          </w:tcPr>
          <w:p>
            <w:pPr>
              <w:jc w:val="center"/>
              <w:spacing w:before="10" w:after="10"/>
            </w:pPr>
            <w:r/>
            <w:r>
              <w:rPr>
                <w:rFonts w:ascii="Times New Roman" w:hAnsi="Times New Roman"/>
                <w:sz w:val="16"/>
              </w:rPr>
              <w:t>81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$2.89</w:t>
            </w:r>
          </w:p>
        </w:tc>
        <w:tc>
          <w:tcPr>
            <w:tcW w:w="540" w:type="dxa"/>
          </w:tcPr>
          <w:p>
            <w:pPr>
              <w:jc w:val="center"/>
              <w:spacing w:before="10" w:after="10"/>
            </w:pPr>
            <w:r/>
            <w:r>
              <w:rPr>
                <w:rFonts w:ascii="Times New Roman" w:hAnsi="Times New Roman"/>
                <w:b/>
                <w:sz w:val="16"/>
              </w:rPr>
              <w:t>81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-80</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$3.07</w:t>
            </w:r>
          </w:p>
        </w:tc>
        <w:tc>
          <w:tcPr>
            <w:tcW w:w="540" w:type="dxa"/>
          </w:tcPr>
          <w:p>
            <w:pPr>
              <w:jc w:val="center"/>
              <w:spacing w:before="10" w:after="10"/>
            </w:pPr>
            <w:r/>
            <w:r>
              <w:rPr>
                <w:rFonts w:ascii="Times New Roman" w:hAnsi="Times New Roman"/>
                <w:sz w:val="16"/>
              </w:rPr>
              <w:t>83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$3.07</w:t>
            </w:r>
          </w:p>
        </w:tc>
        <w:tc>
          <w:tcPr>
            <w:tcW w:w="540" w:type="dxa"/>
          </w:tcPr>
          <w:p>
            <w:pPr>
              <w:jc w:val="center"/>
              <w:spacing w:before="10" w:after="10"/>
            </w:pPr>
            <w:r/>
            <w:r>
              <w:rPr>
                <w:rFonts w:ascii="Times New Roman" w:hAnsi="Times New Roman"/>
                <w:b/>
                <w:sz w:val="16"/>
              </w:rPr>
              <w:t>83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-80</w:t>
            </w:r>
          </w:p>
        </w:tc>
      </w:tr>
      <w:tr>
        <w:tc>
          <w:tcPr>
            <w:tcBorders>
              <w:bottom w:val="double" w:sz="4" w:space="0" w:color="auto"/>
            </w:tcBorders>
            <w:tcW w:w="1800" w:type="dxa"/>
          </w:tcPr>
          <w:p>
            <w:pPr>
              <w:jc w:val="left"/>
              <w:spacing w:before="10" w:after="10"/>
            </w:pPr>
            <w:r/>
            <w:r>
              <w:rPr>
                <w:rFonts w:ascii="Times New Roman" w:hAnsi="Times New Roman"/>
                <w:sz w:val="16"/>
              </w:rPr>
              <w:t>Turkmenistan</w:t>
            </w:r>
          </w:p>
        </w:tc>
        <w:tc>
          <w:tcPr>
            <w:tcBorders>
              <w:bottom w:val="double" w:sz="4" w:space="0" w:color="auto"/>
            </w:tcBorders>
            <w:tcW w:w="900" w:type="dxa"/>
          </w:tcPr>
          <w:p>
            <w:pPr>
              <w:jc w:val="center"/>
              <w:spacing w:before="10" w:after="10"/>
            </w:pPr>
            <w:r/>
            <w:r>
              <w:rPr>
                <w:rFonts w:ascii="Times New Roman" w:hAnsi="Times New Roman"/>
                <w:sz w:val="16"/>
              </w:rPr>
              <w:t>$1.41</w:t>
            </w:r>
          </w:p>
        </w:tc>
        <w:tc>
          <w:tcPr>
            <w:tcBorders>
              <w:bottom w:val="double" w:sz="4" w:space="0" w:color="auto"/>
            </w:tcBorders>
            <w:tcW w:w="540" w:type="dxa"/>
          </w:tcPr>
          <w:p>
            <w:pPr>
              <w:jc w:val="center"/>
              <w:spacing w:before="10" w:after="10"/>
            </w:pPr>
            <w:r/>
            <w:r>
              <w:rPr>
                <w:rFonts w:ascii="Times New Roman" w:hAnsi="Times New Roman"/>
                <w:sz w:val="16"/>
              </w:rPr>
              <w:t>2</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$1.47</w:t>
            </w:r>
          </w:p>
        </w:tc>
        <w:tc>
          <w:tcPr>
            <w:tcBorders>
              <w:bottom w:val="double" w:sz="4" w:space="0" w:color="auto"/>
            </w:tcBorders>
            <w:tcW w:w="540" w:type="dxa"/>
          </w:tcPr>
          <w:p>
            <w:pPr>
              <w:jc w:val="center"/>
              <w:spacing w:before="10" w:after="10"/>
            </w:pPr>
            <w:r/>
            <w:r>
              <w:rPr>
                <w:rFonts w:ascii="Times New Roman" w:hAnsi="Times New Roman"/>
                <w:sz w:val="16"/>
              </w:rPr>
              <w:t>18</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$3.10</w:t>
            </w:r>
          </w:p>
        </w:tc>
        <w:tc>
          <w:tcPr>
            <w:tcBorders>
              <w:bottom w:val="double" w:sz="4" w:space="0" w:color="auto"/>
            </w:tcBorders>
            <w:tcW w:w="540" w:type="dxa"/>
          </w:tcPr>
          <w:p>
            <w:pPr>
              <w:jc w:val="center"/>
              <w:spacing w:before="10" w:after="10"/>
            </w:pPr>
            <w:r/>
            <w:r>
              <w:rPr>
                <w:rFonts w:ascii="Times New Roman" w:hAnsi="Times New Roman"/>
                <w:sz w:val="16"/>
              </w:rPr>
              <w:t>84</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$3.10</w:t>
            </w:r>
          </w:p>
        </w:tc>
        <w:tc>
          <w:tcPr>
            <w:tcBorders>
              <w:bottom w:val="double" w:sz="4" w:space="0" w:color="auto"/>
            </w:tcBorders>
            <w:tcW w:w="540" w:type="dxa"/>
          </w:tcPr>
          <w:p>
            <w:pPr>
              <w:jc w:val="center"/>
              <w:spacing w:before="10" w:after="10"/>
            </w:pPr>
            <w:r/>
            <w:r>
              <w:rPr>
                <w:rFonts w:ascii="Times New Roman" w:hAnsi="Times New Roman"/>
                <w:b/>
                <w:sz w:val="16"/>
              </w:rPr>
              <w:t>84</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-82</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cost-recovery price divided by production-efficiency index ξⱼᵉᶠᶠ (preferred specification). (4) Bilateral: efficiency-adjusted cost with bilateral sovereignty premium λᵢⱼ from </w:t>
      </w:r>
      <w:bookmarkStart w:id="907" w:name="Eq2txt907"/>
      <w:hyperlink w:anchor="Eq2" w:history="1">
        <w:r>
          <w:rPr>
            <w:rFonts w:ascii="Times New Roman" w:hAnsi="Times New Roman"/>
            <w:sz w:val="20"/>
            <w:color w:val="1F3864"/>
            <w:u w:val="single"/>
          </w:rPr>
          <w:t xml:space="preserve">equation (2)</w:t>
        </w:r>
      </w:hyperlink>
      <w:bookmarkEnd w:id="907"/>
      <w:r>
        <w:rPr>
          <w:rFonts w:ascii="Times New Roman" w:hAnsi="Times New Roman"/>
          <w:sz w:val="20"/>
        </w:rPr>
        <w:t xml:space="preserve">.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tcBorders>
            <w:tcW w:w="2400" w:type="dxa"/>
          </w:tcPr>
          <w:p>
            <w:pPr>
              <w:jc w:val="center"/>
              <w:spacing w:before="10" w:after="10"/>
            </w:pPr>
            <w:r/>
            <w:r>
              <w:rPr>
                <w:rFonts w:ascii="Times New Roman" w:hAnsi="Times New Roman"/>
                <w:sz w:val="16"/>
              </w:rPr>
            </w:r>
          </w:p>
        </w:tc>
        <w:tc>
          <w:tcPr>
            <w:tcBorders>
              <w:top w:val="single" w:sz="4" w:space="0" w:color="auto"/>
            </w:tcBorders>
            <w:tcW w:w="1300" w:type="dxa"/>
          </w:tcPr>
          <w:p>
            <w:pPr>
              <w:jc w:val="center"/>
              <w:spacing w:before="10" w:after="10"/>
            </w:pPr>
            <w:r/>
            <w:r>
              <w:rPr>
                <w:rFonts w:ascii="Times New Roman" w:hAnsi="Times New Roman"/>
                <w:sz w:val="16"/>
              </w:rPr>
            </w:r>
          </w:p>
        </w:tc>
        <w:tc>
          <w:tcPr>
            <w:tcBorders>
              <w:top w:val="single" w:sz="4" w:space="0" w:color="auto"/>
            </w:tcBorders>
            <w:tcW w:w="1000" w:type="dxa"/>
          </w:tcPr>
          <w:p>
            <w:pPr>
              <w:jc w:val="center"/>
              <w:spacing w:before="10" w:after="10"/>
            </w:pPr>
            <w:r/>
            <w:r>
              <w:rPr>
                <w:rFonts w:ascii="Times New Roman" w:hAnsi="Times New Roman"/>
                <w:b/>
                <w:sz w:val="16"/>
              </w:rPr>
              <w:t>(4)/(5) Bilateral</w:t>
            </w:r>
          </w:p>
        </w:tc>
        <w:tc>
          <w:tcPr>
            <w:tcBorders>
              <w:top w:val="single" w:sz="4" w:space="0" w:color="auto"/>
            </w:tcBorders>
            <w:tcW w:w="1000" w:type="dxa"/>
          </w:tcPr>
          <w:p>
            <w:pPr>
              <w:jc w:val="center"/>
              <w:spacing w:before="10" w:after="10"/>
            </w:pPr>
            <w:r/>
            <w:r>
              <w:rPr>
                <w:rFonts w:ascii="Times New Roman" w:hAnsi="Times New Roman"/>
                <w:b/>
                <w:sz w:val="16"/>
              </w:rPr>
              <w:t>(6) Uniform</w:t>
            </w:r>
          </w:p>
        </w:tc>
        <w:tc>
          <w:tcPr>
            <w:tcBorders>
              <w:top w:val="single" w:sz="4" w:space="0" w:color="auto"/>
            </w:tcBorders>
            <w:tcW w:w="900" w:type="dxa"/>
          </w:tcPr>
          <w:p>
            <w:pPr>
              <w:jc w:val="center"/>
              <w:spacing w:before="10" w:after="10"/>
            </w:pPr>
            <w:r/>
            <w:r>
              <w:rPr>
                <w:rFonts w:ascii="Times New Roman" w:hAnsi="Times New Roman"/>
                <w:sz w:val="16"/>
              </w:rPr>
            </w:r>
          </w:p>
        </w:tc>
        <w:tc>
          <w:tcPr>
            <w:tcBorders>
              <w:top w:val="single" w:sz="4" w:space="0" w:color="auto"/>
            </w:tcBorders>
            <w:tcW w:w="1100" w:type="dxa"/>
          </w:tcPr>
          <w:p>
            <w:pPr>
              <w:jc w:val="center"/>
              <w:spacing w:before="10" w:after="10"/>
            </w:pPr>
            <w:r/>
            <w:r>
              <w:rPr>
                <w:rFonts w:ascii="Times New Roman" w:hAnsi="Times New Roman"/>
                <w:sz w:val="16"/>
              </w:rPr>
            </w:r>
          </w:p>
        </w:tc>
      </w:tr>
      <w:tr>
        <w:tc>
          <w:tcPr>
            <w:tcBorders>
              <w:bottom w:val="single" w:sz="4" w:space="0" w:color="auto"/>
            </w:tcBorders>
            <w:tcW w:w="2400" w:type="dxa"/>
          </w:tcPr>
          <w:p>
            <w:pPr>
              <w:jc w:val="left"/>
              <w:spacing w:before="10" w:after="10"/>
            </w:pPr>
            <w:r/>
            <w:r>
              <w:rPr>
                <w:rFonts w:ascii="Times New Roman" w:hAnsi="Times New Roman"/>
                <w:b/>
                <w:sz w:val="16"/>
              </w:rPr>
              <w:t>Country</w:t>
            </w:r>
          </w:p>
        </w:tc>
        <w:tc>
          <w:tcPr>
            <w:tcBorders>
              <w:bottom w:val="single" w:sz="4" w:space="0" w:color="auto"/>
            </w:tcBorders>
            <w:tcW w:w="1300" w:type="dxa"/>
          </w:tcPr>
          <w:p>
            <w:pPr>
              <w:jc w:val="center"/>
              <w:spacing w:before="10" w:after="10"/>
            </w:pPr>
            <w:r/>
            <w:r>
              <w:rPr>
                <w:rFonts w:ascii="Times New Roman" w:hAnsi="Times New Roman"/>
                <w:b/>
                <w:sz w:val="16"/>
              </w:rPr>
              <w:t>cⱼ/ξⱼᵉᶠᶠ</w:t>
            </w:r>
          </w:p>
        </w:tc>
        <w:tc>
          <w:tcPr>
            <w:tcBorders>
              <w:bottom w:val="single" w:sz="4" w:space="0" w:color="auto"/>
            </w:tcBorders>
            <w:tcW w:w="1000" w:type="dxa"/>
          </w:tcPr>
          <w:p>
            <w:pPr>
              <w:jc w:val="center"/>
              <w:spacing w:before="10" w:after="10"/>
            </w:pPr>
            <w:r/>
            <w:r>
              <w:rPr>
                <w:rFonts w:ascii="Times New Roman" w:hAnsi="Times New Roman"/>
                <w:b/>
                <w:sz w:val="16"/>
              </w:rPr>
              <w:t>Type</w:t>
            </w:r>
          </w:p>
        </w:tc>
        <w:tc>
          <w:tcPr>
            <w:tcBorders>
              <w:bottom w:val="single" w:sz="4" w:space="0" w:color="auto"/>
            </w:tcBorders>
            <w:tcW w:w="100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Rank₆</w:t>
            </w:r>
          </w:p>
        </w:tc>
        <w:tc>
          <w:tcPr>
            <w:tcBorders>
              <w:bottom w:val="single" w:sz="4" w:space="0" w:color="auto"/>
            </w:tcBorders>
            <w:tcW w:w="1100" w:type="dxa"/>
          </w:tcPr>
          <w:p>
            <w:pPr>
              <w:jc w:val="center"/>
              <w:spacing w:before="10" w:after="10"/>
            </w:pPr>
            <w:r/>
            <w:r>
              <w:rPr>
                <w:rFonts w:ascii="Times New Roman" w:hAnsi="Times New Roman"/>
                <w:b/>
                <w:sz w:val="16"/>
              </w:rPr>
              <w:t>λₖ*</w:t>
            </w:r>
          </w:p>
        </w:tc>
      </w:tr>
      <w:tr>
        <w:tc>
          <w:tcPr>
            <w:tcW w:w="2400" w:type="dxa"/>
          </w:tcPr>
          <w:p>
            <w:pPr>
              <w:jc w:val="left"/>
              <w:spacing w:before="10" w:after="10"/>
            </w:pPr>
            <w:r/>
            <w:r>
              <w:rPr>
                <w:rFonts w:ascii="Times New Roman" w:hAnsi="Times New Roman"/>
                <w:sz w:val="16"/>
              </w:rPr>
              <w:t>Canada</w:t>
            </w:r>
          </w:p>
        </w:tc>
        <w:tc>
          <w:tcPr>
            <w:tcW w:w="1300" w:type="dxa"/>
          </w:tcPr>
          <w:p>
            <w:pPr>
              <w:jc w:val="center"/>
              <w:spacing w:before="10" w:after="10"/>
            </w:pPr>
            <w:r/>
            <w:r>
              <w:rPr>
                <w:rFonts w:ascii="Times New Roman" w:hAnsi="Times New Roman"/>
                <w:sz w:val="16"/>
              </w:rPr>
              <w:t>$1.46</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w:t>
            </w:r>
          </w:p>
        </w:tc>
        <w:tc>
          <w:tcPr>
            <w:tcW w:w="1100" w:type="dxa"/>
          </w:tcPr>
          <w:p>
            <w:pPr>
              <w:jc w:val="center"/>
              <w:spacing w:before="10" w:after="10"/>
            </w:pPr>
            <w:r/>
            <w:r>
              <w:rPr>
                <w:rFonts w:ascii="Times New Roman" w:hAnsi="Times New Roman"/>
                <w:sz w:val="16"/>
              </w:rPr>
              <w:t>−8.1%</w:t>
            </w:r>
          </w:p>
        </w:tc>
      </w:tr>
      <w:tr>
        <w:tc>
          <w:tcPr>
            <w:tcW w:w="2400" w:type="dxa"/>
          </w:tcPr>
          <w:p>
            <w:pPr>
              <w:jc w:val="left"/>
              <w:spacing w:before="10" w:after="10"/>
            </w:pPr>
            <w:r/>
            <w:r>
              <w:rPr>
                <w:rFonts w:ascii="Times New Roman" w:hAnsi="Times New Roman"/>
                <w:sz w:val="16"/>
              </w:rPr>
              <w:t>Norway</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w:t>
            </w:r>
          </w:p>
        </w:tc>
        <w:tc>
          <w:tcPr>
            <w:tcW w:w="1100" w:type="dxa"/>
          </w:tcPr>
          <w:p>
            <w:pPr>
              <w:jc w:val="center"/>
              <w:spacing w:before="10" w:after="10"/>
            </w:pPr>
            <w:r/>
            <w:r>
              <w:rPr>
                <w:rFonts w:ascii="Times New Roman" w:hAnsi="Times New Roman"/>
                <w:sz w:val="16"/>
              </w:rPr>
              <w:t>−7.7%</w:t>
            </w:r>
          </w:p>
        </w:tc>
      </w:tr>
      <w:tr>
        <w:tc>
          <w:tcPr>
            <w:tcW w:w="2400" w:type="dxa"/>
          </w:tcPr>
          <w:p>
            <w:pPr>
              <w:jc w:val="left"/>
              <w:spacing w:before="10" w:after="10"/>
            </w:pPr>
            <w:r/>
            <w:r>
              <w:rPr>
                <w:rFonts w:ascii="Times New Roman" w:hAnsi="Times New Roman"/>
                <w:sz w:val="16"/>
              </w:rPr>
              <w:t>Finland</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w:t>
            </w:r>
          </w:p>
        </w:tc>
        <w:tc>
          <w:tcPr>
            <w:tcW w:w="1100" w:type="dxa"/>
          </w:tcPr>
          <w:p>
            <w:pPr>
              <w:jc w:val="center"/>
              <w:spacing w:before="10" w:after="10"/>
            </w:pPr>
            <w:r/>
            <w:r>
              <w:rPr>
                <w:rFonts w:ascii="Times New Roman" w:hAnsi="Times New Roman"/>
                <w:sz w:val="16"/>
              </w:rPr>
              <w:t>−7.5%</w:t>
            </w:r>
          </w:p>
        </w:tc>
      </w:tr>
      <w:tr>
        <w:tc>
          <w:tcPr>
            <w:tcW w:w="2400" w:type="dxa"/>
          </w:tcPr>
          <w:p>
            <w:pPr>
              <w:jc w:val="left"/>
              <w:spacing w:before="10" w:after="10"/>
            </w:pPr>
            <w:r/>
            <w:r>
              <w:rPr>
                <w:rFonts w:ascii="Times New Roman" w:hAnsi="Times New Roman"/>
                <w:sz w:val="16"/>
              </w:rPr>
              <w:t>Sweden</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4</w:t>
            </w:r>
          </w:p>
        </w:tc>
        <w:tc>
          <w:tcPr>
            <w:tcW w:w="1100" w:type="dxa"/>
          </w:tcPr>
          <w:p>
            <w:pPr>
              <w:jc w:val="center"/>
              <w:spacing w:before="10" w:after="10"/>
            </w:pPr>
            <w:r/>
            <w:r>
              <w:rPr>
                <w:rFonts w:ascii="Times New Roman" w:hAnsi="Times New Roman"/>
                <w:sz w:val="16"/>
              </w:rPr>
              <w:t>−6.6%</w:t>
            </w:r>
          </w:p>
        </w:tc>
      </w:tr>
      <w:tr>
        <w:tc>
          <w:tcPr>
            <w:tcW w:w="2400" w:type="dxa"/>
          </w:tcPr>
          <w:p>
            <w:pPr>
              <w:jc w:val="left"/>
              <w:spacing w:before="10" w:after="10"/>
            </w:pPr>
            <w:r/>
            <w:r>
              <w:rPr>
                <w:rFonts w:ascii="Times New Roman" w:hAnsi="Times New Roman"/>
                <w:sz w:val="16"/>
              </w:rPr>
              <w:t>South Africa</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5</w:t>
            </w:r>
          </w:p>
        </w:tc>
        <w:tc>
          <w:tcPr>
            <w:tcW w:w="1100" w:type="dxa"/>
          </w:tcPr>
          <w:p>
            <w:pPr>
              <w:jc w:val="center"/>
              <w:spacing w:before="10" w:after="10"/>
            </w:pPr>
            <w:r/>
            <w:r>
              <w:rPr>
                <w:rFonts w:ascii="Times New Roman" w:hAnsi="Times New Roman"/>
                <w:sz w:val="16"/>
              </w:rPr>
              <w:t>−6.2%</w:t>
            </w:r>
          </w:p>
        </w:tc>
      </w:tr>
      <w:tr>
        <w:tc>
          <w:tcPr>
            <w:tcW w:w="2400" w:type="dxa"/>
          </w:tcPr>
          <w:p>
            <w:pPr>
              <w:jc w:val="left"/>
              <w:spacing w:before="10" w:after="10"/>
            </w:pPr>
            <w:r/>
            <w:r>
              <w:rPr>
                <w:rFonts w:ascii="Times New Roman" w:hAnsi="Times New Roman"/>
                <w:sz w:val="16"/>
              </w:rPr>
              <w:t>Australia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8</w:t>
            </w:r>
          </w:p>
        </w:tc>
        <w:tc>
          <w:tcPr>
            <w:tcW w:w="1100" w:type="dxa"/>
          </w:tcPr>
          <w:p>
            <w:pPr>
              <w:jc w:val="center"/>
              <w:spacing w:before="10" w:after="10"/>
            </w:pPr>
            <w:r/>
            <w:r>
              <w:rPr>
                <w:rFonts w:ascii="Times New Roman" w:hAnsi="Times New Roman"/>
                <w:sz w:val="16"/>
              </w:rPr>
              <w:t>−5.0%</w:t>
            </w:r>
          </w:p>
        </w:tc>
      </w:tr>
      <w:tr>
        <w:tc>
          <w:tcPr>
            <w:tcW w:w="2400" w:type="dxa"/>
          </w:tcPr>
          <w:p>
            <w:pPr>
              <w:jc w:val="left"/>
              <w:spacing w:before="10" w:after="10"/>
            </w:pPr>
            <w:r/>
            <w:r>
              <w:rPr>
                <w:rFonts w:ascii="Times New Roman" w:hAnsi="Times New Roman"/>
                <w:sz w:val="16"/>
              </w:rPr>
              <w:t>France</w:t>
            </w:r>
          </w:p>
        </w:tc>
        <w:tc>
          <w:tcPr>
            <w:tcW w:w="1300" w:type="dxa"/>
          </w:tcPr>
          <w:p>
            <w:pPr>
              <w:jc w:val="center"/>
              <w:spacing w:before="10" w:after="10"/>
            </w:pPr>
            <w:r/>
            <w:r>
              <w:rPr>
                <w:rFonts w:ascii="Times New Roman" w:hAnsi="Times New Roman"/>
                <w:sz w:val="16"/>
              </w:rPr>
              <w:t>$1.55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14</w:t>
            </w:r>
          </w:p>
        </w:tc>
        <w:tc>
          <w:tcPr>
            <w:tcW w:w="1100" w:type="dxa"/>
          </w:tcPr>
          <w:p>
            <w:pPr>
              <w:jc w:val="center"/>
              <w:spacing w:before="10" w:after="10"/>
            </w:pPr>
            <w:r/>
            <w:r>
              <w:rPr>
                <w:rFonts w:ascii="Times New Roman" w:hAnsi="Times New Roman"/>
                <w:sz w:val="16"/>
              </w:rPr>
              <w:t>−2.5%</w:t>
            </w:r>
          </w:p>
        </w:tc>
      </w:tr>
      <w:tr>
        <w:tc>
          <w:tcPr>
            <w:tcW w:w="2400" w:type="dxa"/>
          </w:tcPr>
          <w:p>
            <w:pPr>
              <w:jc w:val="left"/>
              <w:spacing w:before="10" w:after="10"/>
            </w:pPr>
            <w:r/>
            <w:r>
              <w:rPr>
                <w:rFonts w:ascii="Times New Roman" w:hAnsi="Times New Roman"/>
                <w:sz w:val="16"/>
              </w:rPr>
              <w:t>UK</w:t>
            </w:r>
          </w:p>
        </w:tc>
        <w:tc>
          <w:tcPr>
            <w:tcW w:w="1300" w:type="dxa"/>
          </w:tcPr>
          <w:p>
            <w:pPr>
              <w:jc w:val="center"/>
              <w:spacing w:before="10" w:after="10"/>
            </w:pPr>
            <w:r/>
            <w:r>
              <w:rPr>
                <w:rFonts w:ascii="Times New Roman" w:hAnsi="Times New Roman"/>
                <w:sz w:val="16"/>
              </w:rPr>
              <w:t>$1.55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15</w:t>
            </w:r>
          </w:p>
        </w:tc>
        <w:tc>
          <w:tcPr>
            <w:tcW w:w="1100" w:type="dxa"/>
          </w:tcPr>
          <w:p>
            <w:pPr>
              <w:jc w:val="center"/>
              <w:spacing w:before="10" w:after="10"/>
            </w:pPr>
            <w:r/>
            <w:r>
              <w:rPr>
                <w:rFonts w:ascii="Times New Roman" w:hAnsi="Times New Roman"/>
                <w:sz w:val="16"/>
              </w:rPr>
              <w:t>−2.4%</w:t>
            </w:r>
          </w:p>
        </w:tc>
      </w:tr>
      <w:tr>
        <w:tc>
          <w:tcPr>
            <w:tcW w:w="2400" w:type="dxa"/>
          </w:tcPr>
          <w:p>
            <w:pPr>
              <w:jc w:val="left"/>
              <w:spacing w:before="10" w:after="10"/>
            </w:pPr>
            <w:r/>
            <w:r>
              <w:rPr>
                <w:rFonts w:ascii="Times New Roman" w:hAnsi="Times New Roman"/>
                <w:sz w:val="16"/>
              </w:rPr>
              <w:t>Germany</w:t>
            </w:r>
          </w:p>
        </w:tc>
        <w:tc>
          <w:tcPr>
            <w:tcW w:w="1300" w:type="dxa"/>
          </w:tcPr>
          <w:p>
            <w:pPr>
              <w:jc w:val="center"/>
              <w:spacing w:before="10" w:after="10"/>
            </w:pPr>
            <w:r/>
            <w:r>
              <w:rPr>
                <w:rFonts w:ascii="Times New Roman" w:hAnsi="Times New Roman"/>
                <w:sz w:val="16"/>
              </w:rPr>
              <w:t>$1.58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20</w:t>
            </w:r>
          </w:p>
        </w:tc>
        <w:tc>
          <w:tcPr>
            <w:tcW w:w="1100" w:type="dxa"/>
          </w:tcPr>
          <w:p>
            <w:pPr>
              <w:jc w:val="center"/>
              <w:spacing w:before="10" w:after="10"/>
            </w:pPr>
            <w:r/>
            <w:r>
              <w:rPr>
                <w:rFonts w:ascii="Times New Roman" w:hAnsi="Times New Roman"/>
                <w:sz w:val="16"/>
              </w:rPr>
              <w:t>−0.9%</w:t>
            </w:r>
          </w:p>
        </w:tc>
      </w:tr>
      <w:tr>
        <w:tc>
          <w:tcPr>
            <w:tcW w:w="2400" w:type="dxa"/>
          </w:tcPr>
          <w:p>
            <w:pPr>
              <w:jc w:val="left"/>
              <w:spacing w:before="10" w:after="10"/>
            </w:pPr>
            <w:r/>
            <w:r>
              <w:rPr>
                <w:rFonts w:ascii="Times New Roman" w:hAnsi="Times New Roman"/>
                <w:sz w:val="16"/>
              </w:rPr>
              <w:t>USA</w:t>
            </w:r>
          </w:p>
        </w:tc>
        <w:tc>
          <w:tcPr>
            <w:tcW w:w="1300" w:type="dxa"/>
          </w:tcPr>
          <w:p>
            <w:pPr>
              <w:jc w:val="center"/>
              <w:spacing w:before="10" w:after="10"/>
            </w:pPr>
            <w:r/>
            <w:r>
              <w:rPr>
                <w:rFonts w:ascii="Times New Roman" w:hAnsi="Times New Roman"/>
                <w:sz w:val="16"/>
              </w:rPr>
              <w:t>$1.58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21</w:t>
            </w:r>
          </w:p>
        </w:tc>
        <w:tc>
          <w:tcPr>
            <w:tcW w:w="1100" w:type="dxa"/>
          </w:tcPr>
          <w:p>
            <w:pPr>
              <w:jc w:val="center"/>
              <w:spacing w:before="10" w:after="10"/>
            </w:pPr>
            <w:r/>
            <w:r>
              <w:rPr>
                <w:rFonts w:ascii="Times New Roman" w:hAnsi="Times New Roman"/>
                <w:sz w:val="16"/>
              </w:rPr>
              <w:t>−0.8%</w:t>
            </w:r>
          </w:p>
        </w:tc>
      </w:tr>
      <w:tr>
        <w:tc>
          <w:tcPr>
            <w:tcW w:w="2400" w:type="dxa"/>
          </w:tcPr>
          <w:p>
            <w:pPr>
              <w:jc w:val="left"/>
              <w:spacing w:before="10" w:after="10"/>
            </w:pPr>
            <w:r/>
            <w:r>
              <w:rPr>
                <w:rFonts w:ascii="Times New Roman" w:hAnsi="Times New Roman"/>
                <w:sz w:val="16"/>
              </w:rPr>
              <w:t>Japan</w:t>
            </w:r>
          </w:p>
        </w:tc>
        <w:tc>
          <w:tcPr>
            <w:tcW w:w="1300" w:type="dxa"/>
          </w:tcPr>
          <w:p>
            <w:pPr>
              <w:jc w:val="center"/>
              <w:spacing w:before="10" w:after="10"/>
            </w:pPr>
            <w:r/>
            <w:r>
              <w:rPr>
                <w:rFonts w:ascii="Times New Roman" w:hAnsi="Times New Roman"/>
                <w:sz w:val="16"/>
              </w:rPr>
              <w:t>$1.59</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23</w:t>
            </w:r>
          </w:p>
        </w:tc>
        <w:tc>
          <w:tcPr>
            <w:tcW w:w="1100" w:type="dxa"/>
          </w:tcPr>
          <w:p>
            <w:pPr>
              <w:jc w:val="center"/>
              <w:spacing w:before="10" w:after="10"/>
            </w:pPr>
            <w:r/>
            <w:r>
              <w:rPr>
                <w:rFonts w:ascii="Times New Roman" w:hAnsi="Times New Roman"/>
                <w:sz w:val="16"/>
              </w:rPr>
              <w:t>0.2%</w:t>
            </w:r>
          </w:p>
        </w:tc>
      </w:tr>
      <w:tr>
        <w:tc>
          <w:tcPr>
            <w:tcW w:w="2400" w:type="dxa"/>
          </w:tcPr>
          <w:p>
            <w:pPr>
              <w:jc w:val="left"/>
              <w:spacing w:before="10" w:after="10"/>
            </w:pPr>
            <w:r/>
            <w:r>
              <w:rPr>
                <w:rFonts w:ascii="Times New Roman" w:hAnsi="Times New Roman"/>
                <w:sz w:val="16"/>
              </w:rPr>
              <w:t>Qatar</w:t>
            </w:r>
          </w:p>
        </w:tc>
        <w:tc>
          <w:tcPr>
            <w:tcW w:w="1300" w:type="dxa"/>
          </w:tcPr>
          <w:p>
            <w:pPr>
              <w:jc w:val="center"/>
              <w:spacing w:before="10" w:after="10"/>
            </w:pPr>
            <w:r/>
            <w:r>
              <w:rPr>
                <w:rFonts w:ascii="Times New Roman" w:hAnsi="Times New Roman"/>
                <w:sz w:val="16"/>
              </w:rPr>
              <w:t>$1.73</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37</w:t>
            </w:r>
          </w:p>
        </w:tc>
        <w:tc>
          <w:tcPr>
            <w:tcW w:w="1100" w:type="dxa"/>
          </w:tcPr>
          <w:p>
            <w:pPr>
              <w:jc w:val="center"/>
              <w:spacing w:before="10" w:after="10"/>
            </w:pPr>
            <w:r/>
            <w:r>
              <w:rPr>
                <w:rFonts w:ascii="Times New Roman" w:hAnsi="Times New Roman"/>
                <w:sz w:val="16"/>
              </w:rPr>
              <w:t>8.4%</w:t>
            </w:r>
          </w:p>
        </w:tc>
      </w:tr>
      <w:tr>
        <w:tc>
          <w:tcPr>
            <w:tcW w:w="2400" w:type="dxa"/>
          </w:tcPr>
          <w:p>
            <w:pPr>
              <w:jc w:val="left"/>
              <w:spacing w:before="10" w:after="10"/>
            </w:pPr>
            <w:r/>
            <w:r>
              <w:rPr>
                <w:rFonts w:ascii="Times New Roman" w:hAnsi="Times New Roman"/>
                <w:sz w:val="16"/>
              </w:rPr>
              <w:t>Saudi Arabia</w:t>
            </w:r>
          </w:p>
        </w:tc>
        <w:tc>
          <w:tcPr>
            <w:tcW w:w="1300" w:type="dxa"/>
          </w:tcPr>
          <w:p>
            <w:pPr>
              <w:jc w:val="center"/>
              <w:spacing w:before="10" w:after="10"/>
            </w:pPr>
            <w:r/>
            <w:r>
              <w:rPr>
                <w:rFonts w:ascii="Times New Roman" w:hAnsi="Times New Roman"/>
                <w:sz w:val="16"/>
              </w:rPr>
              <w:t>$1.80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41</w:t>
            </w:r>
          </w:p>
        </w:tc>
        <w:tc>
          <w:tcPr>
            <w:tcW w:w="1100" w:type="dxa"/>
          </w:tcPr>
          <w:p>
            <w:pPr>
              <w:jc w:val="center"/>
              <w:spacing w:before="10" w:after="10"/>
            </w:pPr>
            <w:r/>
            <w:r>
              <w:rPr>
                <w:rFonts w:ascii="Times New Roman" w:hAnsi="Times New Roman"/>
                <w:sz w:val="16"/>
              </w:rPr>
              <w:t>13.0%</w:t>
            </w:r>
          </w:p>
        </w:tc>
      </w:tr>
      <w:tr>
        <w:tc>
          <w:tcPr>
            <w:tcW w:w="2400" w:type="dxa"/>
          </w:tcPr>
          <w:p>
            <w:pPr>
              <w:jc w:val="left"/>
              <w:spacing w:before="10" w:after="10"/>
            </w:pPr>
            <w:r/>
            <w:r>
              <w:rPr>
                <w:rFonts w:ascii="Times New Roman" w:hAnsi="Times New Roman"/>
                <w:sz w:val="16"/>
              </w:rPr>
              <w:t>China</w:t>
            </w:r>
          </w:p>
        </w:tc>
        <w:tc>
          <w:tcPr>
            <w:tcW w:w="1300" w:type="dxa"/>
          </w:tcPr>
          <w:p>
            <w:pPr>
              <w:jc w:val="center"/>
              <w:spacing w:before="10" w:after="10"/>
            </w:pPr>
            <w:r/>
            <w:r>
              <w:rPr>
                <w:rFonts w:ascii="Times New Roman" w:hAnsi="Times New Roman"/>
                <w:sz w:val="16"/>
              </w:rPr>
              <w:t>$1.92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45</w:t>
            </w:r>
          </w:p>
        </w:tc>
        <w:tc>
          <w:tcPr>
            <w:tcW w:w="1100" w:type="dxa"/>
          </w:tcPr>
          <w:p>
            <w:pPr>
              <w:jc w:val="center"/>
              <w:spacing w:before="10" w:after="10"/>
            </w:pPr>
            <w:r/>
            <w:r>
              <w:rPr>
                <w:rFonts w:ascii="Times New Roman" w:hAnsi="Times New Roman"/>
                <w:sz w:val="16"/>
              </w:rPr>
              <w:t>20.3%</w:t>
            </w:r>
          </w:p>
        </w:tc>
      </w:tr>
      <w:tr>
        <w:tc>
          <w:tcPr>
            <w:tcW w:w="2400" w:type="dxa"/>
          </w:tcPr>
          <w:p>
            <w:pPr>
              <w:jc w:val="left"/>
              <w:spacing w:before="10" w:after="10"/>
            </w:pPr>
            <w:r/>
            <w:r>
              <w:rPr>
                <w:rFonts w:ascii="Times New Roman" w:hAnsi="Times New Roman"/>
                <w:sz w:val="16"/>
              </w:rPr>
              <w:t>Vietnam</w:t>
            </w:r>
          </w:p>
        </w:tc>
        <w:tc>
          <w:tcPr>
            <w:tcW w:w="1300" w:type="dxa"/>
          </w:tcPr>
          <w:p>
            <w:pPr>
              <w:jc w:val="center"/>
              <w:spacing w:before="10" w:after="10"/>
            </w:pPr>
            <w:r/>
            <w:r>
              <w:rPr>
                <w:rFonts w:ascii="Times New Roman" w:hAnsi="Times New Roman"/>
                <w:sz w:val="16"/>
              </w:rPr>
              <w:t>$2.05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52</w:t>
            </w:r>
          </w:p>
        </w:tc>
        <w:tc>
          <w:tcPr>
            <w:tcW w:w="1100" w:type="dxa"/>
          </w:tcPr>
          <w:p>
            <w:pPr>
              <w:jc w:val="center"/>
              <w:spacing w:before="10" w:after="10"/>
            </w:pPr>
            <w:r/>
            <w:r>
              <w:rPr>
                <w:rFonts w:ascii="Times New Roman" w:hAnsi="Times New Roman"/>
                <w:sz w:val="16"/>
              </w:rPr>
              <w:t>29.0%</w:t>
            </w:r>
          </w:p>
        </w:tc>
      </w:tr>
      <w:tr>
        <w:tc>
          <w:tcPr>
            <w:tcW w:w="2400" w:type="dxa"/>
          </w:tcPr>
          <w:p>
            <w:pPr>
              <w:jc w:val="left"/>
              <w:spacing w:before="10" w:after="10"/>
            </w:pPr>
            <w:r/>
            <w:r>
              <w:rPr>
                <w:rFonts w:ascii="Times New Roman" w:hAnsi="Times New Roman"/>
                <w:sz w:val="16"/>
              </w:rPr>
              <w:t>Argentina</w:t>
            </w:r>
          </w:p>
        </w:tc>
        <w:tc>
          <w:tcPr>
            <w:tcW w:w="1300" w:type="dxa"/>
          </w:tcPr>
          <w:p>
            <w:pPr>
              <w:jc w:val="center"/>
              <w:spacing w:before="10" w:after="10"/>
            </w:pPr>
            <w:r/>
            <w:r>
              <w:rPr>
                <w:rFonts w:ascii="Times New Roman" w:hAnsi="Times New Roman"/>
                <w:sz w:val="16"/>
              </w:rPr>
              <w:t>$2.18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59</w:t>
            </w:r>
          </w:p>
        </w:tc>
        <w:tc>
          <w:tcPr>
            <w:tcW w:w="1100" w:type="dxa"/>
          </w:tcPr>
          <w:p>
            <w:pPr>
              <w:jc w:val="center"/>
              <w:spacing w:before="10" w:after="10"/>
            </w:pPr>
            <w:r/>
            <w:r>
              <w:rPr>
                <w:rFonts w:ascii="Times New Roman" w:hAnsi="Times New Roman"/>
                <w:sz w:val="16"/>
              </w:rPr>
              <w:t>36.9%</w:t>
            </w:r>
          </w:p>
        </w:tc>
      </w:tr>
      <w:tr>
        <w:tc>
          <w:tcPr>
            <w:tcW w:w="2400" w:type="dxa"/>
          </w:tcPr>
          <w:p>
            <w:pPr>
              <w:jc w:val="left"/>
              <w:spacing w:before="10" w:after="10"/>
            </w:pPr>
            <w:r/>
            <w:r>
              <w:rPr>
                <w:rFonts w:ascii="Times New Roman" w:hAnsi="Times New Roman"/>
                <w:sz w:val="16"/>
              </w:rPr>
              <w:t>Kosovo</w:t>
            </w:r>
          </w:p>
        </w:tc>
        <w:tc>
          <w:tcPr>
            <w:tcW w:w="1300" w:type="dxa"/>
          </w:tcPr>
          <w:p>
            <w:pPr>
              <w:jc w:val="center"/>
              <w:spacing w:before="10" w:after="10"/>
            </w:pPr>
            <w:r/>
            <w:r>
              <w:rPr>
                <w:rFonts w:ascii="Times New Roman" w:hAnsi="Times New Roman"/>
                <w:sz w:val="16"/>
              </w:rPr>
              <w:t>$2.23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62</w:t>
            </w:r>
          </w:p>
        </w:tc>
        <w:tc>
          <w:tcPr>
            <w:tcW w:w="1100" w:type="dxa"/>
          </w:tcPr>
          <w:p>
            <w:pPr>
              <w:jc w:val="center"/>
              <w:spacing w:before="10" w:after="10"/>
            </w:pPr>
            <w:r/>
            <w:r>
              <w:rPr>
                <w:rFonts w:ascii="Times New Roman" w:hAnsi="Times New Roman"/>
                <w:sz w:val="16"/>
              </w:rPr>
              <w:t>40.1%</w:t>
            </w:r>
          </w:p>
        </w:tc>
      </w:tr>
      <w:tr>
        <w:tc>
          <w:tcPr>
            <w:tcW w:w="2400" w:type="dxa"/>
          </w:tcPr>
          <w:p>
            <w:pPr>
              <w:jc w:val="left"/>
              <w:spacing w:before="10" w:after="10"/>
            </w:pPr>
            <w:r/>
            <w:r>
              <w:rPr>
                <w:rFonts w:ascii="Times New Roman" w:hAnsi="Times New Roman"/>
                <w:sz w:val="16"/>
              </w:rPr>
              <w:t>Ukraine</w:t>
            </w:r>
          </w:p>
        </w:tc>
        <w:tc>
          <w:tcPr>
            <w:tcW w:w="1300" w:type="dxa"/>
          </w:tcPr>
          <w:p>
            <w:pPr>
              <w:jc w:val="center"/>
              <w:spacing w:before="10" w:after="10"/>
            </w:pPr>
            <w:r/>
            <w:r>
              <w:rPr>
                <w:rFonts w:ascii="Times New Roman" w:hAnsi="Times New Roman"/>
                <w:sz w:val="16"/>
              </w:rPr>
              <w:t>$2.27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65</w:t>
            </w:r>
          </w:p>
        </w:tc>
        <w:tc>
          <w:tcPr>
            <w:tcW w:w="1100" w:type="dxa"/>
          </w:tcPr>
          <w:p>
            <w:pPr>
              <w:jc w:val="center"/>
              <w:spacing w:before="10" w:after="10"/>
            </w:pPr>
            <w:r/>
            <w:r>
              <w:rPr>
                <w:rFonts w:ascii="Times New Roman" w:hAnsi="Times New Roman"/>
                <w:sz w:val="16"/>
              </w:rPr>
              <w:t>42.5%</w:t>
            </w:r>
          </w:p>
        </w:tc>
      </w:tr>
      <w:tr>
        <w:tc>
          <w:tcPr>
            <w:tcW w:w="2400" w:type="dxa"/>
          </w:tcPr>
          <w:p>
            <w:pPr>
              <w:jc w:val="left"/>
              <w:spacing w:before="10" w:after="10"/>
            </w:pPr>
            <w:r/>
            <w:r>
              <w:rPr>
                <w:rFonts w:ascii="Times New Roman" w:hAnsi="Times New Roman"/>
                <w:sz w:val="16"/>
              </w:rPr>
              <w:t>Egypt</w:t>
            </w:r>
          </w:p>
        </w:tc>
        <w:tc>
          <w:tcPr>
            <w:tcW w:w="1300" w:type="dxa"/>
          </w:tcPr>
          <w:p>
            <w:pPr>
              <w:jc w:val="center"/>
              <w:spacing w:before="10" w:after="10"/>
            </w:pPr>
            <w:r/>
            <w:r>
              <w:rPr>
                <w:rFonts w:ascii="Times New Roman" w:hAnsi="Times New Roman"/>
                <w:sz w:val="16"/>
              </w:rPr>
              <w:t>$2.48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73</w:t>
            </w:r>
          </w:p>
        </w:tc>
        <w:tc>
          <w:tcPr>
            <w:tcW w:w="1100" w:type="dxa"/>
          </w:tcPr>
          <w:p>
            <w:pPr>
              <w:jc w:val="center"/>
              <w:spacing w:before="10" w:after="10"/>
            </w:pPr>
            <w:r/>
            <w:r>
              <w:rPr>
                <w:rFonts w:ascii="Times New Roman" w:hAnsi="Times New Roman"/>
                <w:sz w:val="16"/>
              </w:rPr>
              <w:t>55.8%</w:t>
            </w:r>
          </w:p>
        </w:tc>
      </w:tr>
      <w:tr>
        <w:tc>
          <w:tcPr>
            <w:tcW w:w="2400" w:type="dxa"/>
          </w:tcPr>
          <w:p>
            <w:pPr>
              <w:jc w:val="left"/>
              <w:spacing w:before="10" w:after="10"/>
            </w:pPr>
            <w:r/>
            <w:r>
              <w:rPr>
                <w:rFonts w:ascii="Times New Roman" w:hAnsi="Times New Roman"/>
                <w:sz w:val="16"/>
              </w:rPr>
              <w:t>Kyrgyzstan</w:t>
            </w:r>
          </w:p>
        </w:tc>
        <w:tc>
          <w:tcPr>
            <w:tcW w:w="1300" w:type="dxa"/>
          </w:tcPr>
          <w:p>
            <w:pPr>
              <w:jc w:val="center"/>
              <w:spacing w:before="10" w:after="10"/>
            </w:pPr>
            <w:r/>
            <w:r>
              <w:rPr>
                <w:rFonts w:ascii="Times New Roman" w:hAnsi="Times New Roman"/>
                <w:sz w:val="16"/>
              </w:rPr>
              <w:t>$2.50</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74</w:t>
            </w:r>
          </w:p>
        </w:tc>
        <w:tc>
          <w:tcPr>
            <w:tcW w:w="1100" w:type="dxa"/>
          </w:tcPr>
          <w:p>
            <w:pPr>
              <w:jc w:val="center"/>
              <w:spacing w:before="10" w:after="10"/>
            </w:pPr>
            <w:r/>
            <w:r>
              <w:rPr>
                <w:rFonts w:ascii="Times New Roman" w:hAnsi="Times New Roman"/>
                <w:sz w:val="16"/>
              </w:rPr>
              <w:t>56.8%</w:t>
            </w:r>
          </w:p>
        </w:tc>
      </w:tr>
      <w:tr>
        <w:tc>
          <w:tcPr>
            <w:tcW w:w="2400" w:type="dxa"/>
          </w:tcPr>
          <w:p>
            <w:pPr>
              <w:jc w:val="left"/>
              <w:spacing w:before="10" w:after="10"/>
            </w:pPr>
            <w:r/>
            <w:r>
              <w:rPr>
                <w:rFonts w:ascii="Times New Roman" w:hAnsi="Times New Roman"/>
                <w:sz w:val="16"/>
              </w:rPr>
              <w:t>Russia</w:t>
            </w:r>
          </w:p>
        </w:tc>
        <w:tc>
          <w:tcPr>
            <w:tcW w:w="1300" w:type="dxa"/>
          </w:tcPr>
          <w:p>
            <w:pPr>
              <w:jc w:val="center"/>
              <w:spacing w:before="10" w:after="10"/>
            </w:pPr>
            <w:r/>
            <w:r>
              <w:rPr>
                <w:rFonts w:ascii="Times New Roman" w:hAnsi="Times New Roman"/>
                <w:sz w:val="16"/>
              </w:rPr>
              <w:t>$2.51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75</w:t>
            </w:r>
          </w:p>
        </w:tc>
        <w:tc>
          <w:tcPr>
            <w:tcW w:w="1100" w:type="dxa"/>
          </w:tcPr>
          <w:p>
            <w:pPr>
              <w:jc w:val="center"/>
              <w:spacing w:before="10" w:after="10"/>
            </w:pPr>
            <w:r/>
            <w:r>
              <w:rPr>
                <w:rFonts w:ascii="Times New Roman" w:hAnsi="Times New Roman"/>
                <w:sz w:val="16"/>
              </w:rPr>
              <w:t>57.7%</w:t>
            </w:r>
          </w:p>
        </w:tc>
      </w:tr>
      <w:tr>
        <w:tc>
          <w:tcPr>
            <w:tcW w:w="2400" w:type="dxa"/>
          </w:tcPr>
          <w:p>
            <w:pPr>
              <w:jc w:val="left"/>
              <w:spacing w:before="10" w:after="10"/>
            </w:pPr>
            <w:r/>
            <w:r>
              <w:rPr>
                <w:rFonts w:ascii="Times New Roman" w:hAnsi="Times New Roman"/>
                <w:sz w:val="16"/>
              </w:rPr>
              <w:t>Tajikistan</w:t>
            </w:r>
          </w:p>
        </w:tc>
        <w:tc>
          <w:tcPr>
            <w:tcW w:w="1300" w:type="dxa"/>
          </w:tcPr>
          <w:p>
            <w:pPr>
              <w:jc w:val="center"/>
              <w:spacing w:before="10" w:after="10"/>
            </w:pPr>
            <w:r/>
            <w:r>
              <w:rPr>
                <w:rFonts w:ascii="Times New Roman" w:hAnsi="Times New Roman"/>
                <w:sz w:val="16"/>
              </w:rPr>
              <w:t>$2.84</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80</w:t>
            </w:r>
          </w:p>
        </w:tc>
        <w:tc>
          <w:tcPr>
            <w:tcW w:w="1100" w:type="dxa"/>
          </w:tcPr>
          <w:p>
            <w:pPr>
              <w:jc w:val="center"/>
              <w:spacing w:before="10" w:after="10"/>
            </w:pPr>
            <w:r/>
            <w:r>
              <w:rPr>
                <w:rFonts w:ascii="Times New Roman" w:hAnsi="Times New Roman"/>
                <w:sz w:val="16"/>
              </w:rPr>
              <w:t>78.4%</w:t>
            </w:r>
          </w:p>
        </w:tc>
      </w:tr>
      <w:tr>
        <w:tc>
          <w:tcPr>
            <w:tcW w:w="2400" w:type="dxa"/>
          </w:tcPr>
          <w:p>
            <w:pPr>
              <w:jc w:val="left"/>
              <w:spacing w:before="10" w:after="10"/>
            </w:pPr>
            <w:r/>
            <w:r>
              <w:rPr>
                <w:rFonts w:ascii="Times New Roman" w:hAnsi="Times New Roman"/>
                <w:sz w:val="16"/>
              </w:rPr>
              <w:t>Iran</w:t>
            </w:r>
          </w:p>
        </w:tc>
        <w:tc>
          <w:tcPr>
            <w:tcW w:w="1300" w:type="dxa"/>
          </w:tcPr>
          <w:p>
            <w:pPr>
              <w:jc w:val="center"/>
              <w:spacing w:before="10" w:after="10"/>
            </w:pPr>
            <w:r/>
            <w:r>
              <w:rPr>
                <w:rFonts w:ascii="Times New Roman" w:hAnsi="Times New Roman"/>
                <w:sz w:val="16"/>
              </w:rPr>
              <w:t>$2.89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81</w:t>
            </w:r>
          </w:p>
        </w:tc>
        <w:tc>
          <w:tcPr>
            <w:tcW w:w="1100" w:type="dxa"/>
          </w:tcPr>
          <w:p>
            <w:pPr>
              <w:jc w:val="center"/>
              <w:spacing w:before="10" w:after="10"/>
            </w:pPr>
            <w:r/>
            <w:r>
              <w:rPr>
                <w:rFonts w:ascii="Times New Roman" w:hAnsi="Times New Roman"/>
                <w:sz w:val="16"/>
              </w:rPr>
              <w:t>81.2%</w:t>
            </w:r>
          </w:p>
        </w:tc>
      </w:tr>
      <w:tr>
        <w:tc>
          <w:tcPr>
            <w:tcW w:w="2400" w:type="dxa"/>
          </w:tcPr>
          <w:p>
            <w:pPr>
              <w:jc w:val="left"/>
              <w:spacing w:before="10" w:after="10"/>
            </w:pPr>
            <w:r/>
            <w:r>
              <w:rPr>
                <w:rFonts w:ascii="Times New Roman" w:hAnsi="Times New Roman"/>
                <w:sz w:val="16"/>
              </w:rPr>
              <w:t>Ethiopia</w:t>
            </w:r>
          </w:p>
        </w:tc>
        <w:tc>
          <w:tcPr>
            <w:tcW w:w="1300" w:type="dxa"/>
          </w:tcPr>
          <w:p>
            <w:pPr>
              <w:jc w:val="center"/>
              <w:spacing w:before="10" w:after="10"/>
            </w:pPr>
            <w:r/>
            <w:r>
              <w:rPr>
                <w:rFonts w:ascii="Times New Roman" w:hAnsi="Times New Roman"/>
                <w:sz w:val="16"/>
              </w:rPr>
              <w:t>$3.07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83</w:t>
            </w:r>
          </w:p>
        </w:tc>
        <w:tc>
          <w:tcPr>
            <w:tcW w:w="1100" w:type="dxa"/>
          </w:tcPr>
          <w:p>
            <w:pPr>
              <w:jc w:val="center"/>
              <w:spacing w:before="10" w:after="10"/>
            </w:pPr>
            <w:r/>
            <w:r>
              <w:rPr>
                <w:rFonts w:ascii="Times New Roman" w:hAnsi="Times New Roman"/>
                <w:sz w:val="16"/>
              </w:rPr>
              <w:t>92.9%</w:t>
            </w:r>
          </w:p>
        </w:tc>
      </w:tr>
      <w:tr>
        <w:tc>
          <w:tcPr>
            <w:tcBorders>
              <w:bottom w:val="double" w:sz="4" w:space="0" w:color="auto"/>
            </w:tcBorders>
            <w:tcW w:w="2400" w:type="dxa"/>
          </w:tcPr>
          <w:p>
            <w:pPr>
              <w:jc w:val="left"/>
              <w:spacing w:before="10" w:after="10"/>
            </w:pPr>
            <w:r/>
            <w:r>
              <w:rPr>
                <w:rFonts w:ascii="Times New Roman" w:hAnsi="Times New Roman"/>
                <w:sz w:val="16"/>
              </w:rPr>
              <w:t>Turkmenistan</w:t>
            </w:r>
          </w:p>
        </w:tc>
        <w:tc>
          <w:tcPr>
            <w:tcBorders>
              <w:bottom w:val="double" w:sz="4" w:space="0" w:color="auto"/>
            </w:tcBorders>
            <w:tcW w:w="1300" w:type="dxa"/>
          </w:tcPr>
          <w:p>
            <w:pPr>
              <w:jc w:val="center"/>
              <w:spacing w:before="10" w:after="10"/>
            </w:pPr>
            <w:r/>
            <w:r>
              <w:rPr>
                <w:rFonts w:ascii="Times New Roman" w:hAnsi="Times New Roman"/>
                <w:sz w:val="16"/>
              </w:rPr>
              <w:t>$3.10</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84</w:t>
            </w:r>
          </w:p>
        </w:tc>
        <w:tc>
          <w:tcPr>
            <w:tcBorders>
              <w:bottom w:val="double" w:sz="4" w:space="0" w:color="auto"/>
            </w:tcBorders>
            <w:tcW w:w="1100" w:type="dxa"/>
          </w:tcPr>
          <w:p>
            <w:pPr>
              <w:jc w:val="center"/>
              <w:spacing w:before="10" w:after="10"/>
            </w:pPr>
            <w:r/>
            <w:r>
              <w:rPr>
                <w:rFonts w:ascii="Times New Roman" w:hAnsi="Times New Roman"/>
                <w:sz w:val="16"/>
              </w:rPr>
              <w:t>94.8%</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8" w:name="Eq2txt908"/>
      <w:hyperlink w:anchor="Eq2" w:history="1">
        <w:r>
          <w:rPr>
            <w:rFonts w:ascii="Times New Roman" w:hAnsi="Times New Roman"/>
            <w:sz w:val="20"/>
            <w:color w:val="1F3864"/>
            <w:u w:val="single"/>
          </w:rPr>
          <w:t xml:space="preserve">equation (2)</w:t>
        </w:r>
      </w:hyperlink>
      <w:bookmarkEnd w:id="908"/>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0.57</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0.98</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0.47</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0.51</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0.75</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0.64</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0.67</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0.67</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0.56</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0.58</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0.56</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0.71</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0.67</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0.47</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0.59</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0.99</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0.67</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0.67</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0.63</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0.51</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0.94</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0.56</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0.74</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0.61</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0.47</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0.53</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0.70</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0.90</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0.93</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0.87</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0.65</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0.94</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0.93</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0.77</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0.98</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0.50</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0.84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0.99</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0.95</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0.90</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0.62</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0.93</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0.80</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0.77</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0.91</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0.98</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1.00</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0.97</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0.90</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9" w:name="Eq4txt909"/>
      <w:hyperlink w:anchor="Eq4" w:history="1">
        <w:r>
          <w:rPr>
            <w:sz w:val="20"/>
            <w:color w:val="1F3864"/>
            <w:u w:val="single"/>
          </w:rPr>
          <w:t xml:space="preserve">equation (4)</w:t>
        </w:r>
      </w:hyperlink>
      <w:bookmarkEnd w:id="909"/>
      <w:r>
        <w:rPr>
          <w:sz w:val="20"/>
        </w:rPr>
        <w:t xml:space="preserve">. ξⱼᵉᶠᶠ = production-efficiency index combining governance quality and grid reliability (geometric mean;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17"/>
        <w:gridCol w:w="617"/>
        <w:gridCol w:w="617"/>
        <w:gridCol w:w="617"/>
        <w:gridCol w:w="617"/>
        <w:gridCol w:w="617"/>
        <w:gridCol w:w="617"/>
        <w:gridCol w:w="617"/>
        <w:gridCol w:w="617"/>
        <w:gridCol w:w="617"/>
        <w:gridCol w:w="617"/>
        <w:gridCol w:w="617"/>
        <w:gridCol w:w="617"/>
        <w:gridCol w:w="617"/>
      </w:tblGrid>
      <w:tr>
        <w:tc>
          <w:tcPr>
            <w:tcBorders>
              <w:top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(3) Efficiency-Adjusted</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tcBorders>
            <w:tcW w:w="540" w:type="dxa"/>
          </w:tcPr>
          <w:p>
            <w:pPr>
              <w:jc w:val="center"/>
              <w:spacing w:before="5" w:after="5"/>
            </w:pPr>
            <w:r/>
            <w:r>
              <w:rPr>
                <w:rFonts w:ascii="Times New Roman" w:hAnsi="Times New Roman"/>
                <w:sz w:val="14"/>
              </w:rPr>
            </w:r>
          </w:p>
        </w:tc>
      </w:tr>
      <w:tr>
        <w:tc>
          <w:tcPr>
            <w:tcBorders>
              <w:bottom w:val="single" w:sz="4" w:space="0" w:color="auto"/>
            </w:tcBorders>
            <w:tcW w:w="1800" w:type="dxa"/>
          </w:tcPr>
          <w:p>
            <w:pPr>
              <w:jc w:val="left"/>
              <w:spacing w:before="5" w:after="5"/>
            </w:pPr>
            <w:r/>
            <w:r>
              <w:rPr>
                <w:rFonts w:ascii="Times New Roman" w:hAnsi="Times New Roman"/>
                <w:b/>
                <w:sz w:val="14"/>
              </w:rPr>
              <w:t>Country</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cⱼ/ξⱼᵉᶠᶠ</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pⱼ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+63</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+62</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+62</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$1.96</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$1.96</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$2.05</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$2.05</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$2.10</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$2.10</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$2.14</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$2.14</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$2.17</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$2.17</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$2.23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$2.26</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$2.26</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$2.32</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$2.32</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$2.34</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$2.34</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$2.43</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$2.43</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$2.50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$2.51</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$2.51</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-67</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-71</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$2.83</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$2.83</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$2.84</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$2.84</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$2.89</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$2.89</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-80</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$3.07</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$3.07</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-80</w:t>
            </w:r>
          </w:p>
        </w:tc>
      </w:tr>
      <w:tr>
        <w:tc>
          <w:tcPr>
            <w:tcW w:w="1800" w:type="dxa"/>
          </w:tcPr>
          <w:p>
            <w:pPr>
              <w:jc w:val="left"/>
              <w:spacing w:before="5" w:after="5"/>
            </w:pPr>
            <w:r/>
            <w:r>
              <w:rPr>
                <w:rFonts w:ascii="Times New Roman" w:hAnsi="Times New Roman"/>
                <w:sz w:val="14"/>
              </w:rPr>
              <w:t>Turkmenistan</w:t>
            </w:r>
          </w:p>
        </w:tc>
        <w:tc>
          <w:tcPr>
            <w:tcW w:w="900" w:type="dxa"/>
          </w:tcPr>
          <w:p>
            <w:pPr>
              <w:jc w:val="center"/>
              <w:spacing w:before="5" w:after="5"/>
            </w:pPr>
            <w:r/>
            <w:r>
              <w:rPr>
                <w:rFonts w:ascii="Times New Roman" w:hAnsi="Times New Roman"/>
                <w:sz w:val="14"/>
              </w:rPr>
              <w:t>$1.41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$3.10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$3.10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-82</w:t>
            </w:r>
          </w:p>
        </w:tc>
      </w:tr>
      <w:tr>
        <w:tc>
          <w:tcPr>
            <w:tcBorders>
              <w:bottom w:val="double" w:sz="4" w:space="0" w:color="auto"/>
            </w:tcBorders>
            <w:tcW w:w="1800" w:type="dxa"/>
          </w:tcPr>
          <w:p>
            <w:pPr>
              <w:jc w:val="left"/>
              <w:spacing w:before="5" w:after="5"/>
            </w:pPr>
            <w:r/>
            <w:r>
              <w:rPr>
                <w:rFonts w:ascii="Times New Roman" w:hAnsi="Times New Roman"/>
                <w:sz w:val="14"/>
              </w:rPr>
              <w:t>Nigeria</w:t>
            </w:r>
          </w:p>
        </w:tc>
        <w:tc>
          <w:tcPr>
            <w:tcBorders>
              <w:bottom w:val="double" w:sz="4" w:space="0" w:color="auto"/>
            </w:tcBorders>
            <w:tcW w:w="900" w:type="dxa"/>
          </w:tcPr>
          <w:p>
            <w:pPr>
              <w:jc w:val="center"/>
              <w:spacing w:before="5" w:after="5"/>
            </w:pPr>
            <w:r/>
            <w:r>
              <w:rPr>
                <w:rFonts w:ascii="Times New Roman" w:hAnsi="Times New Roman"/>
                <w:sz w:val="14"/>
              </w:rPr>
              <w:t>$1.45</w:t>
            </w:r>
          </w:p>
        </w:tc>
        <w:tc>
          <w:tcPr>
            <w:tcBorders>
              <w:bottom w:val="double" w:sz="4" w:space="0" w:color="auto"/>
            </w:tcBorders>
            <w:tcW w:w="540" w:type="dxa"/>
          </w:tcPr>
          <w:p>
            <w:pPr>
              <w:jc w:val="center"/>
              <w:spacing w:before="5" w:after="5"/>
            </w:pPr>
            <w:r/>
            <w:r>
              <w:rPr>
                <w:rFonts w:ascii="Times New Roman" w:hAnsi="Times New Roman"/>
                <w:sz w:val="14"/>
              </w:rPr>
              <w:t>13</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$1.49</w:t>
            </w:r>
          </w:p>
        </w:tc>
        <w:tc>
          <w:tcPr>
            <w:tcBorders>
              <w:bottom w:val="double" w:sz="4" w:space="0" w:color="auto"/>
            </w:tcBorders>
            <w:tcW w:w="540" w:type="dxa"/>
          </w:tcPr>
          <w:p>
            <w:pPr>
              <w:jc w:val="center"/>
              <w:spacing w:before="5" w:after="5"/>
            </w:pPr>
            <w:r/>
            <w:r>
              <w:rPr>
                <w:rFonts w:ascii="Times New Roman" w:hAnsi="Times New Roman"/>
                <w:sz w:val="14"/>
              </w:rPr>
              <w:t>31</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$3.14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$3.14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-72</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10" w:name="Eq2txt910"/>
      <w:hyperlink w:anchor="Eq2" w:history="1">
        <w:r>
          <w:rPr>
            <w:sz w:val="20"/>
            <w:color w:val="1F3864"/>
            <w:u w:val="single"/>
          </w:rPr>
          <w:t xml:space="preserve">equation (2)</w:t>
        </w:r>
      </w:hyperlink>
      <w:bookmarkEnd w:id="910"/>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11" w:name="Eq1txt911"/>
      <w:hyperlink w:anchor="Eq1" w:history="1">
        <w:r>
          <w:rPr>
            <w:color w:val="1F3864"/>
            <w:u w:val="single"/>
          </w:rPr>
          <w:t xml:space="preserve">equation (1)</w:t>
        </w:r>
      </w:hyperlink>
      <w:bookmarkEnd w:id="911"/>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2" w:name="Eq4txt912"/>
      <w:hyperlink w:anchor="Eq4" w:history="1">
        <w:r>
          <w:rPr>
            <w:color w:val="1F3864"/>
            <w:u w:val="single"/>
          </w:rPr>
          <w:t xml:space="preserve">equation (4)</w:t>
        </w:r>
      </w:hyperlink>
      <w:bookmarkEnd w:id="912"/>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3" w:name="Eq2txt913"/>
      <w:hyperlink w:anchor="Eq2" w:history="1">
        <w:r>
          <w:rPr>
            <w:color w:val="1F3864"/>
            <w:u w:val="single"/>
          </w:rPr>
          <w:t xml:space="preserve">equation (2)</w:t>
        </w:r>
      </w:hyperlink>
      <w:bookmarkEnd w:id="913"/>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$1.592</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0.9996</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$1.585</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0.9993</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$1.864</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$1.320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Cooling efficiency cap (PUE ≤ 1.20)</w:t>
            </w:r>
          </w:p>
        </w:tc>
        <w:tc>
          <w:tcPr>
            <w:tcBorders>
              <w:bottom w:val="double" w:sz="4" w:space="0" w:color="auto"/>
            </w:tcBorders>
            <w:tcW w:w="2600" w:type="dxa"/>
          </w:tcPr>
          <w:p>
            <w:pPr>
              <w:spacing w:before="10" w:after="10"/>
            </w:pPr>
            <w:r/>
            <w:r>
              <w:rPr>
                <w:sz w:val="16"/>
              </w:rPr>
              <w:t>PUE capped at 1.20 for all countries</w:t>
            </w:r>
          </w:p>
        </w:tc>
        <w:tc>
          <w:tcPr>
            <w:tcBorders>
              <w:bottom w:val="double" w:sz="4" w:space="0" w:color="auto"/>
            </w:tcBorders>
            <w:tcW w:w="900" w:type="dxa"/>
          </w:tcPr>
          <w:p>
            <w:pPr>
              <w:jc w:val="right"/>
              <w:spacing w:before="10" w:after="10"/>
            </w:pPr>
            <w:r/>
            <w:r>
              <w:rPr>
                <w:sz w:val="16"/>
              </w:rPr>
              <w:t>$1.592</w:t>
            </w:r>
          </w:p>
        </w:tc>
        <w:tc>
          <w:tcPr>
            <w:tcBorders>
              <w:bottom w:val="double" w:sz="4" w:space="0" w:color="auto"/>
            </w:tcBorders>
            <w:tcW w:w="800" w:type="dxa"/>
          </w:tcPr>
          <w:p>
            <w:pPr>
              <w:jc w:val="right"/>
              <w:spacing w:before="10" w:after="10"/>
            </w:pPr>
            <w:r/>
            <w:r>
              <w:rPr>
                <w:sz w:val="16"/>
              </w:rPr>
              <w:t>2</w:t>
            </w:r>
          </w:p>
        </w:tc>
        <w:tc>
          <w:tcPr>
            <w:tcBorders>
              <w:bottom w:val="double" w:sz="4" w:space="0" w:color="auto"/>
            </w:tcBorders>
            <w:tcW w:w="800" w:type="dxa"/>
          </w:tcPr>
          <w:p>
            <w:pPr>
              <w:jc w:val="right"/>
              <w:spacing w:before="10" w:after="10"/>
            </w:pPr>
            <w:r/>
            <w:r>
              <w:rPr>
                <w:sz w:val="16"/>
              </w:rPr>
              <w:t>0.9339</w:t>
            </w:r>
          </w:p>
        </w:tc>
        <w:tc>
          <w:tcPr>
            <w:tcBorders>
              <w:bottom w:val="double" w:sz="4" w:space="0" w:color="auto"/>
            </w:tcBorders>
            <w:tcW w:w="900" w:type="dxa"/>
          </w:tcPr>
          <w:p>
            <w:pPr>
              <w:jc w:val="right"/>
              <w:spacing w:before="10" w:after="10"/>
            </w:pPr>
            <w:r/>
            <w:r>
              <w:rPr>
                <w:sz w:val="16"/>
              </w:rPr>
              <w:t>0.9922</w:t>
            </w:r>
          </w:p>
        </w:tc>
        <w:tc>
          <w:tcPr>
            <w:tcBorders>
              <w:bottom w:val="double" w:sz="4" w:space="0" w:color="auto"/>
            </w:tcBorders>
            <w:tcW w:w="600" w:type="dxa"/>
          </w:tcPr>
          <w:p>
            <w:pPr>
              <w:jc w:val="right"/>
              <w:spacing w:before="10" w:after="10"/>
            </w:pPr>
            <w:r/>
            <w:r>
              <w:rPr>
                <w:sz w:val="16"/>
              </w:rPr>
              <w:t>Same</w:t>
            </w:r>
          </w:p>
        </w:tc>
      </w:tr>
    </w:tbl>
    <w:p>
      <w:pPr>
        <w:spacing w:before="0" w:after="0" w:line="240" w:lineRule="auto"/>
        <w:ind w:firstLine="0"/>
        <w:jc w:val="left"/>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4">
    <w:p>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6">
    <w:p>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 In retail markets, inference is increasingly priced per token (dollars per million tokens) and training per GPU-hour or per job. Because tokens per GPU-hour are determined by model architecture and serving software—not by country of production—the choice of unit does not affect cross-country cost comparisons.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1">
    <w:p>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2">
    <w:p>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4">
    <w:p>
      <w:pPr>
        <w:pStyle w:val="FootnoteText"/>
      </w:pPr>
      <w:r>
        <w:rPr>
          <w:rStyle w:val="FootnoteReference"/>
        </w:rPr>
        <w:footnoteRef/>
      </w:r>
      <w:r>
        <w:t xml:space="preserve"> The Deloitte (2020) estimate is based on 30 million user sessions across multiple retail and travel sites.</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8">
    <w:p>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