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v26  —  February 23, 2026  23:13</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energy-abundant economies with weak governance fall in the rankings, but countries that combine cheap energy with adequate institutions remain competitive.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0.85</m:t>
        </m:r>
      </m:oMath>
      <w:r>
        <w:t xml:space="preserve"> reflects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implying that the worst-case hyperscaler facility operates at half the effectiveness of an OECD benchmark.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0.85</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The asymmetric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0.76, Uzbekistan: 0.74, Ethiopia: 0.71).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0.81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41 countries change their trade regimes.</w:t>
      </w:r>
    </w:p>
    <w:p>
      <w:pPr>
        <w:spacing w:before="0" w:after="160"/>
        <w:ind w:firstLine="0"/>
        <w:jc w:val="both"/>
      </w:pPr>
      <w:r>
        <w:t xml:space="preserve">Cost advantages must be weighed against institutional quality. While data centers can mitigate grid unreliability through private infrastructure, governance weaknesses — contract enforcement, expropriation risk, regulatory instability — cannot be engineered away. 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primarily for weak governance (weight 0.85) and secondarily for unreliable grids (weight 0.15).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Sweden, and South Africa. </w:t>
      </w:r>
      <w:r>
        <w:t>The Δ column shows the rank change from raw tariffs to the preferred specification (column 1 to column 4): Iran drops 82 places</w:t>
      </w:r>
      <w:r>
        <w:t>, Kyrgyzstan drops 63</w:t>
      </w:r>
      <w:r>
        <w:t xml:space="preserve">, while Switzerland rises 60 places, </w:t>
      </w:r>
      <w:r>
        <w:t>and Austria rises 57</w:t>
      </w:r>
      <w:r>
        <w:t xml:space="preserve">. Nine of the ten cheapest countries under the pure engineering cost ranking fall out of the top ten after efficiency adjustment, replaced by countries with stronger governance. Because hardware and networking costs account for roughly 94% of engineering costs, the cross-country cost spread is narrow (about 20%). Even modest governance penalties are large relative to this thin margin, so institutional quality can easily dominate the cost ranking.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−9.5%</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16.1%</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$1.61</m:t>
        </m:r>
      </m:oMath>
      <w:r>
        <w:t xml:space="preserve">/hr, set by the marginal exporter’s cost. Training demand is served by 1 exporter (HHI = 1.00), confirming Proposition 2. </w:t>
      </w:r>
      <w:r>
        <w:t>Inference is more dispersed, with the top five suppliers being Canada (48%), Japan (28%), Finland (7%), Norway (7%), and Singapore (5%), collectively accounting for 95% of global inference demand (HHI = 0.32). Under the bilateral sovereignty premium, most training demand is served domestically, and the smaller export market is served by 1 exporter (HHI = 1.00) at $1.61/hr.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Japan,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3.2%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The calibration in Section 6 adjusts for energy subsidies and institutional quality, but several constraints remain outside the model. GPU export controls bar Iran, Russia, and Belarus from acquiring current-generation hardware, effectively excluding them regardless of cost. Water scarcity constrains cooling in Iran, Turkmenistan, Egypt, and Saudi Arabia, where data center water consumption would compete with agriculture and residential use. These entry barriers are not captured by ξ or by cost-recovery pricing, and they further narrow the set of viable exporters.</w:t>
      </w:r>
    </w:p>
    <w:p>
      <w:pPr>
        <w:spacing w:before="0" w:after="160"/>
        <w:ind w:firstLine="0"/>
        <w:jc w:val="both"/>
      </w:pPr>
      <w:r>
        <w:t>Even after cost-recovery adjustment, fiscal sustainability remains a concern. Regulated tariffs in many developing countries cover operating expenses but not the full capital cost of generation, transmission, and distribution. State-owned enterprises accumulate quasi-fiscal deficits eventually borne by taxpayers. At hyperscale, exporting compute while the domestic energy sector cannot maintain its capital stock is politically unsustainable. Governments face a choice between raising data center tariffs,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Hardware prices. </w:t>
      </w:r>
      <w:r>
        <w:t xml:space="preserve">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Across five scenarios — electricity prices ±$0.01/kWh, GPU price ±20%, and PUE capped at 1.20 — the Spearman rank correlation with the baseline never falls below 0.999, the top five countries are unchanged in three of five cases, and the training price shifts by at most $0.275/hr. </w:t>
      </w:r>
      <w:bookmarkStart w:id="143" w:name="TableA3txt"/>
      <w:hyperlink w:anchor="TableA3" w:history="1">
        <w:r>
          <w:rPr>
            <w:color w:val="1F3864"/>
            <w:u w:val="single"/>
          </w:rPr>
          <w:t xml:space="preserve">Table A3</w:t>
        </w:r>
      </w:hyperlink>
      <w:bookmarkEnd w:id="143"/>
      <w:r>
        <w:t xml:space="preserve"> reports full results.</w:t>
      </w:r>
    </w:p>
    <w:p>
      <w:pPr>
        <w:spacing w:before="0" w:after="160"/>
        <w:ind w:firstLine="0"/>
        <w:jc w:val="both"/>
      </w:pPr>
      <w:r>
        <w:rPr>
          <w:rFonts w:ascii="Times New Roman" w:hAnsi="Times New Roman"/>
          <w:b w:val="0"/>
          <w:i/>
          <w:sz w:val="24"/>
        </w:rPr>
        <w:t xml:space="preserve">Efficiency parameters. </w:t>
      </w:r>
      <w:r>
        <w:t xml:space="preserve">The baseline assigns weight </w:t>
      </w:r>
      <m:oMath>
        <m:r>
          <m:rPr>
            <m:sty m:val="i"/>
          </m:rPr>
          <w:rPr>
            <w:rFonts w:ascii="Cambria Math" w:hAnsi="Cambria Math"/>
          </w:rPr>
          <m:t xml:space="preserve">ω</m:t>
        </m:r>
        <m:r>
          <m:rPr>
            <m:sty m:val="p"/>
          </m:rPr>
          <w:rPr>
            <w:rFonts w:ascii="Cambria Math" w:hAnsi="Cambria Math"/>
          </w:rPr>
          <m:t xml:space="preserve"> = 0.85</m:t>
        </m:r>
      </m:oMath>
      <w:r>
        <w:t xml:space="preserve"> to governance and 0.15 to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0.50</m:t>
        </m:r>
      </m:oMath>
      <w:r>
        <w:t xml:space="preserve">. </w:t>
      </w:r>
      <w:hyperlink w:anchor="TableA3" w:history="1">
        <w:r>
          <w:rPr>
            <w:color w:val="1F3864"/>
            <w:u w:val="single"/>
          </w:rPr>
          <w:t xml:space="preserve">Table A3</w:t>
        </w:r>
      </w:hyperlink>
      <w:r>
        <w:t xml:space="preserve"> reports sensitivity to both parameters. Varying </w:t>
      </w:r>
      <m:oMath>
        <m:r>
          <m:rPr>
            <m:sty m:val="i"/>
          </m:rPr>
          <w:rPr>
            <w:rFonts w:ascii="Cambria Math" w:hAnsi="Cambria Math"/>
          </w:rPr>
          <m:t xml:space="preserve">ω</m:t>
        </m:r>
      </m:oMath>
      <w:r>
        <w:t xml:space="preserve"> from 0.70 to 1.00 leaves the top five exporters unchanged and the Spearman rank correlation above 0.99. The floor compresses the ξ range from [0.34, 1.00] to [0.67, 1.00]. Setting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widens the penalty range modestly, while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0.70</m:t>
        </m:r>
      </m:oMath>
      <w:r>
        <w:t xml:space="preserve"> compresses it further — in both cases, the top five exporters are </w:t>
      </w:r>
      <w:r>
        <w:t xml:space="preserve">largely unchanged </w:t>
      </w:r>
      <w:r>
        <w:t xml:space="preserve">and the rank correlation exceeds 0.99. As an alternative specification, replacing ξ with </w:t>
      </w:r>
      <m:oMath>
        <m:sSup>
          <m:sSupPr/>
          <m:e>
            <m:r>
              <m:rPr>
                <m:sty m:val="i"/>
              </m:rPr>
              <w:rPr>
                <w:rFonts w:ascii="Cambria Math" w:hAnsi="Cambria Math"/>
              </w:rPr>
              <m:t xml:space="preserve">ξ</m:t>
            </m:r>
          </m:e>
          <m:sup>
            <m:r>
              <m:rPr>
                <m:sty m:val="i"/>
              </m:rPr>
              <w:rPr>
                <w:rFonts w:ascii="Cambria Math" w:hAnsi="Cambria Math"/>
              </w:rPr>
              <m:t xml:space="preserve">θ</m:t>
            </m:r>
          </m:sup>
        </m:sSup>
      </m:oMath>
      <w:r>
        <w:t xml:space="preserve"> (</w:t>
      </w:r>
      <m:oMath>
        <m:r>
          <m:rPr>
            <m:sty m:val="i"/>
          </m:rPr>
          <w:rPr>
            <w:rFonts w:ascii="Cambria Math" w:hAnsi="Cambria Math"/>
          </w:rPr>
          <m:t xml:space="preserve">θ</m:t>
        </m:r>
        <m:r>
          <m:rPr>
            <m:sty m:val="p"/>
          </m:rPr>
          <w:rPr>
            <w:rFonts w:ascii="Cambria Math" w:hAnsi="Cambria Math"/>
          </w:rPr>
          <m:t xml:space="preserve"> = 0.5</m:t>
        </m:r>
      </m:oMath>
      <w:r>
        <w:t>) produces similar compression without an explicit floor; the rank correlation with the baseline exceeds 0.99. The qualitative finding — that developing countries with cheap energy and adequate governance can compete —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3.2%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0.85;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27</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$1.66</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-21</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b/>
                <w:sz w:val="16"/>
              </w:rPr>
              <w:t>50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$1.79</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55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$1.79</w:t>
            </w:r>
          </w:p>
        </w:tc>
        <w:tc>
          <w:tcPr>
            <w:tcW w:w="540" w:type="dxa"/>
          </w:tcPr>
          <w:p>
            <w:pPr>
              <w:jc w:val="center"/>
              <w:spacing w:before="10" w:after="10"/>
            </w:pPr>
            <w:r/>
            <w:r>
              <w:rPr>
                <w:rFonts w:ascii="Times New Roman" w:hAnsi="Times New Roman"/>
                <w:b/>
                <w:sz w:val="16"/>
              </w:rPr>
              <w:t>55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0.82</w:t>
            </w:r>
          </w:p>
        </w:tc>
        <w:tc>
          <w:tcPr>
            <w:tcW w:w="540" w:type="dxa"/>
          </w:tcPr>
          <w:p>
            <w:pPr>
              <w:jc w:val="center"/>
              <w:spacing w:before="10" w:after="10"/>
            </w:pPr>
            <w:r/>
            <w:r>
              <w:rPr>
                <w:rFonts w:ascii="Times New Roman" w:hAnsi="Times New Roman"/>
                <w:sz w:val="16"/>
              </w:rPr>
              <w:t>57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57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$1.80</w:t>
            </w:r>
          </w:p>
        </w:tc>
        <w:tc>
          <w:tcPr>
            <w:tcW w:w="450" w:type="dxa"/>
          </w:tcPr>
          <w:p>
            <w:pPr>
              <w:jc w:val="center"/>
              <w:spacing w:before="10" w:after="10"/>
            </w:pPr>
            <w:r/>
            <w:r>
              <w:rPr>
                <w:rFonts w:ascii="Times New Roman" w:hAnsi="Times New Roman"/>
                <w:sz w:val="16"/>
              </w:rPr>
              <w:t>0.81</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60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$1.85</w:t>
            </w:r>
          </w:p>
        </w:tc>
        <w:tc>
          <w:tcPr>
            <w:tcW w:w="450" w:type="dxa"/>
          </w:tcPr>
          <w:p>
            <w:pPr>
              <w:jc w:val="center"/>
              <w:spacing w:before="10" w:after="10"/>
            </w:pPr>
            <w:r/>
            <w:r>
              <w:rPr>
                <w:rFonts w:ascii="Times New Roman" w:hAnsi="Times New Roman"/>
                <w:sz w:val="16"/>
              </w:rPr>
              <w:t>0.79</w:t>
            </w:r>
          </w:p>
        </w:tc>
        <w:tc>
          <w:tcPr>
            <w:tcW w:w="540" w:type="dxa"/>
          </w:tcPr>
          <w:p>
            <w:pPr>
              <w:jc w:val="center"/>
              <w:spacing w:before="10" w:after="10"/>
            </w:pPr>
            <w:r/>
            <w:r>
              <w:rPr>
                <w:rFonts w:ascii="Times New Roman" w:hAnsi="Times New Roman"/>
                <w:sz w:val="16"/>
              </w:rPr>
              <w:t>63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$1.85</w:t>
            </w:r>
          </w:p>
        </w:tc>
        <w:tc>
          <w:tcPr>
            <w:tcW w:w="540" w:type="dxa"/>
          </w:tcPr>
          <w:p>
            <w:pPr>
              <w:jc w:val="center"/>
              <w:spacing w:before="10" w:after="10"/>
            </w:pPr>
            <w:r/>
            <w:r>
              <w:rPr>
                <w:rFonts w:ascii="Times New Roman" w:hAnsi="Times New Roman"/>
                <w:b/>
                <w:sz w:val="16"/>
              </w:rPr>
              <w:t>63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$1.87</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67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$1.87</w:t>
            </w:r>
          </w:p>
        </w:tc>
        <w:tc>
          <w:tcPr>
            <w:tcW w:w="540" w:type="dxa"/>
          </w:tcPr>
          <w:p>
            <w:pPr>
              <w:jc w:val="center"/>
              <w:spacing w:before="10" w:after="10"/>
            </w:pPr>
            <w:r/>
            <w:r>
              <w:rPr>
                <w:rFonts w:ascii="Times New Roman" w:hAnsi="Times New Roman"/>
                <w:b/>
                <w:sz w:val="16"/>
              </w:rPr>
              <w:t>67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$2.02</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$2.02</w:t>
            </w:r>
          </w:p>
        </w:tc>
        <w:tc>
          <w:tcPr>
            <w:tcW w:w="540" w:type="dxa"/>
          </w:tcPr>
          <w:p>
            <w:pPr>
              <w:jc w:val="center"/>
              <w:spacing w:before="10" w:after="10"/>
            </w:pPr>
            <w:r/>
            <w:r>
              <w:rPr>
                <w:rFonts w:ascii="Times New Roman" w:hAnsi="Times New Roman"/>
                <w:b/>
                <w:sz w:val="16"/>
              </w:rPr>
              <w:t>79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$2.03</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$2.03</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450" w:type="dxa"/>
          </w:tcPr>
          <w:p>
            <w:pPr>
              <w:jc w:val="center"/>
              <w:spacing w:before="10" w:after="10"/>
            </w:pPr>
            <w:r/>
            <w:r>
              <w:rPr>
                <w:rFonts w:ascii="Times New Roman" w:hAnsi="Times New Roman"/>
                <w:sz w:val="16"/>
              </w:rPr>
              <w:t>0.70</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$2.12</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-82</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450" w:type="dxa"/>
          </w:tcPr>
          <w:p>
            <w:pPr>
              <w:jc w:val="center"/>
              <w:spacing w:before="10" w:after="10"/>
            </w:pPr>
            <w:r/>
            <w:r>
              <w:rPr>
                <w:rFonts w:ascii="Times New Roman" w:hAnsi="Times New Roman"/>
                <w:sz w:val="16"/>
              </w:rPr>
              <w:t>0.67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$2.19</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-83</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cⱼ/ξⱼᵉᶠᶠ</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−9.5%</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−8.8%</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−8.7%</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−7.8%</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−4.9%</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−4.8%</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−4.7%</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27</w:t>
            </w:r>
          </w:p>
        </w:tc>
        <w:tc>
          <w:tcPr>
            <w:tcW w:w="1100" w:type="dxa"/>
          </w:tcPr>
          <w:p>
            <w:pPr>
              <w:jc w:val="center"/>
              <w:spacing w:before="10" w:after="10"/>
            </w:pPr>
            <w:r/>
            <w:r>
              <w:rPr>
                <w:rFonts w:ascii="Times New Roman" w:hAnsi="Times New Roman"/>
                <w:sz w:val="16"/>
              </w:rPr>
              <w:t>−2.1%</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$1.66</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38</w:t>
            </w:r>
          </w:p>
        </w:tc>
        <w:tc>
          <w:tcPr>
            <w:tcW w:w="1100" w:type="dxa"/>
          </w:tcPr>
          <w:p>
            <w:pPr>
              <w:jc w:val="center"/>
              <w:spacing w:before="10" w:after="10"/>
            </w:pPr>
            <w:r/>
            <w:r>
              <w:rPr>
                <w:rFonts w:ascii="Times New Roman" w:hAnsi="Times New Roman"/>
                <w:sz w:val="16"/>
              </w:rPr>
              <w:t>2.7%</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$1.71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$1.76</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50</w:t>
            </w:r>
          </w:p>
        </w:tc>
        <w:tc>
          <w:tcPr>
            <w:tcW w:w="1100" w:type="dxa"/>
          </w:tcPr>
          <w:p>
            <w:pPr>
              <w:jc w:val="center"/>
              <w:spacing w:before="10" w:after="10"/>
            </w:pPr>
            <w:r/>
            <w:r>
              <w:rPr>
                <w:rFonts w:ascii="Times New Roman" w:hAnsi="Times New Roman"/>
                <w:sz w:val="16"/>
              </w:rPr>
              <w:t>9.2%</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$1.79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55</w:t>
            </w:r>
          </w:p>
        </w:tc>
        <w:tc>
          <w:tcPr>
            <w:tcW w:w="1100" w:type="dxa"/>
          </w:tcPr>
          <w:p>
            <w:pPr>
              <w:jc w:val="center"/>
              <w:spacing w:before="10" w:after="10"/>
            </w:pPr>
            <w:r/>
            <w:r>
              <w:rPr>
                <w:rFonts w:ascii="Times New Roman" w:hAnsi="Times New Roman"/>
                <w:sz w:val="16"/>
              </w:rPr>
              <w:t>11.1%</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57</w:t>
            </w:r>
          </w:p>
        </w:tc>
        <w:tc>
          <w:tcPr>
            <w:tcW w:w="1100" w:type="dxa"/>
          </w:tcPr>
          <w:p>
            <w:pPr>
              <w:jc w:val="center"/>
              <w:spacing w:before="10" w:after="10"/>
            </w:pPr>
            <w:r/>
            <w:r>
              <w:rPr>
                <w:rFonts w:ascii="Times New Roman" w:hAnsi="Times New Roman"/>
                <w:sz w:val="16"/>
              </w:rPr>
              <w:t>11.4%</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60</w:t>
            </w:r>
          </w:p>
        </w:tc>
        <w:tc>
          <w:tcPr>
            <w:tcW w:w="1100" w:type="dxa"/>
          </w:tcPr>
          <w:p>
            <w:pPr>
              <w:jc w:val="center"/>
              <w:spacing w:before="10" w:after="10"/>
            </w:pPr>
            <w:r/>
            <w:r>
              <w:rPr>
                <w:rFonts w:ascii="Times New Roman" w:hAnsi="Times New Roman"/>
                <w:sz w:val="16"/>
              </w:rPr>
              <w:t>11.9%</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$1.85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63</w:t>
            </w:r>
          </w:p>
        </w:tc>
        <w:tc>
          <w:tcPr>
            <w:tcW w:w="1100" w:type="dxa"/>
          </w:tcPr>
          <w:p>
            <w:pPr>
              <w:jc w:val="center"/>
              <w:spacing w:before="10" w:after="10"/>
            </w:pPr>
            <w:r/>
            <w:r>
              <w:rPr>
                <w:rFonts w:ascii="Times New Roman" w:hAnsi="Times New Roman"/>
                <w:sz w:val="16"/>
              </w:rPr>
              <w:t>14.7%</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$1.87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67</w:t>
            </w:r>
          </w:p>
        </w:tc>
        <w:tc>
          <w:tcPr>
            <w:tcW w:w="1100" w:type="dxa"/>
          </w:tcPr>
          <w:p>
            <w:pPr>
              <w:jc w:val="center"/>
              <w:spacing w:before="10" w:after="10"/>
            </w:pPr>
            <w:r/>
            <w:r>
              <w:rPr>
                <w:rFonts w:ascii="Times New Roman" w:hAnsi="Times New Roman"/>
                <w:sz w:val="16"/>
              </w:rPr>
              <w:t>16.1%</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71</w:t>
            </w:r>
          </w:p>
        </w:tc>
        <w:tc>
          <w:tcPr>
            <w:tcW w:w="1100" w:type="dxa"/>
          </w:tcPr>
          <w:p>
            <w:pPr>
              <w:jc w:val="center"/>
              <w:spacing w:before="10" w:after="10"/>
            </w:pPr>
            <w:r/>
            <w:r>
              <w:rPr>
                <w:rFonts w:ascii="Times New Roman" w:hAnsi="Times New Roman"/>
                <w:sz w:val="16"/>
              </w:rPr>
              <w:t>19.3%</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78</w:t>
            </w:r>
          </w:p>
        </w:tc>
        <w:tc>
          <w:tcPr>
            <w:tcW w:w="1100" w:type="dxa"/>
          </w:tcPr>
          <w:p>
            <w:pPr>
              <w:jc w:val="center"/>
              <w:spacing w:before="10" w:after="10"/>
            </w:pPr>
            <w:r/>
            <w:r>
              <w:rPr>
                <w:rFonts w:ascii="Times New Roman" w:hAnsi="Times New Roman"/>
                <w:sz w:val="16"/>
              </w:rPr>
              <w:t>25.4%</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$2.02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79</w:t>
            </w:r>
          </w:p>
        </w:tc>
        <w:tc>
          <w:tcPr>
            <w:tcW w:w="1100" w:type="dxa"/>
          </w:tcPr>
          <w:p>
            <w:pPr>
              <w:jc w:val="center"/>
              <w:spacing w:before="10" w:after="10"/>
            </w:pPr>
            <w:r/>
            <w:r>
              <w:rPr>
                <w:rFonts w:ascii="Times New Roman" w:hAnsi="Times New Roman"/>
                <w:sz w:val="16"/>
              </w:rPr>
              <w:t>25.6%</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$2.03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25.8%</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$2.12</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31.7%</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$2.19</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85</w:t>
            </w:r>
          </w:p>
        </w:tc>
        <w:tc>
          <w:tcPr>
            <w:tcBorders>
              <w:bottom w:val="double" w:sz="4" w:space="0" w:color="auto"/>
            </w:tcBorders>
            <w:tcW w:w="1100" w:type="dxa"/>
          </w:tcPr>
          <w:p>
            <w:pPr>
              <w:jc w:val="center"/>
              <w:spacing w:before="10" w:after="10"/>
            </w:pPr>
            <w:r/>
            <w:r>
              <w:rPr>
                <w:rFonts w:ascii="Times New Roman" w:hAnsi="Times New Roman"/>
                <w:sz w:val="16"/>
              </w:rPr>
              <w:t>35.7%</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0.71</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0.82</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0.79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0.81</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0.82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0.83</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0.76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0.83</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0.99</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0.89</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0.97</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0.85;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cⱼ/ξⱼᵉᶠᶠ</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+55</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$1.80</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$1.85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$1.85</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$1.86</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$1.87</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$1.87</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-51</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$1.97</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$1.98</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$2.02</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$2.02</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$2.03</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-77</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$2.12</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$2.15</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$2.19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$1.620</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$1.605</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0.9999</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$1.888</w:t>
            </w:r>
          </w:p>
        </w:tc>
        <w:tc>
          <w:tcPr>
            <w:tcW w:w="800" w:type="dxa"/>
          </w:tcPr>
          <w:p>
            <w:pPr>
              <w:jc w:val="right"/>
              <w:spacing w:before="10" w:after="10"/>
            </w:pPr>
            <w:r/>
            <w:r>
              <w:rPr>
                <w:sz w:val="16"/>
              </w:rPr>
              <w:t>2</w:t>
            </w:r>
          </w:p>
        </w:tc>
        <w:tc>
          <w:tcPr>
            <w:tcW w:w="800" w:type="dxa"/>
          </w:tcPr>
          <w:p>
            <w:pPr>
              <w:jc w:val="right"/>
              <w:spacing w:before="10" w:after="10"/>
            </w:pPr>
            <w:r/>
            <w:r>
              <w:rPr>
                <w:sz w:val="16"/>
              </w:rPr>
              <w:t>0.5660</w:t>
            </w:r>
          </w:p>
        </w:tc>
        <w:tc>
          <w:tcPr>
            <w:tcW w:w="900" w:type="dxa"/>
          </w:tcPr>
          <w:p>
            <w:pPr>
              <w:jc w:val="right"/>
              <w:spacing w:before="10" w:after="10"/>
            </w:pPr>
            <w:r/>
            <w:r>
              <w:rPr>
                <w:sz w:val="16"/>
              </w:rPr>
              <w:t>0.9990</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$1.338</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0.9989</w:t>
            </w:r>
          </w:p>
        </w:tc>
        <w:tc>
          <w:tcPr>
            <w:tcW w:w="600" w:type="dxa"/>
          </w:tcPr>
          <w:p>
            <w:pPr>
              <w:jc w:val="right"/>
              <w:spacing w:before="10" w:after="10"/>
            </w:pPr>
            <w:r/>
            <w:r>
              <w:rPr>
                <w:sz w:val="16"/>
              </w:rPr>
              <w:t>Same</w:t>
            </w:r>
          </w:p>
        </w:tc>
      </w:tr>
      <w:tr>
        <w:tc>
          <w:tcPr>
            <w:tcW w:w="2200" w:type="dxa"/>
          </w:tcPr>
          <w:p>
            <w:pPr>
              <w:spacing w:before="10" w:after="10"/>
            </w:pPr>
            <w:r/>
            <w:r>
              <w:rPr>
                <w:sz w:val="16"/>
              </w:rPr>
              <w:t>Cooling efficiency cap (PUE ≤ 1.20)</w:t>
            </w:r>
          </w:p>
        </w:tc>
        <w:tc>
          <w:tcPr>
            <w:tcW w:w="2600" w:type="dxa"/>
          </w:tcPr>
          <w:p>
            <w:pPr>
              <w:spacing w:before="10" w:after="10"/>
            </w:pPr>
            <w:r/>
            <w:r>
              <w:rPr>
                <w:sz w:val="16"/>
              </w:rPr>
              <w:t>PUE capped at 1.20 for all countries</w:t>
            </w:r>
          </w:p>
        </w:tc>
        <w:tc>
          <w:tcPr>
            <w:tcW w:w="900" w:type="dxa"/>
          </w:tcPr>
          <w:p>
            <w:pPr>
              <w:jc w:val="right"/>
              <w:spacing w:before="10" w:after="10"/>
            </w:pPr>
            <w:r/>
            <w:r>
              <w:rPr>
                <w:sz w:val="16"/>
              </w:rPr>
              <w:t>$1.613</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0.9991</w:t>
            </w:r>
          </w:p>
        </w:tc>
        <w:tc>
          <w:tcPr>
            <w:tcW w:w="600" w:type="dxa"/>
          </w:tcPr>
          <w:p>
            <w:pPr>
              <w:jc w:val="right"/>
              <w:spacing w:before="10" w:after="10"/>
            </w:pPr>
            <w:r/>
            <w:r>
              <w:rPr>
                <w:sz w:val="16"/>
              </w:rPr>
              <w:t>Same</w:t>
            </w:r>
          </w:p>
        </w:tc>
      </w:tr>
      <w:tr>
        <w:tc>
          <w:tcPr>
            <w:tcW w:w="2200" w:type="dxa"/>
          </w:tcPr>
          <w:p>
            <w:pPr>
              <w:spacing w:before="10" w:after="10"/>
            </w:pPr>
            <w:r/>
            <w:r>
              <w:rPr>
                <w:sz w:val="16"/>
              </w:rPr>
              <w:t>Institutional floor ξ_floor = 0.30</w:t>
            </w:r>
          </w:p>
        </w:tc>
        <w:tc>
          <w:tcPr>
            <w:tcW w:w="2600" w:type="dxa"/>
          </w:tcPr>
          <w:p>
            <w:pPr>
              <w:spacing w:before="10" w:after="10"/>
            </w:pPr>
            <w:r/>
            <w:r>
              <w:rPr>
                <w:sz w:val="16"/>
              </w:rPr>
              <w:t>ξ_floor = 0.30 (baseline 0.50)</w:t>
            </w:r>
          </w:p>
        </w:tc>
        <w:tc>
          <w:tcPr>
            <w:tcW w:w="900" w:type="dxa"/>
          </w:tcPr>
          <w:p>
            <w:pPr>
              <w:jc w:val="right"/>
              <w:spacing w:before="10" w:after="10"/>
            </w:pPr>
            <w:r/>
            <w:r>
              <w:rPr>
                <w:sz w:val="16"/>
              </w:rPr>
              <w:t>$1.621</w:t>
            </w:r>
          </w:p>
        </w:tc>
        <w:tc>
          <w:tcPr>
            <w:tcW w:w="800" w:type="dxa"/>
          </w:tcPr>
          <w:p>
            <w:pPr>
              <w:jc w:val="right"/>
              <w:spacing w:before="10" w:after="10"/>
            </w:pPr>
            <w:r/>
            <w:r>
              <w:rPr>
                <w:sz w:val="16"/>
              </w:rPr>
              <w:t>3</w:t>
            </w:r>
          </w:p>
        </w:tc>
        <w:tc>
          <w:tcPr>
            <w:tcW w:w="800" w:type="dxa"/>
          </w:tcPr>
          <w:p>
            <w:pPr>
              <w:jc w:val="right"/>
              <w:spacing w:before="10" w:after="10"/>
            </w:pPr>
            <w:r/>
            <w:r>
              <w:rPr>
                <w:sz w:val="16"/>
              </w:rPr>
              <w:t>0.3744</w:t>
            </w:r>
          </w:p>
        </w:tc>
        <w:tc>
          <w:tcPr>
            <w:tcW w:w="900" w:type="dxa"/>
          </w:tcPr>
          <w:p>
            <w:pPr>
              <w:jc w:val="right"/>
              <w:spacing w:before="10" w:after="10"/>
            </w:pPr>
            <w:r/>
            <w:r>
              <w:rPr>
                <w:sz w:val="16"/>
              </w:rPr>
              <w:t>0.9975</w:t>
            </w:r>
          </w:p>
        </w:tc>
        <w:tc>
          <w:tcPr>
            <w:tcW w:w="600" w:type="dxa"/>
          </w:tcPr>
          <w:p>
            <w:pPr>
              <w:jc w:val="right"/>
              <w:spacing w:before="10" w:after="10"/>
            </w:pPr>
            <w:r/>
            <w:r>
              <w:rPr>
                <w:sz w:val="16"/>
              </w:rPr>
              <w:t>Changed</w:t>
            </w:r>
          </w:p>
        </w:tc>
      </w:tr>
      <w:tr>
        <w:tc>
          <w:tcPr>
            <w:tcW w:w="2200" w:type="dxa"/>
          </w:tcPr>
          <w:p>
            <w:pPr>
              <w:spacing w:before="10" w:after="10"/>
            </w:pPr>
            <w:r/>
            <w:r>
              <w:rPr>
                <w:sz w:val="16"/>
              </w:rPr>
              <w:t>Institutional floor ξ_floor = 0.70</w:t>
            </w:r>
          </w:p>
        </w:tc>
        <w:tc>
          <w:tcPr>
            <w:tcW w:w="2600" w:type="dxa"/>
          </w:tcPr>
          <w:p>
            <w:pPr>
              <w:spacing w:before="10" w:after="10"/>
            </w:pPr>
            <w:r/>
            <w:r>
              <w:rPr>
                <w:sz w:val="16"/>
              </w:rPr>
              <w:t>ξ_floor = 0.70 (baseline 0.50)</w:t>
            </w:r>
          </w:p>
        </w:tc>
        <w:tc>
          <w:tcPr>
            <w:tcW w:w="900" w:type="dxa"/>
          </w:tcPr>
          <w:p>
            <w:pPr>
              <w:jc w:val="right"/>
              <w:spacing w:before="10" w:after="10"/>
            </w:pPr>
            <w:r/>
            <w:r>
              <w:rPr>
                <w:sz w:val="16"/>
              </w:rPr>
              <w:t>$1.604</w:t>
            </w:r>
          </w:p>
        </w:tc>
        <w:tc>
          <w:tcPr>
            <w:tcW w:w="800" w:type="dxa"/>
          </w:tcPr>
          <w:p>
            <w:pPr>
              <w:jc w:val="right"/>
              <w:spacing w:before="10" w:after="10"/>
            </w:pPr>
            <w:r/>
            <w:r>
              <w:rPr>
                <w:sz w:val="16"/>
              </w:rPr>
              <w:t>1</w:t>
            </w:r>
          </w:p>
        </w:tc>
        <w:tc>
          <w:tcPr>
            <w:tcW w:w="800" w:type="dxa"/>
          </w:tcPr>
          <w:p>
            <w:pPr>
              <w:jc w:val="right"/>
              <w:spacing w:before="10" w:after="10"/>
            </w:pPr>
            <w:r/>
            <w:r>
              <w:rPr>
                <w:sz w:val="16"/>
              </w:rPr>
              <w:t>1.0000</w:t>
            </w:r>
          </w:p>
        </w:tc>
        <w:tc>
          <w:tcPr>
            <w:tcW w:w="900" w:type="dxa"/>
          </w:tcPr>
          <w:p>
            <w:pPr>
              <w:jc w:val="right"/>
              <w:spacing w:before="10" w:after="10"/>
            </w:pPr>
            <w:r/>
            <w:r>
              <w:rPr>
                <w:sz w:val="16"/>
              </w:rPr>
              <w:t>0.9881</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Elasticity alternative ξ^0.5</w:t>
            </w:r>
          </w:p>
        </w:tc>
        <w:tc>
          <w:tcPr>
            <w:tcBorders>
              <w:bottom w:val="double" w:sz="4" w:space="0" w:color="auto"/>
            </w:tcBorders>
            <w:tcW w:w="2600" w:type="dxa"/>
          </w:tcPr>
          <w:p>
            <w:pPr>
              <w:spacing w:before="10" w:after="10"/>
            </w:pPr>
            <w:r/>
            <w:r>
              <w:rPr>
                <w:sz w:val="16"/>
              </w:rPr>
              <w:t>c / ξ_raw^0.5 (no explicit floor)</w:t>
            </w:r>
          </w:p>
        </w:tc>
        <w:tc>
          <w:tcPr>
            <w:tcBorders>
              <w:bottom w:val="double" w:sz="4" w:space="0" w:color="auto"/>
            </w:tcBorders>
            <w:tcW w:w="900" w:type="dxa"/>
          </w:tcPr>
          <w:p>
            <w:pPr>
              <w:jc w:val="right"/>
              <w:spacing w:before="10" w:after="10"/>
            </w:pPr>
            <w:r/>
            <w:r>
              <w:rPr>
                <w:sz w:val="16"/>
              </w:rPr>
              <w:t>$1.613</w:t>
            </w:r>
          </w:p>
        </w:tc>
        <w:tc>
          <w:tcPr>
            <w:tcBorders>
              <w:bottom w:val="double" w:sz="4" w:space="0" w:color="auto"/>
            </w:tcBorders>
            <w:tcW w:w="800" w:type="dxa"/>
          </w:tcPr>
          <w:p>
            <w:pPr>
              <w:jc w:val="right"/>
              <w:spacing w:before="10" w:after="10"/>
            </w:pPr>
            <w:r/>
            <w:r>
              <w:rPr>
                <w:sz w:val="16"/>
              </w:rPr>
              <w:t>1</w:t>
            </w:r>
          </w:p>
        </w:tc>
        <w:tc>
          <w:tcPr>
            <w:tcBorders>
              <w:bottom w:val="double" w:sz="4" w:space="0" w:color="auto"/>
            </w:tcBorders>
            <w:tcW w:w="800" w:type="dxa"/>
          </w:tcPr>
          <w:p>
            <w:pPr>
              <w:jc w:val="right"/>
              <w:spacing w:before="10" w:after="10"/>
            </w:pPr>
            <w:r/>
            <w:r>
              <w:rPr>
                <w:sz w:val="16"/>
              </w:rPr>
              <w:t>1.0000</w:t>
            </w:r>
          </w:p>
        </w:tc>
        <w:tc>
          <w:tcPr>
            <w:tcBorders>
              <w:bottom w:val="double" w:sz="4" w:space="0" w:color="auto"/>
            </w:tcBorders>
            <w:tcW w:w="900" w:type="dxa"/>
          </w:tcPr>
          <w:p>
            <w:pPr>
              <w:jc w:val="right"/>
              <w:spacing w:before="10" w:after="10"/>
            </w:pPr>
            <w:r/>
            <w:r>
              <w:rPr>
                <w:sz w:val="16"/>
              </w:rPr>
              <w:t>0.9988</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