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0"/>
        <w:jc w:val="center"/>
      </w:pPr>
      <w:r>
        <w:rPr>
          <w:rFonts w:ascii="Times New Roman" w:hAnsi="Times New Roman"/>
          <w:b w:val="0"/>
          <w:sz w:val="32"/>
        </w:rPr>
        <w:t>Selling FLOPs:</w:t>
        <w:br/>
        <w:t>Compute Exports as a New Industry for Developing Countries</w:t>
      </w:r>
    </w:p>
    <w:p>
      <w:pPr>
        <w:spacing w:before="240" w:after="240"/>
        <w:ind w:firstLine="0"/>
        <w:jc w:val="center"/>
      </w:pPr>
      <w:r>
        <w:rPr>
          <w:i/>
        </w:rPr>
        <w:t>Michael Lokshin</w:t>
      </w:r>
      <w:r>
        <w:rPr>
          <w:rStyle w:val="FootnoteReference"/>
        </w:rPr>
        <w:footnoteReference w:id="1"/>
      </w:r>
    </w:p>
    <w:p>
      <w:pPr>
        <w:spacing w:before="40" w:after="240"/>
        <w:ind w:firstLine="0"/>
        <w:jc w:val="center"/>
      </w:pPr>
      <w:r>
        <w:rPr>
          <w:rFonts w:ascii="Times New Roman" w:hAnsi="Times New Roman"/>
          <w:color w:val="808080"/>
          <w:sz w:val="18"/>
        </w:rPr>
        <w:t>v26  —  February 24, 2026  15:04</w:t>
      </w:r>
    </w:p>
    <w:p>
      <w:pPr>
        <w:spacing w:before="240" w:after="160" w:line="240" w:lineRule="auto"/>
        <w:ind w:firstLine="0" w:left="720" w:right="720"/>
        <w:jc w:val="both"/>
      </w:pPr>
      <w:r>
        <w:rPr>
          <w:b/>
        </w:rPr>
        <w:t>Abstract</w:t>
      </w:r>
      <w:r>
        <w:t>: This paper develops a trade model in which AI compute is produced and traded internationally. Latency-insensitive AI training can be offshored to the lowest-cost producers, while latency-sensitive inference favors proximity to users; a bilateral sovereignty premium captures governments’ preference for domestic data processing, varying with geopolitical alignment, regulatory compatibility, and sanctions. Calibration across 85 countries shows that energy-abundant economies have a comparative advantage in training compute, while regional inference hubs form around major demand centers. Because hardware costs are globally uniform, cross-country cost differences are small, making production efficiency, bilateral trade frictions, and policy constraints decisive for the location of compute facilities. For energy-rich developing countries with limited export diversification, compute exports offer a route to convert natural resources into high-value digital services and integrate into the global economy.</w:t>
      </w:r>
    </w:p>
    <w:p>
      <w:pPr>
        <w:spacing w:before="0" w:after="0" w:line="240" w:lineRule="auto"/>
        <w:ind w:firstLine="0"/>
        <w:jc w:val="both"/>
      </w:pPr>
      <w:r>
        <w:t xml:space="preserve"> </w:t>
      </w:r>
    </w:p>
    <w:p>
      <w:pPr>
        <w:spacing w:before="0" w:after="0" w:line="240" w:lineRule="auto"/>
        <w:ind w:firstLine="0"/>
        <w:jc w:val="both"/>
      </w:pPr>
      <w:r>
        <w:t xml:space="preserve"> </w:t>
      </w:r>
    </w:p>
    <w:p>
      <w:pPr>
        <w:spacing w:before="0" w:after="160" w:line="240" w:lineRule="auto"/>
        <w:ind w:firstLine="0" w:left="720" w:right="720"/>
        <w:jc w:val="both"/>
      </w:pPr>
      <w:r>
        <w:rPr>
          <w:b/>
        </w:rPr>
        <w:t xml:space="preserve">JEL Classification: </w:t>
      </w:r>
      <w:r>
        <w:t>F14, F18, L86, O14, O33, Q40</w:t>
      </w:r>
    </w:p>
    <w:p>
      <w:pPr>
        <w:spacing w:before="0" w:after="160" w:line="240" w:lineRule="auto"/>
        <w:ind w:firstLine="0" w:left="720" w:right="720"/>
        <w:jc w:val="both"/>
      </w:pPr>
      <w:r>
        <w:rPr>
          <w:b/>
        </w:rPr>
        <w:t xml:space="preserve">Keywords: </w:t>
      </w:r>
      <w:r>
        <w:t>compute trade, FLOPs, artificial intelligence, data centers, comparative advantage, electricity costs, developing countries</w:t>
      </w:r>
    </w:p>
    <w:p>
      <w:pPr>
        <w:spacing w:before="0" w:after="0"/>
      </w:pPr>
      <w:r>
        <w:br w:type="page"/>
      </w:r>
    </w:p>
    <w:p>
      <w:pPr>
        <w:pStyle w:val="Heading1"/>
      </w:pPr>
      <w:r>
        <w:rPr>
          <w:rFonts w:ascii="Times New Roman" w:hAnsi="Times New Roman"/>
          <w:b/>
          <w:color w:val="2F5496"/>
          <w:sz w:val="28"/>
        </w:rPr>
        <w:t>1. Introduction</w:t>
      </w:r>
    </w:p>
    <w:p>
      <w:pPr>
        <w:spacing w:before="0" w:after="160"/>
        <w:ind w:firstLine="0"/>
        <w:jc w:val="both"/>
      </w:pPr>
      <w:r>
        <w:t xml:space="preserve">The expansion of artificial intelligence drives the demand for computational resources. The compute used to train the largest AI models has been doubling every six months since 2010 (</w:t>
      </w:r>
      <w:bookmarkStart w:id="238" w:name="EpochAI2024txt"/>
      <w:hyperlink w:anchor="EpochAI2024" w:history="1">
        <w:r>
          <w:rPr>
            <w:color w:val="1F3864"/>
            <w:u w:val="single"/>
          </w:rPr>
          <w:t xml:space="preserve">Epoch AI 2024</w:t>
        </w:r>
      </w:hyperlink>
      <w:bookmarkEnd w:id="238"/>
      <w:r>
        <w:t xml:space="preserve">). Data centers accounted for approximately 1.5% of global electricity demand in 2024—more than the electricity consumption of France—a share projected to more than double by 2030 (</w:t>
      </w:r>
      <w:bookmarkStart w:id="251" w:name="IEA2025txt"/>
      <w:hyperlink w:anchor="IEA2025" w:history="1">
        <w:r>
          <w:rPr>
            <w:color w:val="1F3864"/>
            <w:u w:val="single"/>
          </w:rPr>
          <w:t xml:space="preserve">IEA 2025</w:t>
        </w:r>
      </w:hyperlink>
      <w:bookmarkEnd w:id="251"/>
      <w:r>
        <w:t xml:space="preserve">). AI-oriented facilities are qualitatively different from traditional cloud or enterprise data centers. They deploy thousands of graphic processing units (GPUs) at power densities of 40–100 kW per rack (versus 5–10 kW in conventional facilities), and can consume over 500,000 gallons of cooling water per day (</w:t>
      </w:r>
      <w:bookmarkStart w:id="200" w:name="TurnerLee2025txt"/>
      <w:hyperlink w:anchor="TurnerLee2025" w:history="1">
        <w:r>
          <w:rPr>
            <w:color w:val="1F3864"/>
            <w:u w:val="single"/>
          </w:rPr>
          <w:t xml:space="preserve">Turner Lee and West 2025</w:t>
        </w:r>
      </w:hyperlink>
      <w:bookmarkEnd w:id="200"/>
      <w:r>
        <w:t xml:space="preserve">).</w:t>
      </w:r>
    </w:p>
    <w:p>
      <w:pPr>
        <w:spacing w:before="0" w:after="160"/>
        <w:ind w:firstLine="0"/>
        <w:jc w:val="both"/>
      </w:pPr>
      <w:r>
        <w:t xml:space="preserve">This surge in demand for compute creates a new type of export opportunity. This paper refers to the production of compute services in one country for consumption in another as </w:t>
      </w:r>
      <w:r>
        <w:rPr>
          <w:i/>
        </w:rPr>
        <w:t>FLOP exporting</w:t>
      </w:r>
      <w:r>
        <w:t xml:space="preserve">. Rather than exporting raw energy resources as primary commodities, countries can convert electricity into a higher value-added digital service. For resource-rich developing countries, FLOP exporting could offer a route up the value chain without the heavy industrialization traditionally required for such upgrading (</w:t>
      </w:r>
      <w:bookmarkStart w:id="201" w:name="Hausmann2007txt"/>
      <w:hyperlink w:anchor="Hausmann2007" w:history="1">
        <w:r>
          <w:rPr>
            <w:color w:val="1F3864"/>
            <w:u w:val="single"/>
          </w:rPr>
          <w:t xml:space="preserve">Hausmann et al. 2007</w:t>
        </w:r>
      </w:hyperlink>
      <w:bookmarkEnd w:id="201"/>
      <w:r>
        <w:t xml:space="preserve">).</w:t>
      </w:r>
    </w:p>
    <w:p>
      <w:pPr>
        <w:spacing w:before="0" w:after="160"/>
        <w:ind w:firstLine="0"/>
        <w:jc w:val="both"/>
      </w:pPr>
      <w:r>
        <w:t>The opportunity is particularly relevant for the Europe and Central Asia (ECA) region. Several ECA countries, including Turkmenistan, Kyrgyzstan, and the South Caucasus, have among the world’s lowest electricity prices but limited integration into the global digital economy. Building data centers in these locations and selling compute services to high-cost markets could generate export revenue, attract foreign investment, and accelerate the development of digital infrastructure. Export-oriented capacity can also later serve the domestic market as local AI demand grows.</w:t>
      </w:r>
    </w:p>
    <w:p>
      <w:pPr>
        <w:spacing w:before="0" w:after="160"/>
        <w:ind w:firstLine="0"/>
        <w:jc w:val="both"/>
      </w:pPr>
      <w:r>
        <w:t xml:space="preserve">Recent megaprojects across Africa, the Middle East, and Central Asia suggest that FLOP exporting is technically and commercially feasible. Armenia is deploying 50,000 GPUs in a $4 billion investment (</w:t>
      </w:r>
      <w:bookmarkStart w:id="202" w:name="Firebird2026txt"/>
      <w:hyperlink w:anchor="Firebird2026" w:history="1">
        <w:r>
          <w:rPr>
            <w:color w:val="1F3864"/>
            <w:u w:val="single"/>
          </w:rPr>
          <w:t xml:space="preserve">Firebird 2026</w:t>
        </w:r>
      </w:hyperlink>
      <w:bookmarkEnd w:id="202"/>
      <w:r>
        <w:t xml:space="preserve">), while Kenya, Saudi Arabia, Morocco, Malaysia, and Indonesia have each attracted billion-dollar data center commitments.</w:t>
      </w:r>
      <w:r>
        <w:t xml:space="preserve"> Cloud computing exports already exceed $9 billion annually, with the United States accounting for 87% of the global total (</w:t>
      </w:r>
      <w:bookmarkStart w:id="203" w:name="WorldBank2025txt"/>
      <w:hyperlink w:anchor="WorldBank2025" w:history="1">
        <w:r>
          <w:rPr>
            <w:color w:val="1F3864"/>
            <w:u w:val="single"/>
          </w:rPr>
          <w:t xml:space="preserve">World Bank 2025</w:t>
        </w:r>
      </w:hyperlink>
      <w:bookmarkEnd w:id="203"/>
      <w:r>
        <w:t xml:space="preserve">). A 40 MW data center in Kyrgyzstan could generate annual revenue of $630–950 million at wholesale contract rates, equivalent to over 15% of Kyrgyzstan’s $3.8 billion in goods exports (</w:t>
      </w:r>
      <w:bookmarkStart w:id="239" w:name="WorldBank2024txt"/>
      <w:hyperlink w:anchor="WorldBank2024" w:history="1">
        <w:r>
          <w:rPr>
            <w:color w:val="1F3864"/>
            <w:u w:val="single"/>
          </w:rPr>
          <w:t xml:space="preserve">World Bank 2024</w:t>
        </w:r>
      </w:hyperlink>
      <w:bookmarkEnd w:id="239"/>
      <w:r>
        <w:t xml:space="preserve">).</w:t>
      </w:r>
      <w:r>
        <w:rPr>
          <w:rStyle w:val="FootnoteReference"/>
        </w:rPr>
        <w:footnoteReference w:id="5"/>
      </w:r>
    </w:p>
    <w:p>
      <w:pPr>
        <w:spacing w:before="0" w:after="160"/>
        <w:ind w:firstLine="0"/>
        <w:jc w:val="both"/>
      </w:pPr>
      <w:r>
        <w:t xml:space="preserve">Recent work examines compute governance and the geography of AI infrastructure (</w:t>
      </w:r>
      <w:bookmarkStart w:id="240" w:name="Sastry2024txt"/>
      <w:hyperlink w:anchor="Sastry2024" w:history="1">
        <w:r>
          <w:rPr>
            <w:color w:val="1F3864"/>
            <w:u w:val="single"/>
          </w:rPr>
          <w:t xml:space="preserve">Sastry et al. 2024</w:t>
        </w:r>
      </w:hyperlink>
      <w:bookmarkEnd w:id="240"/>
      <w:r>
        <w:t xml:space="preserve">, </w:t>
      </w:r>
      <w:bookmarkStart w:id="204" w:name="Lehdonvirta2024txt"/>
      <w:hyperlink w:anchor="Lehdonvirta2024" w:history="1">
        <w:r>
          <w:rPr>
            <w:color w:val="1F3864"/>
            <w:u w:val="single"/>
          </w:rPr>
          <w:t xml:space="preserve">Lehdonvirta et al. 2024</w:t>
        </w:r>
      </w:hyperlink>
      <w:bookmarkEnd w:id="204"/>
      <w:r>
        <w:t xml:space="preserve">, </w:t>
      </w:r>
      <w:bookmarkStart w:id="241" w:name="Pilz2025txt"/>
      <w:hyperlink w:anchor="Pilz2025" w:history="1">
        <w:r>
          <w:rPr>
            <w:color w:val="1F3864"/>
            <w:u w:val="single"/>
          </w:rPr>
          <w:t xml:space="preserve">Pilz et al. 2025</w:t>
        </w:r>
      </w:hyperlink>
      <w:bookmarkEnd w:id="241"/>
      <w:r>
        <w:t xml:space="preserve">), but no formal trade model of compute exists. This paper offers the first such model, treating FLOPs as commodities produced and exported according to Ricardian comparative advantage. The paper makes three contributions. First, it develops a capacity-constrained Ricardian model in which countries produce and export compute services. An iceberg trade cost captures latency degradation for inference, and a bilateral sovereignty premium captures geopolitical and regulatory frictions. Capacity ceilings generate scarcity rents and predictions about concentration and trade patterns. Second, it calibrates the model for 85 countries using data on electricity prices, climate, data center construction costs, and inter-country network latency, correcting for energy subsidies that distort headline cost rankings. Third, it characterizes the resulting trade regimes—which countries export, which import, and which adopt hybrid strategies—and quantifies the welfare cost of the sovereignty premium.</w:t>
      </w:r>
    </w:p>
    <w:p>
      <w:pPr>
        <w:spacing w:before="0" w:after="160"/>
        <w:ind w:firstLine="0"/>
        <w:jc w:val="both"/>
      </w:pPr>
      <w:r>
        <w:t>The calibration reveals that cheap electricity and favorable cooling conditions are necessary but not sufficient for competitive compute exporting. Hardware amortization accounts for over 80 percent of the compute unit cost and is identical across countries, compressing the total cost spread to roughly 12 percent under raw electricity tariffs (20 percent after efficiency adjustment). Once production-efficiency penalties for weak governance are applied, the cost ranking changes substantially. Some energy-abundant economies with weak governance fall in the rankings, but countries that combine cheap energy with adequate institutions remain competitive. Durable comparative advantage requires credible production efficiency alongside low energy costs, while market access depends on bilateral trust and regulatory alignment.</w:t>
      </w:r>
    </w:p>
    <w:p>
      <w:pPr>
        <w:spacing w:before="0" w:after="160"/>
        <w:ind w:firstLine="0"/>
        <w:jc w:val="both"/>
      </w:pPr>
      <w:r>
        <w:t>The remainder of the paper is organized as follows. Section 2 reviews the related literature. Section 3 develops the model, covering production technology, trade costs, demand, and the capacity-constrained market equilibrium. Section 4 derives the equilibrium properties, including propositions on country taxonomy, concentration, sovereignty thresholds, and the nesting of training within inference exporters. Section 5 describes the data. Section 6 calibrates the model. Section 7 examines robustness and extensions. Section 8 concludes.</w:t>
      </w:r>
    </w:p>
    <w:p>
      <w:pPr>
        <w:pStyle w:val="Heading1"/>
      </w:pPr>
      <w:r>
        <w:rPr>
          <w:rFonts w:ascii="Times New Roman" w:hAnsi="Times New Roman"/>
          <w:b/>
          <w:color w:val="2F5496"/>
          <w:sz w:val="28"/>
        </w:rPr>
        <w:t>2. Related Literature</w:t>
      </w:r>
    </w:p>
    <w:p>
      <w:pPr>
        <w:spacing w:before="0" w:after="160"/>
        <w:ind w:firstLine="0"/>
        <w:jc w:val="both"/>
      </w:pPr>
      <w:r>
        <w:t xml:space="preserve"/>
      </w:r>
      <w:bookmarkStart w:id="205" w:name="Goldfarb2018txt"/>
      <w:hyperlink w:anchor="Goldfarb2018" w:history="1">
        <w:r>
          <w:rPr>
            <w:color w:val="1F3864"/>
            <w:u w:val="single"/>
          </w:rPr>
          <w:t xml:space="preserve">Goldfarb and Trefler (2018)</w:t>
        </w:r>
      </w:hyperlink>
      <w:bookmarkEnd w:id="205"/>
      <w:r>
        <w:t xml:space="preserve"> argue that AI shifts comparative advantage toward countries with data, human capital, and institutional capacity. Our model introduces a complementary mechanism where comparative advantage in compute </w:t>
      </w:r>
      <w:r>
        <w:rPr>
          <w:i/>
        </w:rPr>
        <w:t>production</w:t>
      </w:r>
      <w:r>
        <w:t xml:space="preserve"> depends on electricity costs and climate, so resource-rich countries could become compute exporters without domestic AI research industries. </w:t>
      </w:r>
      <w:bookmarkStart w:id="206" w:name="Korinek2021txt"/>
      <w:hyperlink w:anchor="Korinek2021" w:history="1">
        <w:r>
          <w:rPr>
            <w:color w:val="1F3864"/>
            <w:u w:val="single"/>
          </w:rPr>
          <w:t xml:space="preserve">Korinek and Stiglitz (2021)</w:t>
        </w:r>
      </w:hyperlink>
      <w:bookmarkEnd w:id="206"/>
      <w:r>
        <w:t xml:space="preserve"> suggest that developing countries could be left behind in the AI revolution. FLOP exporting offers a route for energy-rich developing countries to participate in that revolution. The concept of FLOP exporting as value chain upgrading connects to </w:t>
      </w:r>
      <w:bookmarkStart w:id="252" w:name="Hausmann2007txt"/>
      <w:hyperlink w:anchor="Hausmann2007" w:history="1">
        <w:r>
          <w:rPr>
            <w:color w:val="1F3864"/>
            <w:u w:val="single"/>
          </w:rPr>
          <w:t xml:space="preserve">Hausmann et al. (2007)</w:t>
        </w:r>
      </w:hyperlink>
      <w:bookmarkEnd w:id="252"/>
      <w:r>
        <w:t xml:space="preserve">, who show that what a country exports matters for growth. </w:t>
      </w:r>
      <w:bookmarkStart w:id="242" w:name="Limao2001txt"/>
      <w:hyperlink w:anchor="Limao2001" w:history="1">
        <w:r>
          <w:rPr>
            <w:color w:val="1F3864"/>
            <w:u w:val="single"/>
          </w:rPr>
          <w:t xml:space="preserve">Limão and Venables (2001)</w:t>
        </w:r>
      </w:hyperlink>
      <w:bookmarkEnd w:id="242"/>
      <w:r>
        <w:t xml:space="preserve"> demonstrate that infrastructure quality determines trade costs. In our model, network infrastructure plays the analogous role for digital trade.</w:t>
      </w:r>
    </w:p>
    <w:p>
      <w:pPr>
        <w:spacing w:before="0" w:after="160"/>
        <w:ind w:firstLine="0"/>
        <w:jc w:val="both"/>
      </w:pPr>
      <w:r>
        <w:t xml:space="preserve">Several studies examine the determinants of data center location. </w:t>
      </w:r>
      <w:bookmarkStart w:id="207" w:name="Flucker2013txt"/>
      <w:hyperlink w:anchor="Flucker2013" w:history="1">
        <w:r>
          <w:rPr>
            <w:color w:val="1F3864"/>
            <w:u w:val="single"/>
          </w:rPr>
          <w:t xml:space="preserve">Flucker et al. (2013)</w:t>
        </w:r>
      </w:hyperlink>
      <w:bookmarkEnd w:id="207"/>
      <w:r>
        <w:t xml:space="preserve"> show that climate affects data center cooling costs. </w:t>
      </w:r>
      <w:bookmarkStart w:id="253" w:name="Liu2023txt"/>
      <w:hyperlink w:anchor="Liu2023" w:history="1">
        <w:r>
          <w:rPr>
            <w:color w:val="1F3864"/>
            <w:u w:val="single"/>
          </w:rPr>
          <w:t xml:space="preserve">Liu et al. (2023)</w:t>
        </w:r>
      </w:hyperlink>
      <w:bookmarkEnd w:id="253"/>
      <w:r>
        <w:t xml:space="preserve"> study data center placement under renewable energy constraints. These studies focus on where firms should build data centers. In international trade theory, </w:t>
      </w:r>
      <w:bookmarkStart w:id="258" w:name="Brainard1997txt"/>
      <w:hyperlink w:anchor="Brainard1997" w:history="1">
        <w:r>
          <w:rPr>
            <w:color w:val="1F3864"/>
            <w:u w:val="single"/>
          </w:rPr>
          <w:t xml:space="preserve">Brainard (1997)</w:t>
        </w:r>
      </w:hyperlink>
      <w:bookmarkEnd w:id="258"/>
      <w:r>
        <w:t xml:space="preserve"> formalizes the proximity-concentration trade-off between serving a market locally and concentrating production abroad, and </w:t>
      </w:r>
      <w:bookmarkStart w:id="243" w:name="HMY2004txt"/>
      <w:hyperlink w:anchor="HMY2004" w:history="1">
        <w:r>
          <w:rPr>
            <w:color w:val="1F3864"/>
            <w:u w:val="single"/>
          </w:rPr>
          <w:t xml:space="preserve">Helpman et al. (2004)</w:t>
        </w:r>
      </w:hyperlink>
      <w:bookmarkEnd w:id="243"/>
      <w:r>
        <w:t xml:space="preserve"> extend this to heterogeneous firms choosing between exporting and FDI.</w:t>
      </w:r>
    </w:p>
    <w:p>
      <w:pPr>
        <w:spacing w:before="0" w:after="160"/>
        <w:ind w:firstLine="0"/>
        <w:jc w:val="both"/>
      </w:pPr>
      <w:r>
        <w:t xml:space="preserve">On the governance side, </w:t>
      </w:r>
      <w:bookmarkStart w:id="244" w:name="Sastry2024txt"/>
      <w:hyperlink w:anchor="Sastry2024" w:history="1">
        <w:r>
          <w:rPr>
            <w:color w:val="1F3864"/>
            <w:u w:val="single"/>
          </w:rPr>
          <w:t xml:space="preserve">Sastry et al. (2024)</w:t>
        </w:r>
      </w:hyperlink>
      <w:bookmarkEnd w:id="244"/>
      <w:r>
        <w:t xml:space="preserve"> argue that compute is well-suited for regulation because governments can track the number of chips in circulation, restrict who can buy them, and measure how much computation they perform. </w:t>
      </w:r>
      <w:bookmarkStart w:id="208" w:name="Lehdonvirta2024txt"/>
      <w:hyperlink w:anchor="Lehdonvirta2024" w:history="1">
        <w:r>
          <w:rPr>
            <w:color w:val="1F3864"/>
            <w:u w:val="single"/>
          </w:rPr>
          <w:t xml:space="preserve">Lehdonvirta et al. (2024)</w:t>
        </w:r>
      </w:hyperlink>
      <w:bookmarkEnd w:id="208"/>
      <w:r>
        <w:t xml:space="preserve"> map the global geography of cloud GPU infrastructure, distinguishing a “Compute North” with training-capable hardware from a “Compute South” limited to inference-grade chips. </w:t>
      </w:r>
      <w:bookmarkStart w:id="259" w:name="Pilz2025txt"/>
      <w:hyperlink w:anchor="Pilz2025" w:history="1">
        <w:r>
          <w:rPr>
            <w:color w:val="1F3864"/>
            <w:u w:val="single"/>
          </w:rPr>
          <w:t xml:space="preserve">Pilz et al. (2025)</w:t>
        </w:r>
      </w:hyperlink>
      <w:bookmarkEnd w:id="259"/>
      <w:r>
        <w:t xml:space="preserve"> project that AI data center power demand could reach 327 GW by 2030 and that domestic power shortages may push compute infrastructure abroad. The </w:t>
      </w:r>
      <w:bookmarkStart w:id="260" w:name="WorldBank2025txt"/>
      <w:hyperlink w:anchor="WorldBank2025" w:history="1">
        <w:r>
          <w:rPr>
            <w:color w:val="1F3864"/>
            <w:u w:val="single"/>
          </w:rPr>
          <w:t xml:space="preserve">World Bank (2025)</w:t>
        </w:r>
      </w:hyperlink>
      <w:bookmarkEnd w:id="260"/>
      <w:r>
        <w:t xml:space="preserve"> documents the resulting global compute divide: high-income countries hold 77% of colocation data center capacity and account for 87% of cloud computing exports (</w:t>
      </w:r>
      <w:bookmarkStart w:id="254" w:name="Stojkoski2024txt"/>
      <w:hyperlink w:anchor="Stojkoski2024" w:history="1">
        <w:r>
          <w:rPr>
            <w:color w:val="1F3864"/>
            <w:u w:val="single"/>
          </w:rPr>
          <w:t xml:space="preserve">Stojkoski et al. 2024</w:t>
        </w:r>
      </w:hyperlink>
      <w:bookmarkEnd w:id="254"/>
      <w:r>
        <w:t xml:space="preserve">), but the report offers descriptive evidence without a formal framework linking production costs to trade patterns. On the industrial organization side, </w:t>
      </w:r>
      <w:bookmarkStart w:id="245" w:name="Biglaiser2024txt"/>
      <w:hyperlink w:anchor="Biglaiser2024" w:history="1">
        <w:r>
          <w:rPr>
            <w:color w:val="1F3864"/>
            <w:u w:val="single"/>
          </w:rPr>
          <w:t xml:space="preserve">Biglaiser et al. (2024)</w:t>
        </w:r>
      </w:hyperlink>
      <w:bookmarkEnd w:id="245"/>
      <w:r>
        <w:t xml:space="preserve"> survey the economics of cloud markets, including switching costs, egress fees, and platform competition among hyperscalers, but the supply-side question of where compute is produced and whether developing countries can become competitive exporters has not been addressed. This paper provides the formal framework these studies lack.</w:t>
      </w:r>
    </w:p>
    <w:p>
      <w:pPr>
        <w:pStyle w:val="Heading1"/>
      </w:pPr>
      <w:r>
        <w:rPr>
          <w:rFonts w:ascii="Times New Roman" w:hAnsi="Times New Roman"/>
          <w:b/>
          <w:color w:val="2F5496"/>
          <w:sz w:val="28"/>
        </w:rPr>
        <w:t>3. Model Setup</w:t>
      </w:r>
    </w:p>
    <w:p>
      <w:pPr>
        <w:spacing w:before="0" w:after="160"/>
        <w:ind w:firstLine="0"/>
        <w:jc w:val="both"/>
      </w:pPr>
      <w:r>
        <w:t>This section models compute as a tradable good with country-specific production costs, a delivery cost that depends on whether the workload is training (latency-insensitive) or inference (latency-sensitive), and a sovereignty premium reflecting governments’ preference for domestic production.</w:t>
      </w:r>
    </w:p>
    <w:p>
      <w:pPr>
        <w:pStyle w:val="Heading2"/>
      </w:pPr>
      <w:r>
        <w:rPr>
          <w:rFonts w:ascii="Times New Roman" w:hAnsi="Times New Roman"/>
          <w:b w:val="0"/>
          <w:i/>
          <w:color w:val="2F5496"/>
          <w:sz w:val="24"/>
        </w:rPr>
        <w:t>3.1 Production Technology and Cost Structure</w:t>
      </w:r>
    </w:p>
    <w:p>
      <w:pPr>
        <w:spacing w:before="0" w:after="160"/>
        <w:ind w:firstLine="0"/>
        <w:jc w:val="both"/>
      </w:pPr>
      <w:r>
        <w:t xml:space="preserve">Consider </w:t>
      </w:r>
      <m:oMath>
        <m:r>
          <m:rPr>
            <m:sty m:val="i"/>
          </m:rPr>
          <w:rPr>
            <w:rFonts w:ascii="Cambria Math" w:hAnsi="Cambria Math"/>
          </w:rPr>
          <m:t xml:space="preserve">N</m:t>
        </m:r>
      </m:oMath>
      <w:r>
        <w:t xml:space="preserve"> countries, each capable of producing compute services. The cost of producing a unit of compute in country </w:t>
      </w:r>
      <m:oMath>
        <m:r>
          <m:rPr>
            <m:sty m:val="i"/>
          </m:rPr>
          <w:rPr>
            <w:rFonts w:ascii="Cambria Math" w:hAnsi="Cambria Math"/>
          </w:rPr>
          <m:t xml:space="preserve">j</m:t>
        </m:r>
      </m:oMath>
      <w:r>
        <w:t xml:space="preserve"> depends on three inputs: electricity, hardware, and data center construction.</w:t>
      </w:r>
    </w:p>
    <w:p>
      <w:pPr>
        <w:spacing w:before="0" w:after="40"/>
        <w:ind w:firstLine="0"/>
        <w:jc w:val="both"/>
      </w:pPr>
      <w:r>
        <w:t xml:space="preserve">A data center consumes electricity not only for its GPUs but also for cooling, power distribution, and lighting. This overhead is measured by the </w:t>
      </w:r>
      <w:r>
        <w:rPr>
          <w:i/>
        </w:rPr>
        <w:t>power usage effectiveness</w:t>
      </w:r>
      <w:r>
        <w:t xml:space="preserve"> (PUE), the ratio of total facility energy consumption to IT equipment energy consumption. The cost per GPU-hour in country </w:t>
      </w:r>
      <m:oMath>
        <m:r>
          <m:rPr>
            <m:sty m:val="i"/>
          </m:rPr>
          <w:rPr>
            <w:rFonts w:ascii="Cambria Math" w:hAnsi="Cambria Math"/>
          </w:rPr>
          <m:t xml:space="preserve">j</m:t>
        </m:r>
      </m:oMath>
      <w:r>
        <w:t xml:space="preserve"> is:</w:t>
      </w:r>
      <w:r>
        <w:rPr>
          <w:rStyle w:val="FootnoteReference"/>
        </w:rPr>
        <w:footnoteReference w:id="7"/>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γ</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E,j</m:t>
                  </m:r>
                </m:sub>
              </m:sSub>
              <m:r>
                <m:rPr>
                  <m:sty m:val="p"/>
                </m:rPr>
                <w:rPr>
                  <w:rFonts w:ascii="Cambria Math" w:hAnsi="Cambria Math"/>
                </w:rPr>
                <m:t xml:space="preserve"> + </m:t>
              </m:r>
              <m:r>
                <m:rPr>
                  <m:sty m:val="i"/>
                </m:rPr>
                <w:rPr>
                  <w:rFonts w:ascii="Cambria Math" w:hAnsi="Cambria Math"/>
                </w:rPr>
                <m:t xml:space="preserve">ρ</m:t>
              </m:r>
              <m:r>
                <m:rPr>
                  <m:sty m:val="p"/>
                </m:rPr>
                <w:rPr>
                  <w:rFonts w:ascii="Cambria Math" w:hAnsi="Cambria Math"/>
                </w:rPr>
                <m:t xml:space="preserve"> + </m:t>
              </m:r>
              <m:r>
                <m:rPr>
                  <m:sty m:val="i"/>
                </m:rPr>
                <w:rPr>
                  <w:rFonts w:ascii="Cambria Math" w:hAnsi="Cambria Math"/>
                </w:rPr>
                <m:t xml:space="preserve">η</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L,j</m:t>
                  </m:r>
                </m:sub>
              </m:sSub>
              <m:r>
                <m:rPr>
                  <m:sty m:val="p"/>
                </m:rPr>
                <w:rPr>
                  <w:rFonts w:ascii="Cambria Math" w:hAnsi="Cambria Math"/>
                </w:rPr>
                <m:t xml:space="preserve"> / (</m:t>
              </m:r>
              <m:r>
                <m:rPr>
                  <m:sty m:val="i"/>
                </m:rPr>
                <w:rPr>
                  <w:rFonts w:ascii="Cambria Math" w:hAnsi="Cambria Math"/>
                </w:rPr>
                <m:t xml:space="preserve">D</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m:t>
              </m:r>
            </m:oMath>
          </w:p>
        </w:tc>
        <w:tc>
          <w:tcPr>
            <w:tcW w:w="1400" w:type="dxa"/>
            <w:vAlign w:val="center"/>
          </w:tcPr>
          <w:p>
            <w:pPr>
              <w:jc w:val="right"/>
              <w:spacing w:before="60" w:after="60"/>
            </w:pPr>
            <w:bookmarkStart w:id="801" w:name="Eq1"/>
            <w:r>
              <w:t>(1)</w:t>
            </w:r>
            <w:bookmarkEnd w:id="801"/>
          </w:p>
        </w:tc>
      </w:tr>
    </w:tbl>
    <w:p>
      <w:pPr>
        <w:spacing w:before="0" w:after="160"/>
        <w:ind w:firstLine="0"/>
        <w:jc w:val="both"/>
      </w:pPr>
      <w:r>
        <w:t xml:space="preserve">where </w:t>
      </w:r>
      <m:oMath>
        <m:r>
          <m:rPr>
            <m:sty m:val="i"/>
          </m:rPr>
          <w:rPr>
            <w:rFonts w:ascii="Cambria Math" w:hAnsi="Cambria Math"/>
          </w:rPr>
          <m:t xml:space="preserve">γ</m:t>
        </m:r>
      </m:oMath>
      <w:r>
        <w:t xml:space="preserve"> is GPU power draw (kW),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is the electricity price ($/kWh), </w:t>
      </w:r>
      <m:oMath>
        <m:r>
          <m:rPr>
            <m:sty m:val="i"/>
          </m:rPr>
          <w:rPr>
            <w:rFonts w:ascii="Cambria Math" w:hAnsi="Cambria Math"/>
          </w:rPr>
          <m:t xml:space="preserve">ρ</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GPU</m:t>
            </m:r>
          </m:sub>
        </m:sSub>
        <m:r>
          <m:rPr>
            <m:sty m:val="p"/>
          </m:rPr>
          <w:rPr>
            <w:rFonts w:ascii="Cambria Math" w:hAnsi="Cambria Math"/>
          </w:rPr>
          <m:t xml:space="preserve"> / (</m:t>
        </m:r>
        <m:r>
          <m:rPr>
            <m:sty m:val="i"/>
          </m:rPr>
          <w:rPr>
            <w:rFonts w:ascii="Cambria Math" w:hAnsi="Cambria Math"/>
          </w:rPr>
          <m:t xml:space="preserve">L</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 · </m:t>
        </m:r>
        <m:r>
          <m:rPr>
            <m:sty m:val="i"/>
          </m:rPr>
          <w:rPr>
            <w:rFonts w:ascii="Cambria Math" w:hAnsi="Cambria Math"/>
          </w:rPr>
          <m:t xml:space="preserve">β</m:t>
        </m:r>
        <m:r>
          <m:rPr>
            <m:sty m:val="p"/>
          </m:rPr>
          <w:rPr>
            <w:rFonts w:ascii="Cambria Math" w:hAnsi="Cambria Math"/>
          </w:rPr>
          <m:t xml:space="preserve">)</m:t>
        </m:r>
      </m:oMath>
      <w:r>
        <w:t xml:space="preserve"> is amortized hardware cost per GPU-hour (</w:t>
      </w:r>
      <m:oMath>
        <m:sSub>
          <m:sSubPr/>
          <m:e>
            <m:r>
              <m:rPr>
                <m:sty m:val="i"/>
              </m:rPr>
              <w:rPr>
                <w:rFonts w:ascii="Cambria Math" w:hAnsi="Cambria Math"/>
              </w:rPr>
              <m:t xml:space="preserve">P</m:t>
            </m:r>
          </m:e>
          <m:sub>
            <m:r>
              <m:rPr>
                <m:sty m:val="i"/>
              </m:rPr>
              <w:rPr>
                <w:rFonts w:ascii="Cambria Math" w:hAnsi="Cambria Math"/>
              </w:rPr>
              <m:t xml:space="preserve">GPU</m:t>
            </m:r>
          </m:sub>
        </m:sSub>
      </m:oMath>
      <w:r>
        <w:t xml:space="preserve"> = purchase price, </w:t>
      </w:r>
      <m:oMath>
        <m:r>
          <m:rPr>
            <m:sty m:val="i"/>
          </m:rPr>
          <w:rPr>
            <w:rFonts w:ascii="Cambria Math" w:hAnsi="Cambria Math"/>
          </w:rPr>
          <m:t xml:space="preserve">L</m:t>
        </m:r>
      </m:oMath>
      <w:r>
        <w:t xml:space="preserve"> = lifetime in years, </w:t>
      </w:r>
      <m:oMath>
        <m:r>
          <m:rPr>
            <m:sty m:val="i"/>
          </m:rPr>
          <w:rPr>
            <w:rFonts w:ascii="Cambria Math" w:hAnsi="Cambria Math"/>
          </w:rPr>
          <m:t xml:space="preserve">H</m:t>
        </m:r>
      </m:oMath>
      <w:r>
        <w:t xml:space="preserve"> = 8,766 hours per year, </w:t>
      </w:r>
      <m:oMath>
        <m:r>
          <m:rPr>
            <m:sty m:val="i"/>
          </m:rPr>
          <w:rPr>
            <w:rFonts w:ascii="Cambria Math" w:hAnsi="Cambria Math"/>
          </w:rPr>
          <m:t xml:space="preserve">β</m:t>
        </m:r>
      </m:oMath>
      <w:r>
        <w:t xml:space="preserve"> = utilization rate),</w:t>
      </w:r>
      <w:r>
        <w:rPr>
          <w:rStyle w:val="FootnoteReference"/>
        </w:rPr>
        <w:footnoteReference w:id="9"/>
      </w:r>
      <w:r>
        <w:t xml:space="preserve"> </w:t>
      </w:r>
      <m:oMath>
        <m:r>
          <m:rPr>
            <m:sty m:val="i"/>
          </m:rPr>
          <w:rPr>
            <w:rFonts w:ascii="Cambria Math" w:hAnsi="Cambria Math"/>
          </w:rPr>
          <m:t xml:space="preserve">η</m:t>
        </m:r>
      </m:oMath>
      <w:r>
        <w:t xml:space="preserve"> is amortized networking cost (high-speed interconnect such as InfiniBand), and the last term amortizes construction costs </w:t>
      </w:r>
      <m:oMath>
        <m:sSub>
          <m:sSubPr/>
          <m:e>
            <m:r>
              <m:rPr>
                <m:sty m:val="i"/>
              </m:rPr>
              <w:rPr>
                <w:rFonts w:ascii="Cambria Math" w:hAnsi="Cambria Math"/>
              </w:rPr>
              <m:t xml:space="preserve">p</m:t>
            </m:r>
          </m:e>
          <m:sub>
            <m:r>
              <m:rPr>
                <m:sty m:val="i"/>
              </m:rPr>
              <w:rPr>
                <w:rFonts w:ascii="Cambria Math" w:hAnsi="Cambria Math"/>
              </w:rPr>
              <m:t xml:space="preserve">L,j</m:t>
            </m:r>
          </m:sub>
        </m:sSub>
      </m:oMath>
      <w:r>
        <w:t xml:space="preserve"> ($/W of IT capacity) over the facility’s lifetime </w:t>
      </w:r>
      <m:oMath>
        <m:r>
          <m:rPr>
            <m:sty m:val="i"/>
          </m:rPr>
          <w:rPr>
            <w:rFonts w:ascii="Cambria Math" w:hAnsi="Cambria Math"/>
          </w:rPr>
          <m:t xml:space="preserve">D</m:t>
        </m:r>
      </m:oMath>
      <w:r>
        <w:t xml:space="preserve">. Both </w:t>
      </w:r>
      <m:oMath>
        <m:r>
          <m:rPr>
            <m:sty m:val="i"/>
          </m:rPr>
          <w:rPr>
            <w:rFonts w:ascii="Cambria Math" w:hAnsi="Cambria Math"/>
          </w:rPr>
          <m:t xml:space="preserve">ρ</m:t>
        </m:r>
      </m:oMath>
      <w:r>
        <w:t xml:space="preserve"> and </w:t>
      </w:r>
      <m:oMath>
        <m:r>
          <m:rPr>
            <m:sty m:val="i"/>
          </m:rPr>
          <w:rPr>
            <w:rFonts w:ascii="Cambria Math" w:hAnsi="Cambria Math"/>
          </w:rPr>
          <m:t xml:space="preserve">η</m:t>
        </m:r>
      </m:oMath>
      <w:r>
        <w:t xml:space="preserve"> are determined in global hardware markets and are common across countries.</w:t>
      </w:r>
      <w:r>
        <w:rPr>
          <w:rStyle w:val="FootnoteReference"/>
        </w:rPr>
        <w:footnoteReference w:id="10"/>
      </w:r>
      <w:r>
        <w:t xml:space="preserve"> Cross-country variation in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therefore driven by electricity prices, climate, and construction costs.</w:t>
      </w:r>
    </w:p>
    <w:p>
      <w:pPr>
        <w:spacing w:before="0" w:after="160"/>
        <w:ind w:firstLine="0"/>
        <w:jc w:val="both"/>
      </w:pPr>
      <w:r>
        <w:t xml:space="preserve">Countries export goods intensive in their abundant factors (</w:t>
      </w:r>
      <w:bookmarkStart w:id="209" w:name="Ohlin1933txt"/>
      <w:hyperlink w:anchor="Ohlin1933" w:history="1">
        <w:r>
          <w:rPr>
            <w:color w:val="1F3864"/>
            <w:u w:val="single"/>
          </w:rPr>
          <w:t xml:space="preserve">Ohlin 1933</w:t>
        </w:r>
      </w:hyperlink>
      <w:bookmarkEnd w:id="209"/>
      <w:r>
        <w:t xml:space="preserve">). For compute production, the relevant endowment is not electricity per se but the natural resources that generate it—hydropower (Kyrgyzstan, Ethiopia, Georgia), oil and gas (Iran, Turkmenistan, Qatar), solar irradiance (North Africa, the Gulf), and geothermal energy (Kenya, Iceland). The electricity price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in </w:t>
      </w:r>
      <w:bookmarkStart w:id="900" w:name="Eq1txt900"/>
      <w:hyperlink w:anchor="Eq1" w:history="1">
        <w:r>
          <w:rPr>
            <w:color w:val="1F3864"/>
            <w:u w:val="single"/>
          </w:rPr>
          <w:t xml:space="preserve">equation (1)</w:t>
        </w:r>
      </w:hyperlink>
      <w:bookmarkEnd w:id="900"/>
      <w:r>
        <w:t xml:space="preserve"> is therefore a reduced-form expression for country </w:t>
      </w:r>
      <m:oMath>
        <m:r>
          <m:rPr>
            <m:sty m:val="i"/>
          </m:rPr>
          <w:rPr>
            <w:rFonts w:ascii="Cambria Math" w:hAnsi="Cambria Math"/>
          </w:rPr>
          <m:t xml:space="preserve">j</m:t>
        </m:r>
      </m:oMath>
      <w:r>
        <w:t>’s energy resource endowment.</w:t>
      </w:r>
    </w:p>
    <w:p>
      <w:pPr>
        <w:pStyle w:val="Heading2"/>
      </w:pPr>
      <w:r>
        <w:rPr>
          <w:rFonts w:ascii="Times New Roman" w:hAnsi="Times New Roman"/>
          <w:b w:val="0"/>
          <w:i/>
          <w:color w:val="2F5496"/>
          <w:sz w:val="24"/>
        </w:rPr>
        <w:t>3.2 Trade Costs</w:t>
      </w:r>
    </w:p>
    <w:p>
      <w:pPr>
        <w:spacing w:before="0" w:after="160"/>
        <w:ind w:firstLine="0"/>
        <w:jc w:val="both"/>
      </w:pPr>
      <w:r>
        <w:t xml:space="preserve">Countries produce and trade two types of compute services that differ in their offshoring costs. </w:t>
      </w:r>
      <w:r>
        <w:rPr>
          <w:i/>
        </w:rPr>
        <w:t>Training services</w:t>
      </w:r>
      <w:r>
        <w:t xml:space="preserve"> (denoted T) encompass batch workloads such as model training, fine-tuning, and large-scale data processing. Training a state-of-the-art AI model can take weeks to months across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(denoted I) encompass real-time workloads such as chatbot responses, autonomous decisions, and interactive agents. Each query must travel to the server and back within milliseconds, so the service quality degrades as delivery delays (latency) increase. </w:t>
      </w:r>
      <w:r>
        <w:rPr>
          <w:i/>
        </w:rPr>
        <w:t>Latency</w:t>
      </w:r>
      <w:r>
        <w:t xml:space="preserve">, denoted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is the round-trip time for a data packet to travel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typically 5–10 ms within a country and over 150 ms across continents.</w:t>
      </w:r>
    </w:p>
    <w:p>
      <w:pPr>
        <w:spacing w:before="0" w:after="40"/>
        <w:ind w:firstLine="0"/>
        <w:jc w:val="both"/>
      </w:pPr>
      <w:r>
        <w:t xml:space="preserve">Governments and firms may prefer to process data domestically for national security, regulatory compliance, or political reasons. This is captured by a bilateral </w:t>
      </w:r>
      <w:r>
        <w:rPr>
          <w:i/>
        </w:rPr>
        <w:t>sovereignty premium</w:t>
      </w:r>
      <w:r>
        <w:t xml:space="preserve">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which acts as a proportional markup on the cost of compute sourced from seller </w:t>
      </w:r>
      <m:oMath>
        <m:r>
          <m:rPr>
            <m:sty m:val="i"/>
          </m:rPr>
          <w:rPr>
            <w:rFonts w:ascii="Cambria Math" w:hAnsi="Cambria Math"/>
          </w:rPr>
          <m:t xml:space="preserve">i</m:t>
        </m:r>
      </m:oMath>
      <w:r>
        <w:t xml:space="preserve"> by buyer </w:t>
      </w:r>
      <m:oMath>
        <m:r>
          <m:rPr>
            <m:sty m:val="i"/>
          </m:rPr>
          <w:rPr>
            <w:rFonts w:ascii="Cambria Math" w:hAnsi="Cambria Math"/>
          </w:rPr>
          <m:t xml:space="preserve">j</m:t>
        </m:r>
      </m:oMath>
      <w:r>
        <w:t xml:space="preserve">. When buyer </w:t>
      </w:r>
      <m:oMath>
        <m:r>
          <m:rPr>
            <m:sty m:val="i"/>
          </m:rPr>
          <w:rPr>
            <w:rFonts w:ascii="Cambria Math" w:hAnsi="Cambria Math"/>
          </w:rPr>
          <m:t xml:space="preserve">j</m:t>
        </m:r>
      </m:oMath>
      <w:r>
        <w:t xml:space="preserve"> sources compute from seller </w:t>
      </w:r>
      <m:oMath>
        <m:r>
          <m:rPr>
            <m:sty m:val="i"/>
          </m:rPr>
          <w:rPr>
            <w:rFonts w:ascii="Cambria Math" w:hAnsi="Cambria Math"/>
          </w:rPr>
          <m:t xml:space="preserve">i</m:t>
        </m:r>
        <m:r>
          <m:rPr>
            <m:sty m:val="p"/>
          </m:rPr>
          <w:rPr>
            <w:rFonts w:ascii="Cambria Math" w:hAnsi="Cambria Math"/>
          </w:rPr>
          <m:t xml:space="preserve"> ≠ </m:t>
        </m:r>
        <m:r>
          <m:rPr>
            <m:sty m:val="i"/>
          </m:rPr>
          <w:rPr>
            <w:rFonts w:ascii="Cambria Math" w:hAnsi="Cambria Math"/>
          </w:rPr>
          <m:t xml:space="preserve">j</m:t>
        </m:r>
      </m:oMath>
      <w:r>
        <w:t xml:space="preserve">, the effective cost is inflated by the factor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m:t>
        </m:r>
      </m:oMath>
      <w:r>
        <w:t>. The sovereignty premium is zero for domestic production (</w:t>
      </w:r>
      <m:oMath>
        <m:sSub>
          <m:sSubPr/>
          <m:e>
            <m:r>
              <m:rPr>
                <m:sty m:val="i"/>
              </m:rPr>
              <w:rPr>
                <w:rFonts w:ascii="Cambria Math" w:hAnsi="Cambria Math"/>
              </w:rPr>
              <m:t xml:space="preserve">λ</m:t>
            </m:r>
          </m:e>
          <m:sub>
            <m:r>
              <m:rPr>
                <m:sty m:val="i"/>
              </m:rPr>
              <w:rPr>
                <w:rFonts w:ascii="Cambria Math" w:hAnsi="Cambria Math"/>
              </w:rPr>
              <m:t xml:space="preserve">ii</m:t>
            </m:r>
          </m:sub>
        </m:sSub>
        <m:r>
          <m:rPr>
            <m:sty m:val="p"/>
          </m:rPr>
          <w:rPr>
            <w:rFonts w:ascii="Cambria Math" w:hAnsi="Cambria Math"/>
          </w:rPr>
          <m:t xml:space="preserve"> = 0</m:t>
        </m:r>
      </m:oMath>
      <w:r>
        <w:t xml:space="preserve">). The bilateral premium is modeled as a function of three observables: geopolitical alignment </w:t>
      </w:r>
      <m:oMath>
        <m:sSub>
          <m:sSubPr/>
          <m:e>
            <m:r>
              <m:rPr>
                <m:sty m:val="i"/>
              </m:rPr>
              <w:rPr>
                <w:rFonts w:ascii="Cambria Math" w:hAnsi="Cambria Math"/>
              </w:rPr>
              <m:t xml:space="preserve">G</m:t>
            </m:r>
          </m:e>
          <m:sub>
            <m:r>
              <m:rPr>
                <m:sty m:val="i"/>
              </m:rPr>
              <w:rPr>
                <w:rFonts w:ascii="Cambria Math" w:hAnsi="Cambria Math"/>
              </w:rPr>
              <m:t xml:space="preserve">ij</m:t>
            </m:r>
          </m:sub>
        </m:sSub>
      </m:oMath>
      <w:r>
        <w:t xml:space="preserve">, measured by UN General Assembly ideal-point distance (</w:t>
      </w:r>
      <w:bookmarkStart w:id="210" w:name="BaileyEtAl2017txt"/>
      <w:hyperlink w:anchor="BaileyEtAl2017" w:history="1">
        <w:r>
          <w:rPr>
            <w:color w:val="1F3864"/>
            <w:u w:val="single"/>
          </w:rPr>
          <w:t xml:space="preserve">Bailey, Strezhnev, and Voeten 2017</w:t>
        </w:r>
      </w:hyperlink>
      <w:bookmarkEnd w:id="210"/>
      <w:r>
        <w:t xml:space="preserve">); regulatory compatibility </w:t>
      </w:r>
      <m:oMath>
        <m:sSub>
          <m:sSubPr/>
          <m:e>
            <m:r>
              <m:rPr>
                <m:sty m:val="i"/>
              </m:rPr>
              <w:rPr>
                <w:rFonts w:ascii="Cambria Math" w:hAnsi="Cambria Math"/>
              </w:rPr>
              <m:t xml:space="preserve">R</m:t>
            </m:r>
          </m:e>
          <m:sub>
            <m:r>
              <m:rPr>
                <m:sty m:val="i"/>
              </m:rPr>
              <w:rPr>
                <w:rFonts w:ascii="Cambria Math" w:hAnsi="Cambria Math"/>
              </w:rPr>
              <m:t xml:space="preserve">ij</m:t>
            </m:r>
          </m:sub>
        </m:sSub>
      </m:oMath>
      <w:r>
        <w:t xml:space="preserve">, coded as 1 for country pairs covered by a mutual data-adequacy agreement and 0 otherwise; and a sanctions indicator </w:t>
      </w:r>
      <m:oMath>
        <m:sSub>
          <m:sSubPr/>
          <m:e>
            <m:r>
              <m:rPr>
                <m:sty m:val="i"/>
              </m:rPr>
              <w:rPr>
                <w:rFonts w:ascii="Cambria Math" w:hAnsi="Cambria Math"/>
              </w:rPr>
              <m:t xml:space="preserve">S</m:t>
            </m:r>
          </m:e>
          <m:sub>
            <m:r>
              <m:rPr>
                <m:sty m:val="i"/>
              </m:rPr>
              <w:rPr>
                <w:rFonts w:ascii="Cambria Math" w:hAnsi="Cambria Math"/>
              </w:rPr>
              <m:t xml:space="preserve">ij</m:t>
            </m:r>
          </m:sub>
        </m:sSub>
      </m:oMath>
      <w:r>
        <w:t xml:space="preserve"> equal to 1 if either country maintains comprehensive trade sanctions against the other:</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2</m:t>
                  </m:r>
                </m:sub>
              </m:sSub>
              <m:r>
                <m:rPr>
                  <m:sty m:val="p"/>
                </m:rPr>
                <w:rPr>
                  <w:rFonts w:ascii="Cambria Math" w:hAnsi="Cambria Math"/>
                </w:rPr>
                <m:t xml:space="preserve"> · (1 − </m:t>
              </m:r>
              <m:sSub>
                <m:sSubPr/>
                <m:e>
                  <m:r>
                    <m:rPr>
                      <m:sty m:val="i"/>
                    </m:rPr>
                    <w:rPr>
                      <w:rFonts w:ascii="Cambria Math" w:hAnsi="Cambria Math"/>
                    </w:rPr>
                    <m:t xml:space="preserve">R</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3</m:t>
                  </m:r>
                </m:sub>
              </m:sSub>
              <m:r>
                <m:rPr>
                  <m:sty m:val="p"/>
                </m:rPr>
                <w:rPr>
                  <w:rFonts w:ascii="Cambria Math" w:hAnsi="Cambria Math"/>
                </w:rPr>
                <m:t xml:space="preserve"> · </m:t>
              </m:r>
              <m:sSub>
                <m:sSubPr/>
                <m:e>
                  <m:r>
                    <m:rPr>
                      <m:sty m:val="i"/>
                    </m:rPr>
                    <w:rPr>
                      <w:rFonts w:ascii="Cambria Math" w:hAnsi="Cambria Math"/>
                    </w:rPr>
                    <m:t xml:space="preserve">S</m:t>
                  </m:r>
                </m:e>
                <m:sub>
                  <m:r>
                    <m:rPr>
                      <m:sty m:val="i"/>
                    </m:rPr>
                    <w:rPr>
                      <w:rFonts w:ascii="Cambria Math" w:hAnsi="Cambria Math"/>
                    </w:rPr>
                    <m:t xml:space="preserve">ij</m:t>
                  </m:r>
                </m:sub>
              </m:sSub>
              <m:r>
                <m:rPr>
                  <m:sty m:val="p"/>
                </m:rPr>
                <w:rPr>
                  <w:rFonts w:ascii="Cambria Math" w:hAnsi="Cambria Math"/>
                </w:rPr>
                <m:t xml:space="preserve">.</m:t>
              </m:r>
            </m:oMath>
          </w:p>
        </w:tc>
        <w:tc>
          <w:tcPr>
            <w:tcW w:w="1400" w:type="dxa"/>
            <w:vAlign w:val="center"/>
          </w:tcPr>
          <w:p>
            <w:pPr>
              <w:jc w:val="right"/>
              <w:spacing w:before="60" w:after="60"/>
            </w:pPr>
            <w:bookmarkStart w:id="802" w:name="Eq2"/>
            <w:r>
              <w:t>(2)</w:t>
            </w:r>
            <w:bookmarkEnd w:id="802"/>
          </w:p>
        </w:tc>
      </w:tr>
    </w:tbl>
    <w:p>
      <w:pPr>
        <w:spacing w:before="0" w:after="160"/>
        <w:ind w:firstLine="0"/>
        <w:jc w:val="both"/>
      </w:pPr>
      <w:r>
        <w:t>The calibration of these coefficients is described in Section 6.1.</w:t>
      </w:r>
    </w:p>
    <w:p>
      <w:pPr>
        <w:spacing w:before="0" w:after="40"/>
        <w:ind w:firstLine="0"/>
        <w:jc w:val="both"/>
      </w:pPr>
      <w:r>
        <w:t xml:space="preserve">The delivered cost of service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(1 + </m:t>
              </m:r>
              <m:sSub>
                <m:sSubPr/>
                <m:e>
                  <m:r>
                    <m:rPr>
                      <m:sty m:val="i"/>
                    </m:rPr>
                    <w:rPr>
                      <w:rFonts w:ascii="Cambria Math" w:hAnsi="Cambria Math"/>
                    </w:rPr>
                    <m:t xml:space="preserve">τ</m:t>
                  </m:r>
                </m:e>
                <m:sub>
                  <m:r>
                    <m:rPr>
                      <m:sty m:val="i"/>
                    </m:rPr>
                    <w:rPr>
                      <w:rFonts w:ascii="Cambria Math" w:hAnsi="Cambria Math"/>
                    </w:rPr>
                    <m:t xml:space="preserve">s</m:t>
                  </m:r>
                </m:sub>
              </m:sSub>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m:t>
              </m:r>
            </m:oMath>
          </w:p>
        </w:tc>
        <w:tc>
          <w:tcPr>
            <w:tcW w:w="1400" w:type="dxa"/>
            <w:vAlign w:val="center"/>
          </w:tcPr>
          <w:p>
            <w:pPr>
              <w:jc w:val="right"/>
              <w:spacing w:before="60" w:after="60"/>
            </w:pPr>
            <w:bookmarkStart w:id="803" w:name="Eq3"/>
            <w:r>
              <w:t>(3)</w:t>
            </w:r>
            <w:bookmarkEnd w:id="803"/>
          </w:p>
        </w:tc>
      </w:tr>
    </w:tbl>
    <w:p>
      <w:pPr>
        <w:spacing w:before="0" w:after="160"/>
        <w:ind w:firstLine="0"/>
        <w:jc w:val="both"/>
      </w:pPr>
      <w:r>
        <w:t xml:space="preserve">where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 ∈ (0, 1]</m:t>
        </m:r>
      </m:oMath>
      <w:r>
        <w:t xml:space="preserve"> is a production-efficiency index that captures factors reducing the real output of a GPU-hour in country </w:t>
      </w:r>
      <m:oMath>
        <m:r>
          <m:rPr>
            <m:sty m:val="i"/>
          </m:rPr>
          <w:rPr>
            <w:rFonts w:ascii="Cambria Math" w:hAnsi="Cambria Math"/>
          </w:rPr>
          <m:t xml:space="preserve">j</m:t>
        </m:r>
      </m:oMath>
      <w:r>
        <w:t xml:space="preserve">. The effective index incorporates an institutional floor: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 = </m:t>
        </m:r>
        <m:sSub>
          <m:sSubPr/>
          <m:e>
            <m:r>
              <m:rPr>
                <m:sty m:val="i"/>
              </m:rPr>
              <w:rPr>
                <w:rFonts w:ascii="Cambria Math" w:hAnsi="Cambria Math"/>
              </w:rPr>
              <m:t xml:space="preserve">ξ</m:t>
            </m:r>
          </m:e>
          <m:sub>
            <m:r>
              <m:rPr>
                <m:sty m:val="i"/>
              </m:rPr>
              <w:rPr>
                <w:rFonts w:ascii="Cambria Math" w:hAnsi="Cambria Math"/>
              </w:rPr>
              <m:t xml:space="preserve">floor</m:t>
            </m:r>
          </m:sub>
        </m:sSub>
        <m:r>
          <m:rPr>
            <m:sty m:val="p"/>
          </m:rPr>
          <w:rPr>
            <w:rFonts w:ascii="Cambria Math" w:hAnsi="Cambria Math"/>
          </w:rPr>
          <m:t xml:space="preserve"> + (1 − </m:t>
        </m:r>
        <m:sSub>
          <m:sSubPr/>
          <m:e>
            <m:r>
              <m:rPr>
                <m:sty m:val="i"/>
              </m:rPr>
              <w:rPr>
                <w:rFonts w:ascii="Cambria Math" w:hAnsi="Cambria Math"/>
              </w:rPr>
              <m:t xml:space="preserve">ξ</m:t>
            </m:r>
          </m:e>
          <m:sub>
            <m:r>
              <m:rPr>
                <m:sty m:val="i"/>
              </m:rPr>
              <w:rPr>
                <w:rFonts w:ascii="Cambria Math" w:hAnsi="Cambria Math"/>
              </w:rPr>
              <m:t xml:space="preserve">floor</m:t>
            </m:r>
          </m:sub>
        </m:sSub>
        <m:r>
          <m:rPr>
            <m:sty m:val="p"/>
          </m:rPr>
          <w:rPr>
            <w:rFonts w:ascii="Cambria Math" w:hAnsi="Cambria Math"/>
          </w:rPr>
          <m:t xml:space="preserve">) · </m:t>
        </m:r>
        <m:sSubSup>
          <m:sSubSupPr/>
          <m:e>
            <m:r>
              <m:rPr>
                <m:sty m:val="i"/>
              </m:rPr>
              <w:rPr>
                <w:rFonts w:ascii="Cambria Math" w:hAnsi="Cambria Math"/>
              </w:rPr>
              <m:t xml:space="preserve">G</m:t>
            </m:r>
          </m:e>
          <m:sub>
            <m:r>
              <m:rPr>
                <m:sty m:val="i"/>
              </m:rPr>
              <w:rPr>
                <w:rFonts w:ascii="Cambria Math" w:hAnsi="Cambria Math"/>
              </w:rPr>
              <m:t xml:space="preserve">j</m:t>
            </m:r>
          </m:sub>
          <m:sup>
            <m:r>
              <m:rPr>
                <m:sty m:val="i"/>
              </m:rPr>
              <w:rPr>
                <w:rFonts w:ascii="Cambria Math" w:hAnsi="Cambria Math"/>
              </w:rPr>
              <m:t xml:space="preserve">ω</m:t>
            </m:r>
          </m:sup>
        </m:sSubSup>
        <m:r>
          <m:rPr>
            <m:sty m:val="p"/>
          </m:rPr>
          <w:rPr>
            <w:rFonts w:ascii="Cambria Math" w:hAnsi="Cambria Math"/>
          </w:rPr>
          <m:t xml:space="preserve"> · </m:t>
        </m:r>
        <m:sSubSup>
          <m:sSubSupPr/>
          <m:e>
            <m:r>
              <m:rPr>
                <m:sty m:val="i"/>
              </m:rPr>
              <w:rPr>
                <w:rFonts w:ascii="Cambria Math" w:hAnsi="Cambria Math"/>
              </w:rPr>
              <m:t xml:space="preserve">R</m:t>
            </m:r>
          </m:e>
          <m:sub>
            <m:r>
              <m:rPr>
                <m:sty m:val="i"/>
              </m:rPr>
              <w:rPr>
                <w:rFonts w:ascii="Cambria Math" w:hAnsi="Cambria Math"/>
              </w:rPr>
              <m:t xml:space="preserve">j</m:t>
            </m:r>
          </m:sub>
          <m:sup>
            <m:r>
              <m:rPr>
                <m:sty m:val="i"/>
              </m:rPr>
              <w:rPr>
                <w:rFonts w:ascii="Cambria Math" w:hAnsi="Cambria Math"/>
              </w:rPr>
              <m:t xml:space="preserve">1−ω</m:t>
            </m:r>
          </m:sup>
        </m:sSubSup>
      </m:oMath>
      <w:r>
        <w:t xml:space="preserve">, where </w:t>
      </w:r>
      <m:oMath>
        <m:r>
          <m:rPr>
            <m:sty m:val="i"/>
          </m:rPr>
          <w:rPr>
            <w:rFonts w:ascii="Cambria Math" w:hAnsi="Cambria Math"/>
          </w:rPr>
          <m:t xml:space="preserve">G</m:t>
        </m:r>
      </m:oMath>
      <w:r>
        <w:t xml:space="preserve"> is the </w:t>
      </w:r>
      <w:bookmarkStart w:id="211" w:name="WorldBank2024txt"/>
      <w:hyperlink w:anchor="WorldBank2024" w:history="1">
        <w:r>
          <w:rPr>
            <w:color w:val="1F3864"/>
            <w:u w:val="single"/>
          </w:rPr>
          <w:t xml:space="preserve">World Bank</w:t>
        </w:r>
      </w:hyperlink>
      <w:bookmarkEnd w:id="211"/>
      <w:r>
        <w:t xml:space="preserve"> Rule of Law percentile (rescaled to [0, 1]), </w:t>
      </w:r>
      <m:oMath>
        <m:r>
          <m:rPr>
            <m:sty m:val="i"/>
          </m:rPr>
          <w:rPr>
            <w:rFonts w:ascii="Cambria Math" w:hAnsi="Cambria Math"/>
          </w:rPr>
          <m:t xml:space="preserve">R</m:t>
        </m:r>
      </m:oMath>
      <w:r>
        <w:t xml:space="preserve"> is the inverse of hours without electricity per firm per year (</w:t>
      </w:r>
      <w:bookmarkStart w:id="212" w:name="WorldBank2024txt"/>
      <w:hyperlink w:anchor="WorldBank2024" w:history="1">
        <w:r>
          <w:rPr>
            <w:color w:val="1F3864"/>
            <w:u w:val="single"/>
          </w:rPr>
          <w:t xml:space="preserve">World Bank</w:t>
        </w:r>
      </w:hyperlink>
      <w:bookmarkEnd w:id="212"/>
      <w:r>
        <w:t xml:space="preserve"> Enterprise Surveys, also rescaled to [0, 1]), and </w:t>
      </w:r>
      <m:oMath>
        <m:r>
          <m:rPr>
            <m:sty m:val="i"/>
          </m:rPr>
          <w:rPr>
            <w:rFonts w:ascii="Cambria Math" w:hAnsi="Cambria Math"/>
          </w:rPr>
          <m:t xml:space="preserve">ω</m:t>
        </m:r>
        <m:r>
          <m:rPr>
            <m:sty m:val="p"/>
          </m:rPr>
          <w:rPr>
            <w:rFonts w:ascii="Cambria Math" w:hAnsi="Cambria Math"/>
          </w:rPr>
          <m:t xml:space="preserve"> = 0.85</m:t>
        </m:r>
      </m:oMath>
      <w:r>
        <w:t xml:space="preserve"> reflects the enclave character of data center operations. The floor </w:t>
      </w:r>
      <m:oMath>
        <m:sSub>
          <m:sSubPr/>
          <m:e>
            <m:r>
              <m:rPr>
                <m:sty m:val="i"/>
              </m:rPr>
              <w:rPr>
                <w:rFonts w:ascii="Cambria Math" w:hAnsi="Cambria Math"/>
              </w:rPr>
              <m:t xml:space="preserve">ξ</m:t>
            </m:r>
          </m:e>
          <m:sub>
            <m:r>
              <m:rPr>
                <m:sty m:val="i"/>
              </m:rPr>
              <w:rPr>
                <w:rFonts w:ascii="Cambria Math" w:hAnsi="Cambria Math"/>
              </w:rPr>
              <m:t xml:space="preserve">floor</m:t>
            </m:r>
          </m:sub>
        </m:sSub>
      </m:oMath>
      <w:r>
        <w:t xml:space="preserve"> reflects the minimum operational quality achievable through investor-side risk mitigation — international arbitration, dedicated infrastructure, and special economic zone provisions — consistent with evidence that zone-level governance outperforms national averages (</w:t>
      </w:r>
      <w:bookmarkStart w:id="255" w:name="Farole2011txt"/>
      <w:hyperlink w:anchor="Farole2011" w:history="1">
        <w:r>
          <w:rPr>
            <w:color w:val="1F3864"/>
            <w:u w:val="single"/>
          </w:rPr>
          <w:t xml:space="preserve">Farole 2011</w:t>
        </w:r>
      </w:hyperlink>
      <w:bookmarkEnd w:id="255"/>
      <w:r>
        <w:t xml:space="preserve">; </w:t>
      </w:r>
      <w:bookmarkStart w:id="246" w:name="WorldBank2017txt"/>
      <w:hyperlink w:anchor="WorldBank2017" w:history="1">
        <w:r>
          <w:rPr>
            <w:color w:val="1F3864"/>
            <w:u w:val="single"/>
          </w:rPr>
          <w:t xml:space="preserve">World Bank 2017</w:t>
        </w:r>
      </w:hyperlink>
      <w:bookmarkEnd w:id="246"/>
      <w:r>
        <w:t xml:space="preserve">; </w:t>
      </w:r>
      <w:bookmarkStart w:id="213" w:name="Frick2019txt"/>
      <w:hyperlink w:anchor="Frick2019" w:history="1">
        <w:r>
          <w:rPr>
            <w:color w:val="1F3864"/>
            <w:u w:val="single"/>
          </w:rPr>
          <w:t xml:space="preserve">Frick, Rodríguez-Pose, and Wong 2019</w:t>
        </w:r>
      </w:hyperlink>
      <w:bookmarkEnd w:id="213"/>
      <w:r>
        <w:t xml:space="preserve">). The baseline sets </w:t>
      </w:r>
      <m:oMath>
        <m:sSub>
          <m:sSubPr/>
          <m:e>
            <m:r>
              <m:rPr>
                <m:sty m:val="i"/>
              </m:rPr>
              <w:rPr>
                <w:rFonts w:ascii="Cambria Math" w:hAnsi="Cambria Math"/>
              </w:rPr>
              <m:t xml:space="preserve">ξ</m:t>
            </m:r>
          </m:e>
          <m:sub>
            <m:r>
              <m:rPr>
                <m:sty m:val="i"/>
              </m:rPr>
              <w:rPr>
                <w:rFonts w:ascii="Cambria Math" w:hAnsi="Cambria Math"/>
              </w:rPr>
              <m:t xml:space="preserve">floor</m:t>
            </m:r>
          </m:sub>
        </m:sSub>
        <m:r>
          <m:rPr>
            <m:sty m:val="p"/>
          </m:rPr>
          <w:rPr>
            <w:rFonts w:ascii="Cambria Math" w:hAnsi="Cambria Math"/>
          </w:rPr>
          <m:t xml:space="preserve"> = 0.50</m:t>
        </m:r>
      </m:oMath>
      <w:r>
        <w:t xml:space="preserve">, implying that the worst-case hyperscaler facility operates at half the effectiveness of an OECD benchmark. The index approaches one for countries with strong institutions and reliable power, and falls below one for countries where institutional weakness or operational risk reduces effective delivery. Sanctions, data-protection trust, and regulatory compatibility do not enter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oMath>
      <w:r>
        <w:t xml:space="preserve"> because they affect trade willingness between specific country pairs, not the physical cost of producing a GPU-hour; these frictions are captured by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w:t>
      </w:r>
    </w:p>
    <w:p>
      <w:pPr>
        <w:spacing w:before="0" w:after="160"/>
        <w:ind w:firstLine="0"/>
        <w:jc w:val="both"/>
      </w:pPr>
      <w:r>
        <w:t xml:space="preserve">The parameter </w:t>
      </w:r>
      <m:oMath>
        <m:r>
          <m:rPr>
            <m:sty m:val="i"/>
          </m:rPr>
          <w:rPr>
            <w:rFonts w:ascii="Cambria Math" w:hAnsi="Cambria Math"/>
          </w:rPr>
          <m:t xml:space="preserve">τ</m:t>
        </m:r>
      </m:oMath>
      <w:r>
        <w:t xml:space="preserve"> measures the rate of quality degradation per millisecond of round-trip latency,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For training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the delivered cost is the sum of the production cost and the sovereignty markup. For inference, the delivered cost increases with latency at rate </w:t>
      </w:r>
      <m:oMath>
        <m:sSub>
          <m:sSubPr/>
          <m:e>
            <m:r>
              <m:rPr>
                <m:sty m:val="i"/>
              </m:rPr>
              <w:rPr>
                <w:rFonts w:ascii="Cambria Math" w:hAnsi="Cambria Math"/>
              </w:rPr>
              <m:t xml:space="preserve">τ</m:t>
            </m:r>
          </m:e>
          <m:sub>
            <m:r>
              <m:rPr>
                <m:sty m:val="i"/>
              </m:rPr>
              <w:rPr>
                <w:rFonts w:ascii="Cambria Math" w:hAnsi="Cambria Math"/>
              </w:rPr>
              <m:t xml:space="preserve">I</m:t>
            </m:r>
          </m:sub>
        </m:sSub>
      </m:oMath>
      <w:r>
        <w:t xml:space="preserve">. Beyond a threshold </w:t>
      </w:r>
      <m:oMath>
        <m:bar>
          <m:barPr>
            <m:pos m:val="top"/>
          </m:barPr>
          <m:e>
            <m:r>
              <m:rPr>
                <m:sty m:val="i"/>
              </m:rPr>
              <w:rPr>
                <w:rFonts w:ascii="Cambria Math" w:hAnsi="Cambria Math"/>
              </w:rPr>
              <m:t xml:space="preserve">l</m:t>
            </m:r>
          </m:e>
        </m:bar>
      </m:oMath>
      <w:r>
        <w:t xml:space="preserve"> (typically 200–300 ms for interactive applications), the service becomes unusable regardless of price, modeled as </w:t>
      </w: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oMath>
      <w:r>
        <w:t xml:space="preserve"> if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&gt; </m:t>
        </m:r>
        <m:bar>
          <m:barPr>
            <m:pos m:val="top"/>
          </m:barPr>
          <m:e>
            <m:r>
              <m:rPr>
                <m:sty m:val="i"/>
              </m:rPr>
              <w:rPr>
                <w:rFonts w:ascii="Cambria Math" w:hAnsi="Cambria Math"/>
              </w:rPr>
              <m:t xml:space="preserve">l</m:t>
            </m:r>
          </m:e>
        </m:bar>
      </m:oMath>
      <w:r>
        <w:t>.</w:t>
      </w:r>
    </w:p>
    <w:p>
      <w:pPr>
        <w:pStyle w:val="Heading2"/>
      </w:pPr>
      <w:r>
        <w:rPr>
          <w:rFonts w:ascii="Times New Roman" w:hAnsi="Times New Roman"/>
          <w:b w:val="0"/>
          <w:i/>
          <w:color w:val="2F5496"/>
          <w:sz w:val="24"/>
        </w:rPr>
        <w:t>3.3 Global Compute Demand</w:t>
      </w:r>
    </w:p>
    <w:p>
      <w:pPr>
        <w:spacing w:before="0" w:after="40"/>
        <w:ind w:firstLine="0"/>
        <w:jc w:val="both"/>
      </w:pPr>
      <w:r>
        <w:t xml:space="preserve">The model is closed by specifying demand for compute services. Let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denote the volume of compute purchased by buyer </w:t>
      </w:r>
      <m:oMath>
        <m:r>
          <m:rPr>
            <m:sty m:val="i"/>
          </m:rPr>
          <w:rPr>
            <w:rFonts w:ascii="Cambria Math" w:hAnsi="Cambria Math"/>
          </w:rPr>
          <m:t xml:space="preserve">k</m:t>
        </m:r>
      </m:oMath>
      <w:r>
        <w:t>. The paper measures compute demand using installed data center capacity in megawatts (MW):</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r>
                <m:rPr>
                  <m:sty m:val="i"/>
                </m:rPr>
                <w:rPr>
                  <w:rFonts w:ascii="Cambria Math" w:hAnsi="Cambria Math"/>
                </w:rPr>
                <m:t xml:space="preserve">Q</m:t>
              </m:r>
              <m:r>
                <m:rPr>
                  <m:sty m:val="p"/>
                </m:rPr>
                <w:rPr>
                  <w:rFonts w:ascii="Cambria Math" w:hAnsi="Cambria Math"/>
                </w:rPr>
                <m:t xml:space="preserve">,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k</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M</m:t>
                      </m:r>
                    </m:e>
                    <m:sub>
                      <m:r>
                        <m:rPr>
                          <m:sty m:val="i"/>
                        </m:rPr>
                        <w:rPr>
                          <w:rFonts w:ascii="Cambria Math" w:hAnsi="Cambria Math"/>
                        </w:rPr>
                        <m:t xml:space="preserve">k′</m:t>
                      </m:r>
                    </m:sub>
                  </m:sSub>
                </m:e>
              </m:nary>
              <m:r>
                <m:rPr>
                  <m:sty m:val="p"/>
                </m:rPr>
                <w:rPr>
                  <w:rFonts w:ascii="Cambria Math" w:hAnsi="Cambria Math"/>
                </w:rPr>
                <m:t xml:space="preserve">,</m:t>
              </m:r>
            </m:oMath>
          </w:p>
        </w:tc>
        <w:tc>
          <w:tcPr>
            <w:tcW w:w="1400" w:type="dxa"/>
            <w:vAlign w:val="center"/>
          </w:tcPr>
          <w:p>
            <w:pPr>
              <w:jc w:val="right"/>
              <w:spacing w:before="60" w:after="60"/>
            </w:pPr>
            <w:bookmarkStart w:id="804" w:name="Eq4"/>
            <w:r>
              <w:t>(4)</w:t>
            </w:r>
            <w:bookmarkEnd w:id="804"/>
          </w:p>
        </w:tc>
      </w:tr>
    </w:tbl>
    <w:p>
      <w:pPr>
        <w:spacing w:before="0" w:after="160"/>
        <w:ind w:firstLine="0"/>
        <w:jc w:val="both"/>
      </w:pPr>
      <w:r>
        <w:t xml:space="preserve">where </w:t>
      </w:r>
      <m:oMath>
        <m:r>
          <m:rPr>
            <m:sty m:val="i"/>
          </m:rPr>
          <w:rPr>
            <w:rFonts w:ascii="Cambria Math" w:hAnsi="Cambria Math"/>
          </w:rPr>
          <m:t xml:space="preserve">Q</m:t>
        </m:r>
      </m:oMath>
      <w:r>
        <w:t xml:space="preserve"> is the total global compute spending and </w:t>
      </w:r>
      <m:oMath>
        <m:sSub>
          <m:sSubPr/>
          <m:e>
            <m:r>
              <m:rPr>
                <m:sty m:val="i"/>
              </m:rPr>
              <w:rPr>
                <w:rFonts w:ascii="Cambria Math" w:hAnsi="Cambria Math"/>
              </w:rPr>
              <m:t xml:space="preserve">ω</m:t>
            </m:r>
          </m:e>
          <m:sub>
            <m:r>
              <m:rPr>
                <m:sty m:val="i"/>
              </m:rPr>
              <w:rPr>
                <w:rFonts w:ascii="Cambria Math" w:hAnsi="Cambria Math"/>
              </w:rPr>
              <m:t xml:space="preserve">k</m:t>
            </m:r>
          </m:sub>
        </m:sSub>
      </m:oMath>
      <w:r>
        <w:t xml:space="preserve"> is country </w:t>
      </w:r>
      <m:oMath>
        <m:r>
          <m:rPr>
            <m:sty m:val="i"/>
          </m:rPr>
          <w:rPr>
            <w:rFonts w:ascii="Cambria Math" w:hAnsi="Cambria Math"/>
          </w:rPr>
          <m:t xml:space="preserve">k</m:t>
        </m:r>
      </m:oMath>
      <w:r>
        <w:t>’s share of global demand, measured by its share of installed data center capacity (MW).</w:t>
      </w:r>
      <w:r>
        <w:rPr>
          <w:rStyle w:val="FootnoteReference"/>
        </w:rPr>
        <w:footnoteReference w:id="20"/>
      </w:r>
    </w:p>
    <w:p>
      <w:pPr>
        <w:spacing w:before="0" w:after="160"/>
        <w:ind w:firstLine="0"/>
        <w:jc w:val="both"/>
      </w:pPr>
      <w:r>
        <w:t xml:space="preserve">Demand splits between training and inference.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where </w:t>
      </w:r>
      <m:oMath>
        <m:r>
          <m:rPr>
            <m:sty m:val="i"/>
          </m:rPr>
          <w:rPr>
            <w:rFonts w:ascii="Cambria Math" w:hAnsi="Cambria Math"/>
          </w:rPr>
          <m:t xml:space="preserve">α</m:t>
        </m:r>
        <m:r>
          <m:rPr>
            <m:sty m:val="p"/>
          </m:rPr>
          <w:rPr>
            <w:rFonts w:ascii="Cambria Math" w:hAnsi="Cambria Math"/>
          </w:rPr>
          <m:t xml:space="preserve"> ∈ (0, 1)</m:t>
        </m:r>
      </m:oMath>
      <w:r>
        <w:t xml:space="preserve"> is the exogenous training share. The parameter </w:t>
      </w:r>
      <m:oMath>
        <m:r>
          <m:rPr>
            <m:sty m:val="i"/>
          </m:rPr>
          <w:rPr>
            <w:rFonts w:ascii="Cambria Math" w:hAnsi="Cambria Math"/>
          </w:rPr>
          <m:t xml:space="preserve">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21"/>
      </w:r>
    </w:p>
    <w:p>
      <w:pPr>
        <w:pStyle w:val="Heading2"/>
      </w:pPr>
      <w:r>
        <w:rPr>
          <w:rFonts w:ascii="Times New Roman" w:hAnsi="Times New Roman"/>
          <w:b w:val="0"/>
          <w:i/>
          <w:color w:val="2F5496"/>
          <w:sz w:val="24"/>
        </w:rPr>
        <w:t>3.4 Sourcing and Market Equilibrium</w:t>
      </w:r>
    </w:p>
    <w:p>
      <w:pPr>
        <w:spacing w:before="0" w:after="40"/>
        <w:ind w:firstLine="0"/>
        <w:jc w:val="both"/>
      </w:pPr>
      <w:r>
        <w:t xml:space="preserve">For each service type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each buyer </w:t>
      </w:r>
      <m:oMath>
        <m:r>
          <m:rPr>
            <m:sty m:val="i"/>
          </m:rPr>
          <w:rPr>
            <w:rFonts w:ascii="Cambria Math" w:hAnsi="Cambria Math"/>
          </w:rPr>
          <m:t xml:space="preserve">k</m:t>
        </m:r>
      </m:oMath>
      <w:r>
        <w:t xml:space="preserve"> chooses the source that minimizes the delivered cost:</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j</m:t>
                  </m:r>
                </m:e>
                <m:sub>
                  <m:r>
                    <m:rPr>
                      <m:sty m:val="i"/>
                    </m:rPr>
                    <w:rPr>
                      <w:rFonts w:ascii="Cambria Math" w:hAnsi="Cambria Math"/>
                    </w:rPr>
                    <m:t xml:space="preserve">s</m:t>
                  </m:r>
                </m:sub>
                <m:sup>
                  <m:r>
                    <m:rPr>
                      <m:sty m:val="i"/>
                    </m:rPr>
                    <w:rPr>
                      <w:rFonts w:ascii="Cambria Math" w:hAnsi="Cambria Math"/>
                    </w:rPr>
                    <m:t xml:space="preserve">*</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m:t>
              </m:r>
              <m:limLow>
                <m:limLowPr/>
                <m:e>
                  <m:r>
                    <m:rPr>
                      <m:sty m:val="p"/>
                    </m:rPr>
                    <w:rPr>
                      <w:rFonts w:ascii="Cambria Math" w:hAnsi="Cambria Math"/>
                    </w:rPr>
                    <m:t xml:space="preserve">arg 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p>
        </w:tc>
        <w:tc>
          <w:tcPr>
            <w:tcW w:w="1400" w:type="dxa"/>
            <w:vAlign w:val="center"/>
          </w:tcPr>
          <w:p>
            <w:pPr>
              <w:jc w:val="right"/>
              <w:spacing w:before="60" w:after="60"/>
            </w:pPr>
            <w:bookmarkStart w:id="805" w:name="Eq5"/>
            <w:r>
              <w:t>(5)</w:t>
            </w:r>
            <w:bookmarkEnd w:id="805"/>
          </w:p>
        </w:tc>
      </w:tr>
    </w:tbl>
    <w:p>
      <w:pPr>
        <w:spacing w:before="0" w:after="160"/>
        <w:ind w:firstLine="0"/>
        <w:jc w:val="both"/>
      </w:pPr>
      <w:r>
        <w:t xml:space="preserve">Each country </w:t>
      </w:r>
      <m:oMath>
        <m:r>
          <m:rPr>
            <m:sty m:val="i"/>
          </m:rPr>
          <w:rPr>
            <w:rFonts w:ascii="Cambria Math" w:hAnsi="Cambria Math"/>
          </w:rPr>
          <m:t xml:space="preserve">j</m:t>
        </m:r>
      </m:oMath>
      <w:r>
        <w:t xml:space="preserve"> is characterized by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pPr>
        <w:spacing w:before="0" w:after="160"/>
        <w:ind w:firstLine="0"/>
        <w:jc w:val="both"/>
      </w:pPr>
      <w:r>
        <w:rPr>
          <w:rFonts w:ascii="Times New Roman" w:hAnsi="Times New Roman"/>
          <w:b w:val="0"/>
          <w:i/>
          <w:sz w:val="24"/>
        </w:rPr>
        <w:t xml:space="preserve">Training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training is a homogeneous good with no distance-related quality degradation. Country </w:t>
      </w:r>
      <m:oMath>
        <m:r>
          <m:rPr>
            <m:sty m:val="i"/>
          </m:rPr>
          <w:rPr>
            <w:rFonts w:ascii="Cambria Math" w:hAnsi="Cambria Math"/>
          </w:rPr>
          <m:t xml:space="preserve">k</m:t>
        </m:r>
      </m:oMath>
      <w:r>
        <w:t xml:space="preserve"> imports training whenever the world price, after adding the bilateral sovereignty premium, is lower than producing domestically: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the competitive world training price. In the capacity-constrained equilibrium, the cheapest producer supplies up to its capacity, then the next cheapest enters, and so on until demand is met.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the producer whose entry just satisfies total export demand. The equilibrium training price equals the marginal exporter’s cost: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sub>
        </m:sSub>
      </m:oMath>
      <w:r>
        <w:t>.</w:t>
      </w:r>
    </w:p>
    <w:p>
      <w:pPr>
        <w:spacing w:before="0" w:after="160"/>
        <w:ind w:firstLine="0"/>
        <w:jc w:val="both"/>
      </w:pPr>
      <w:r>
        <w:t xml:space="preserve">Without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&gt; 1</m:t>
        </m:r>
      </m:oMath>
      <w:r>
        <w:t xml:space="preserve">, the price rises to the cost of the marginal entrant, and all infra-marginal exporters earn positive rents: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For a capacity-constrained exporter, the shadow value </w:t>
      </w:r>
      <m:oMath>
        <m:sSub>
          <m:sSubPr/>
          <m:e>
            <m:r>
              <m:rPr>
                <m:sty m:val="i"/>
              </m:rPr>
              <w:rPr>
                <w:rFonts w:ascii="Cambria Math" w:hAnsi="Cambria Math"/>
              </w:rPr>
              <m:t xml:space="preserve">μ</m:t>
            </m:r>
          </m:e>
          <m:sub>
            <m:r>
              <m:rPr>
                <m:sty m:val="i"/>
              </m:rPr>
              <w:rPr>
                <w:rFonts w:ascii="Cambria Math" w:hAnsi="Cambria Math"/>
              </w:rPr>
              <m:t xml:space="preserve">j</m:t>
            </m:r>
          </m:sub>
        </m:sSub>
      </m:oMath>
      <w:r>
        <w:t xml:space="preserve"> of the capacity constraint measures how much one additional GPU-hour would be worth. It equals the difference between the market price and country’s production price.</w:t>
      </w:r>
    </w:p>
    <w:p>
      <w:pPr>
        <w:spacing w:before="0" w:after="40"/>
        <w:ind w:firstLine="0"/>
        <w:jc w:val="both"/>
      </w:pPr>
      <w:r>
        <w:rPr>
          <w:rFonts w:ascii="Times New Roman" w:hAnsi="Times New Roman"/>
          <w:b w:val="0"/>
          <w:i/>
          <w:sz w:val="24"/>
        </w:rPr>
        <w:t xml:space="preserve">Inference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xml:space="preserve">, inference suffers distance-dependent quality degradation. The inference market for buyer </w:t>
      </w:r>
      <m:oMath>
        <m:r>
          <m:rPr>
            <m:sty m:val="i"/>
          </m:rPr>
          <w:rPr>
            <w:rFonts w:ascii="Cambria Math" w:hAnsi="Cambria Math"/>
          </w:rPr>
          <m:t xml:space="preserve">k</m:t>
        </m:r>
      </m:oMath>
      <w:r>
        <w:t xml:space="preserve"> is localized, as only countries with latency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can participate, and each faces a different delivered cost. The delivered inference price for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m:t>
                  </m:r>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c</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sub>
              </m:sSub>
              <m:r>
                <m:rPr>
                  <m:sty m:val="p"/>
                </m:rPr>
                <w:rPr>
                  <w:rFonts w:ascii="Cambria Math" w:hAnsi="Cambria Math"/>
                </w:rPr>
                <m:t xml:space="preserve">,</m:t>
              </m:r>
            </m:oMath>
          </w:p>
        </w:tc>
        <w:tc>
          <w:tcPr>
            <w:tcW w:w="1400" w:type="dxa"/>
            <w:vAlign w:val="center"/>
          </w:tcPr>
          <w:p>
            <w:pPr>
              <w:jc w:val="right"/>
              <w:spacing w:before="60" w:after="60"/>
            </w:pPr>
            <w:bookmarkStart w:id="806" w:name="Eq6"/>
            <w:r>
              <w:t>(6)</w:t>
            </w:r>
            <w:bookmarkEnd w:id="806"/>
          </w:p>
        </w:tc>
      </w:tr>
    </w:tbl>
    <w:p>
      <w:pPr>
        <w:spacing w:before="0" w:after="160"/>
        <w:ind w:firstLine="0"/>
        <w:jc w:val="both"/>
      </w:pPr>
      <w:r>
        <w:t xml:space="preserve">where </w:t>
      </w:r>
      <m:oMath>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is the marginal inference supplier to </w:t>
      </w:r>
      <m:oMath>
        <m:r>
          <m:rPr>
            <m:sty m:val="i"/>
          </m:rPr>
          <w:rPr>
            <w:rFonts w:ascii="Cambria Math" w:hAnsi="Cambria Math"/>
          </w:rPr>
          <m:t xml:space="preserve">k</m:t>
        </m:r>
      </m:oMath>
      <w:r>
        <w:t xml:space="preserve">, determined by the capacity-constrained supply stack for </w:t>
      </w:r>
      <m:oMath>
        <m:r>
          <m:rPr>
            <m:sty m:val="i"/>
          </m:rPr>
          <w:rPr>
            <w:rFonts w:ascii="Cambria Math" w:hAnsi="Cambria Math"/>
          </w:rPr>
          <m:t xml:space="preserve">k</m:t>
        </m:r>
      </m:oMath>
      <w:r>
        <w:t>’s inference market. Each GPU-hour of capacity is allocated to its highest-margin use, whether training exports, inference exports to various destinations, or domestic supply.</w:t>
      </w:r>
    </w:p>
    <w:p>
      <w:pPr>
        <w:pStyle w:val="Heading1"/>
      </w:pPr>
      <w:r>
        <w:rPr>
          <w:rFonts w:ascii="Times New Roman" w:hAnsi="Times New Roman"/>
          <w:b/>
          <w:color w:val="2F5496"/>
          <w:sz w:val="28"/>
        </w:rPr>
        <w:t>4. Equilibrium Properties</w:t>
      </w:r>
    </w:p>
    <w:p>
      <w:pPr>
        <w:spacing w:before="0" w:after="160"/>
        <w:ind w:firstLine="0"/>
        <w:jc w:val="both"/>
      </w:pPr>
      <w:r>
        <w:t>This section derives the formal properties of the capacity-constrained equilibrium defined in Section 3. Full derivations appear in Appendix B.</w:t>
      </w:r>
    </w:p>
    <w:p>
      <w:pPr>
        <w:spacing w:before="0" w:after="160"/>
        <w:ind w:firstLine="0"/>
        <w:jc w:val="both"/>
      </w:pPr>
      <w:r>
        <w:rPr>
          <w:b/>
          <w:i/>
        </w:rPr>
        <w:t xml:space="preserve">Proposition 1 (Country Taxonomy). </w:t>
      </w:r>
      <w:r>
        <w:t xml:space="preserve">With two service types (training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inference with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&gt; 0</m:t>
        </m:r>
      </m:oMath>
      <w:r>
        <w:t>) and three possible statuses (export, domestic production, import), there are nine potential regime combinations. In equilibrium, only five are realized. Each regime is coded by two letters: the first for training status, the second for inference (E = export, D = domestic production, I = import).</w:t>
      </w:r>
    </w:p>
    <w:p>
      <w:pPr>
        <w:spacing w:before="0" w:after="160"/>
        <w:ind w:firstLine="0"/>
        <w:jc w:val="both"/>
      </w:pPr>
      <w:r>
        <w:t xml:space="preserve">(i) </w:t>
      </w:r>
      <w:r>
        <w:rPr>
          <w:b/>
        </w:rPr>
        <w:t>EE</w:t>
      </w:r>
      <w:r>
        <w:t xml:space="preserve">. Training exporter + inference exporter. The cheapest producers,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supply training globally and inference to nearby demand centers.</w:t>
      </w:r>
    </w:p>
    <w:p>
      <w:pPr>
        <w:spacing w:before="0" w:after="160"/>
        <w:ind w:firstLine="0"/>
        <w:jc w:val="both"/>
      </w:pPr>
      <w:r>
        <w:t xml:space="preserve">(ii) </w:t>
      </w:r>
      <w:r>
        <w:rPr>
          <w:b/>
        </w:rPr>
        <w:t>IE</w:t>
      </w:r>
      <w:r>
        <w:t xml:space="preserve">. Training importer + inference exporter. Countries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&gt;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that are not cheap enough to compete in the global training market but serve as regional inference hubs due to low costs and proximity to demand centers (</w:t>
      </w:r>
      <m:oMath>
        <m:sSub>
          <m:sSubPr/>
          <m:e>
            <m:r>
              <m:rPr>
                <m:sty m:val="i"/>
              </m:rPr>
              <w:rPr>
                <w:rFonts w:ascii="Cambria Math" w:hAnsi="Cambria Math"/>
              </w:rPr>
              <m:t xml:space="preserve">d</m:t>
            </m:r>
          </m:e>
          <m:sub>
            <m:r>
              <m:rPr>
                <m:sty m:val="i"/>
              </m:rPr>
              <w:rPr>
                <w:rFonts w:ascii="Cambria Math" w:hAnsi="Cambria Math"/>
              </w:rPr>
              <m:t xml:space="preserve">ij</m:t>
            </m:r>
          </m:sub>
        </m:sSub>
      </m:oMath>
      <w:r>
        <w:t xml:space="preserve"> below the latency threshold </w:t>
      </w:r>
      <m:oMath>
        <m:bar>
          <m:barPr>
            <m:pos m:val="top"/>
          </m:barPr>
          <m:e>
            <m:r>
              <m:rPr>
                <m:sty m:val="i"/>
              </m:rPr>
              <w:rPr>
                <w:rFonts w:ascii="Cambria Math" w:hAnsi="Cambria Math"/>
              </w:rPr>
              <m:t xml:space="preserve">d</m:t>
            </m:r>
          </m:e>
        </m:bar>
      </m:oMath>
      <w:r>
        <w:t>).</w:t>
      </w:r>
    </w:p>
    <w:p>
      <w:pPr>
        <w:spacing w:before="0" w:after="160"/>
        <w:ind w:firstLine="0"/>
        <w:jc w:val="both"/>
      </w:pPr>
      <w:r>
        <w:t xml:space="preserve">(iii) </w:t>
      </w:r>
      <w:r>
        <w:rPr>
          <w:b/>
        </w:rPr>
        <w:t>ID</w:t>
      </w:r>
      <w:r>
        <w:t xml:space="preserve">. Training importer + inference domestic producer. Countries that import training but produce inference domestically, because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or geographic isolation makes all foreign inference sources more expensive than domestic production.</w:t>
      </w:r>
    </w:p>
    <w:p>
      <w:pPr>
        <w:spacing w:before="0" w:after="160"/>
        <w:ind w:firstLine="0"/>
        <w:jc w:val="both"/>
      </w:pPr>
      <w:r>
        <w:t xml:space="preserve">(iv) </w:t>
      </w:r>
      <w:r>
        <w:rPr>
          <w:b/>
        </w:rPr>
        <w:t>DD</w:t>
      </w:r>
      <w:r>
        <w:t xml:space="preserve">. Domestic producer of both. Countries where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so the bilateral sovereignty premium is large enough to justify domestic production of both training and inference.</w:t>
      </w:r>
    </w:p>
    <w:p>
      <w:pPr>
        <w:spacing w:before="0" w:after="160"/>
        <w:ind w:firstLine="0"/>
        <w:jc w:val="both"/>
      </w:pPr>
      <w:r>
        <w:t xml:space="preserve">(v) </w:t>
      </w:r>
      <w:r>
        <w:rPr>
          <w:b/>
        </w:rPr>
        <w:t>II</w:t>
      </w:r>
      <w:r>
        <w:t xml:space="preserve">. Importer of both. High-cost countries with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that import both training and inference from cheaper or closer suppliers.</w:t>
      </w:r>
    </w:p>
    <w:p>
      <w:pPr>
        <w:spacing w:before="0" w:after="160"/>
        <w:ind w:firstLine="0"/>
        <w:jc w:val="both"/>
      </w:pPr>
      <w:r>
        <w:t>The remaining four combinations cannot arise in equilibrium. A training exporter cannot simultaneously produce inference domestically or import it: a country cheap enough to win a global training competition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is necessarily cheap enough to export inference to nearby buyers (Proposition 4). A country that produces training domestically cannot import inference, because the sovereignty premium that justifies domestic training production also justifies domestic inference production, which faces latency degradation when imported. A domestic training producer that exports inference would require simultaneously high sovereignty preference and low costs, a combination ruled out by the model’s cost ordering. </w:t>
      </w:r>
      <w:bookmarkStart w:id="130" w:name="Table1txt"/>
      <w:hyperlink w:anchor="Table1" w:history="1">
        <w:r>
          <w:rPr>
            <w:color w:val="1F3864"/>
            <w:u w:val="single"/>
          </w:rPr>
          <w:t xml:space="preserve">Table 1</w:t>
        </w:r>
      </w:hyperlink>
      <w:bookmarkEnd w:id="130"/>
      <w:r>
        <w:t xml:space="preserve"> summarizes this taxonomy.</w:t>
      </w:r>
    </w:p>
    <w:p>
      <w:pPr>
        <w:spacing w:before="0" w:after="160"/>
        <w:ind w:firstLine="0"/>
        <w:jc w:val="both"/>
      </w:pPr>
      <w:r>
        <w:rPr>
          <w:b/>
          <w:i/>
        </w:rPr>
        <w:t xml:space="preserve">Proposition 2 (Capacity Constraints Reduce Concentration). </w:t>
      </w:r>
      <w:r>
        <w:t xml:space="preserve">Define the Herfindahl–Hirschman Index (HHI), a standard measure of market concentration that is equal to the sum of squared market shares, for training market concentration as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m:t>
        </m:r>
        <m:nary>
          <m:naryPr>
            <m:chr m:val="∑"/>
            <m:supHide m:val="1"/>
          </m:naryPr>
          <m:sub>
            <m:r>
              <m:rPr>
                <m:sty m:val="i"/>
              </m:rPr>
              <w:rPr>
                <w:rFonts w:ascii="Cambria Math" w:hAnsi="Cambria Math"/>
              </w:rPr>
              <m:t xml:space="preserve">j</m:t>
            </m:r>
          </m:sub>
          <m:sup/>
          <m:e>
            <m:sSup>
              <m:sSupPr/>
              <m:e>
                <m:r>
                  <m:rPr>
                    <m:sty m:val="p"/>
                  </m:rPr>
                  <w:rPr>
                    <w:rFonts w:ascii="Cambria Math" w:hAnsi="Cambria Math"/>
                  </w:rPr>
                  <m:t xml:space="preserve">(</m:t>
                </m:r>
              </m:e>
              <m:sup>
                <m:r>
                  <m:rPr>
                    <m:sty m:val="p"/>
                  </m:rPr>
                  <w:rPr>
                    <w:rFonts w:ascii="Cambria Math" w:hAnsi="Cambria Math"/>
                  </w:rPr>
                  <m:t xml:space="preserve">2</m:t>
                </m:r>
              </m:sup>
            </m:sSup>
          </m:e>
        </m:nary>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m:t>
        </m:r>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sSup>
          <m:sSupPr/>
          <m:e>
            <m:r>
              <m:rPr>
                <m:sty m:val="p"/>
              </m:rPr>
              <w:rPr>
                <w:rFonts w:ascii="Cambria Math" w:hAnsi="Cambria Math"/>
              </w:rPr>
              <m:t xml:space="preserve">)</m:t>
            </m:r>
          </m:e>
          <m:sup>
            <m:r>
              <m:rPr>
                <m:sty m:val="p"/>
              </m:rPr>
              <w:rPr>
                <w:rFonts w:ascii="Cambria Math" w:hAnsi="Cambria Math"/>
              </w:rPr>
              <m:t xml:space="preserve">2</m:t>
            </m:r>
          </m:sup>
        </m:sSup>
      </m:oMath>
      <w:r>
        <w:t xml:space="preserve">, where </w:t>
      </w:r>
      <m:oMath>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oMath>
      <w:r>
        <w:t xml:space="preserve"> denote total training export demand, the sum of training demand across all importing countries. Without capacity constraints, the cheapest producer captures all training demand and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1</m:t>
        </m:r>
      </m:oMath>
      <w:r>
        <w:t xml:space="preserve">. With binding capacity constraints on the cheapest producers,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&lt; 1</m:t>
        </m:r>
      </m:oMath>
      <w:r>
        <w:t xml:space="preserve">, and </w:t>
      </w:r>
      <m:oMath>
        <m:sSub>
          <m:sSubPr/>
          <m:e>
            <m:r>
              <m:rPr>
                <m:sty m:val="i"/>
              </m:rPr>
              <w:rPr>
                <w:rFonts w:ascii="Cambria Math" w:hAnsi="Cambria Math"/>
              </w:rPr>
              <m:t xml:space="preserve">HHI</m:t>
            </m:r>
          </m:e>
          <m:sub>
            <m:r>
              <m:rPr>
                <m:sty m:val="i"/>
              </m:rPr>
              <w:rPr>
                <w:rFonts w:ascii="Cambria Math" w:hAnsi="Cambria Math"/>
              </w:rPr>
              <m:t xml:space="preserve">T</m:t>
            </m:r>
          </m:sub>
        </m:sSub>
      </m:oMath>
      <w:r>
        <w:t xml:space="preserve"> is strictly decreasing in the number of capacity-constrained infra-marginal exporters. Intuitively, when cheap producers reach capacity limits, residual demand spills over to more expensive suppliers, spreading market shares more evenly.</w:t>
      </w:r>
    </w:p>
    <w:p>
      <w:pPr>
        <w:spacing w:before="0" w:after="160"/>
        <w:ind w:firstLine="0"/>
        <w:jc w:val="both"/>
      </w:pPr>
      <w:r>
        <w:rPr>
          <w:b/>
          <w:i/>
        </w:rPr>
        <w:t xml:space="preserve">Proposition 3 (Sovereignty Switching Threshold). </w:t>
      </w:r>
      <w:r>
        <w:t xml:space="preserve">A country will bear the additional cost of domestic AI training only if its sovereignty premium is large enough to justify the price premium over cheaper foreign producers. Formally, country </w:t>
      </w:r>
      <m:oMath>
        <m:r>
          <m:rPr>
            <m:sty m:val="i"/>
          </m:rPr>
          <w:rPr>
            <w:rFonts w:ascii="Cambria Math" w:hAnsi="Cambria Math"/>
          </w:rPr>
          <m:t xml:space="preserve">k</m:t>
        </m:r>
      </m:oMath>
      <w:r>
        <w:t xml:space="preserve"> produces training domestically if and only if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m:t>
        </m:r>
      </m:oMath>
      <w:r>
        <w:t xml:space="preserve"> for every potential supplier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equivalently, </w:t>
      </w:r>
      <m:oMath>
        <m:r>
          <m:rPr>
            <m:sty m:val="i"/>
          </m:rPr>
          <w:rPr>
            <w:rFonts w:ascii="Cambria Math" w:hAnsi="Cambria Math"/>
          </w:rPr>
          <m:t xml:space="preserve">k</m:t>
        </m:r>
      </m:oMath>
      <w:r>
        <w:t xml:space="preserve"> imports whenever there exists a supplier </w:t>
      </w:r>
      <m:oMath>
        <m:r>
          <m:rPr>
            <m:sty m:val="i"/>
          </m:rPr>
          <w:rPr>
            <w:rFonts w:ascii="Cambria Math" w:hAnsi="Cambria Math"/>
          </w:rPr>
          <m:t xml:space="preserve">j</m:t>
        </m:r>
      </m:oMath>
      <w:r>
        <w:t xml:space="preserve"> for which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&lt;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The threshold is increasing in </w:t>
      </w:r>
      <m:oMath>
        <m:sSub>
          <m:sSubPr/>
          <m:e>
            <m:r>
              <m:rPr>
                <m:sty m:val="i"/>
              </m:rPr>
              <w:rPr>
                <w:rFonts w:ascii="Cambria Math" w:hAnsi="Cambria Math"/>
              </w:rPr>
              <m:t xml:space="preserve">c</m:t>
            </m:r>
          </m:e>
          <m:sub>
            <m:r>
              <m:rPr>
                <m:sty m:val="i"/>
              </m:rPr>
              <w:rPr>
                <w:rFonts w:ascii="Cambria Math" w:hAnsi="Cambria Math"/>
              </w:rPr>
              <m:t xml:space="preserve">k</m:t>
            </m:r>
          </m:sub>
        </m:sSub>
      </m:oMath>
      <w:r>
        <w:t xml:space="preserve"> and decreasing in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Under capacity constraints,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&gt; </m:t>
        </m:r>
        <m:sSub>
          <m:sSubPr/>
          <m:e>
            <m:r>
              <m:rPr>
                <m:sty m:val="i"/>
              </m:rPr>
              <w:rPr>
                <w:rFonts w:ascii="Cambria Math" w:hAnsi="Cambria Math"/>
              </w:rPr>
              <m:t xml:space="preserve">c</m:t>
            </m:r>
          </m:e>
          <m:sub>
            <m:r>
              <m:rPr>
                <m:sty m:val="i"/>
              </m:rPr>
              <w:rPr>
                <w:rFonts w:ascii="Cambria Math" w:hAnsi="Cambria Math"/>
              </w:rPr>
              <m:t xml:space="preserve">(1)</m:t>
            </m:r>
          </m:sub>
        </m:sSub>
      </m:oMath>
      <w:r>
        <w:t>, so the threshold is lower than in the unconstrained model. Capacity constraints reduce the sovereignty premium required for domestic production because higher world prices make imports more expensive.</w:t>
      </w:r>
    </w:p>
    <w:p>
      <w:pPr>
        <w:spacing w:before="0" w:after="160"/>
        <w:ind w:firstLine="0"/>
        <w:jc w:val="both"/>
      </w:pPr>
      <w:r>
        <w:rPr>
          <w:rFonts w:ascii="Times New Roman" w:hAnsi="Times New Roman"/>
          <w:b w:val="0"/>
          <w:i/>
          <w:sz w:val="24"/>
        </w:rPr>
        <w:t xml:space="preserve">Corollary. </w:t>
      </w:r>
      <w:r>
        <w:t>Capacity constraints reduce the welfare cost of sovereignty because the higher equilibrium price narrows the gap between domestic and import costs.</w:t>
      </w:r>
    </w:p>
    <w:p>
      <w:pPr>
        <w:spacing w:before="0" w:after="160"/>
        <w:ind w:firstLine="0"/>
        <w:jc w:val="both"/>
      </w:pPr>
      <w:r>
        <w:rPr>
          <w:b/>
          <w:i/>
        </w:rPr>
        <w:t xml:space="preserve">Proposition 4 (Training Exporters Nest Within Inference Exporters). </w:t>
      </w:r>
      <w:r>
        <w:t xml:space="preserve">If a country is cheap enough to export training (which can be done from anywhere), it is also cheap enough to export inference to nearby demand centers. The set of training exporters is therefore a subset of the inference exporters for demand centers within the latency threshold </w:t>
      </w:r>
      <m:oMath>
        <m:bar>
          <m:barPr>
            <m:pos m:val="top"/>
          </m:barPr>
          <m:e>
            <m:r>
              <m:rPr>
                <m:sty m:val="i"/>
              </m:rPr>
              <w:rPr>
                <w:rFonts w:ascii="Cambria Math" w:hAnsi="Cambria Math"/>
              </w:rPr>
              <m:t xml:space="preserve">l</m:t>
            </m:r>
          </m:e>
        </m:bar>
      </m:oMath>
      <w:r>
        <w:t xml:space="preserve">. A training exporter has the globally lowest </w:t>
      </w:r>
      <m:oMath>
        <m:sSub>
          <m:sSubPr/>
          <m:e>
            <m:r>
              <m:rPr>
                <m:sty m:val="i"/>
              </m:rPr>
              <w:rPr>
                <w:rFonts w:ascii="Cambria Math" w:hAnsi="Cambria Math"/>
              </w:rPr>
              <m:t xml:space="preserve">c</m:t>
            </m:r>
          </m:e>
          <m:sub>
            <m:r>
              <m:rPr>
                <m:sty m:val="i"/>
              </m:rPr>
              <w:rPr>
                <w:rFonts w:ascii="Cambria Math" w:hAnsi="Cambria Math"/>
              </w:rPr>
              <m:t xml:space="preserve">j</m:t>
            </m:r>
          </m:sub>
        </m:sSub>
      </m:oMath>
      <w:r>
        <w:t>. For inference to proximate demand centers, this cost advantage dominates the latency markup, so the same country wins the inference competition. Since training has no distance penalty while inference does, every country that exports training is also competitive in inference within its geographic neighborhood, but not vice versa.</w:t>
      </w:r>
    </w:p>
    <w:p>
      <w:pPr>
        <w:pStyle w:val="Heading1"/>
      </w:pPr>
      <w:r>
        <w:rPr>
          <w:rFonts w:ascii="Times New Roman" w:hAnsi="Times New Roman"/>
          <w:b/>
          <w:color w:val="2F5496"/>
          <w:sz w:val="28"/>
        </w:rPr>
        <w:t>5. Data</w:t>
      </w:r>
    </w:p>
    <w:p>
      <w:pPr>
        <w:spacing w:before="0" w:after="160"/>
        <w:ind w:firstLine="0"/>
        <w:jc w:val="both"/>
      </w:pPr>
      <w:r>
        <w:t xml:space="preserve">The propositions above generate testable predictions that depend on country-specific costs and bilateral frictions. Calibrating the production-cost and trade-cost parameters in equations (1)–(4) requires data on electricity prices, temperatures, construction costs, bilateral latencies, and bilateral sovereignty frictions (geopolitical alignment, regulatory compatibility, sanctions). </w:t>
      </w:r>
    </w:p>
    <w:p>
      <w:pPr>
        <w:spacing w:before="0" w:after="160"/>
        <w:ind w:firstLine="0"/>
        <w:jc w:val="both"/>
      </w:pPr>
      <w:r>
        <w:rPr>
          <w:rFonts w:ascii="Times New Roman" w:hAnsi="Times New Roman"/>
          <w:b w:val="0"/>
          <w:i/>
          <w:sz w:val="24"/>
        </w:rPr>
        <w:t xml:space="preserve">Electricity prices. </w:t>
      </w:r>
      <w:r>
        <w:t xml:space="preserve">For European countries, we use prices from Eurostat (industrial band, 20,000–69,999) (</w:t>
      </w:r>
      <w:bookmarkStart w:id="247" w:name="Eurostat2025txt"/>
      <w:hyperlink w:anchor="Eurostat2025" w:history="1">
        <w:r>
          <w:rPr>
            <w:color w:val="1F3864"/>
            <w:u w:val="single"/>
          </w:rPr>
          <w:t xml:space="preserve">Eurostat 2025</w:t>
        </w:r>
      </w:hyperlink>
      <w:bookmarkEnd w:id="247"/>
      <w:r>
        <w:t xml:space="preserve">). For non-European countries, the prices are obtained from national regulator tariff sheets and secondary sources, including the U.S. Energy Information Administration (</w:t>
      </w:r>
      <w:bookmarkStart w:id="256" w:name="EIA2025txt"/>
      <w:hyperlink w:anchor="EIA2025" w:history="1">
        <w:r>
          <w:rPr>
            <w:color w:val="1F3864"/>
            <w:u w:val="single"/>
          </w:rPr>
          <w:t xml:space="preserve">EIA 2025</w:t>
        </w:r>
      </w:hyperlink>
      <w:bookmarkEnd w:id="256"/>
      <w:r>
        <w:t xml:space="preserve">) for the United States, KEPCO for South Korea, national utility tariffs for Central Asian countries, and </w:t>
      </w:r>
      <w:bookmarkStart w:id="214" w:name="GlobalPetrolPrices2025txt"/>
      <w:hyperlink w:anchor="GlobalPetrolPrices2025" w:history="1">
        <w:r>
          <w:rPr>
            <w:color w:val="1F3864"/>
            <w:u w:val="single"/>
          </w:rPr>
          <w:t xml:space="preserve">GlobalPetrolPrices (2025)</w:t>
        </w:r>
      </w:hyperlink>
      <w:bookmarkEnd w:id="214"/>
      <w:r>
        <w:t xml:space="preserve"> for the remaining countries. All prices are converted to $/kWh at 2024 exchange rates.</w:t>
      </w:r>
    </w:p>
    <w:p>
      <w:pPr>
        <w:spacing w:before="0" w:after="160"/>
        <w:ind w:firstLine="0"/>
        <w:jc w:val="both"/>
      </w:pPr>
      <w:r>
        <w:rPr>
          <w:rFonts w:ascii="Times New Roman" w:hAnsi="Times New Roman"/>
          <w:b w:val="0"/>
          <w:i/>
          <w:sz w:val="24"/>
        </w:rPr>
        <w:t xml:space="preserve">Temperature and construction. </w:t>
      </w:r>
      <w:r>
        <w:t xml:space="preserve">Peak summer temperature is derived from ERA5 data (</w:t>
      </w:r>
      <w:bookmarkStart w:id="215" w:name="Hersbach2020txt"/>
      <w:hyperlink w:anchor="Hersbach2020" w:history="1">
        <w:r>
          <w:rPr>
            <w:color w:val="1F3864"/>
            <w:u w:val="single"/>
          </w:rPr>
          <w:t xml:space="preserve">Hersbach et al. 2020</w:t>
        </w:r>
      </w:hyperlink>
      <w:bookmarkEnd w:id="215"/>
      <w:r>
        <w:t xml:space="preserve">) as the average monthly maximum in the three warmest months, aggregated across populated grid cells. </w:t>
      </w:r>
      <w:r>
        <w:t xml:space="preserve">Construction costs per watt of IT capacity are from the Turner &amp; Townsend Data Centre Construction Cost Index 2025 (</w:t>
      </w:r>
      <w:bookmarkStart w:id="216" w:name="TurnerTownsend2025txt"/>
      <w:hyperlink w:anchor="TurnerTownsend2025" w:history="1">
        <w:r>
          <w:rPr>
            <w:color w:val="1F3864"/>
            <w:u w:val="single"/>
          </w:rPr>
          <w:t xml:space="preserve">Turner &amp; Townsend 2025</w:t>
        </w:r>
      </w:hyperlink>
      <w:bookmarkEnd w:id="216"/>
      <w:r>
        <w:t xml:space="preserve">), for 37 countries. For the remaining countries, costs are predicted (Appendix E). Since construction is only 3–6% of total per-GPU-hour costs, imputation error has a limited impact on cost rankings.</w:t>
      </w:r>
    </w:p>
    <w:p>
      <w:pPr>
        <w:spacing w:before="0" w:after="160"/>
        <w:ind w:firstLine="0"/>
        <w:jc w:val="both"/>
      </w:pPr>
      <w:r>
        <w:rPr>
          <w:rFonts w:ascii="Times New Roman" w:hAnsi="Times New Roman"/>
          <w:b w:val="0"/>
          <w:i/>
          <w:sz w:val="24"/>
        </w:rPr>
        <w:t xml:space="preserve">Latency. </w:t>
      </w:r>
      <w:r>
        <w:t xml:space="preserve">Inter-country round-trip latency is measured using WonderNetwork’s global ping dataset (</w:t>
      </w:r>
      <w:bookmarkStart w:id="217" w:name="WonderNetwork2024txt"/>
      <w:hyperlink w:anchor="WonderNetwork2024" w:history="1">
        <w:r>
          <w:rPr>
            <w:color w:val="1F3864"/>
            <w:u w:val="single"/>
          </w:rPr>
          <w:t xml:space="preserve">WonderNetwork 2024</w:t>
        </w:r>
      </w:hyperlink>
      <w:bookmarkEnd w:id="217"/>
      <w:r>
        <w:t xml:space="preserve">). For each country pair, the median round-trip time (RTT) in milliseconds is used. Domestic latency defaults to 5 ms where no intra-country measurement is available.</w:t>
      </w:r>
    </w:p>
    <w:p>
      <w:pPr>
        <w:spacing w:before="0" w:after="160"/>
        <w:ind w:firstLine="0"/>
        <w:jc w:val="both"/>
      </w:pPr>
      <w:r>
        <w:rPr>
          <w:rFonts w:ascii="Times New Roman" w:hAnsi="Times New Roman"/>
          <w:b w:val="0"/>
          <w:i/>
          <w:sz w:val="24"/>
        </w:rPr>
        <w:t xml:space="preserve">Demand. </w:t>
      </w:r>
      <w:r>
        <w:t xml:space="preserve">Compute demand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is proxied by installed data center capacity in MW, as specified in </w:t>
      </w:r>
      <w:bookmarkStart w:id="901" w:name="Eq4txt901"/>
      <w:hyperlink w:anchor="Eq4" w:history="1">
        <w:r>
          <w:rPr>
            <w:color w:val="1F3864"/>
            <w:u w:val="single"/>
          </w:rPr>
          <w:t xml:space="preserve">equation (4)</w:t>
        </w:r>
      </w:hyperlink>
      <w:bookmarkEnd w:id="901"/>
      <w:r>
        <w:t xml:space="preserve">. For the top 15 markets, capacity estimates are based on industry reports (Synergy Research, Cushman &amp; Wakefield, CBRE, Mordor Intelligence). For smaller markets, capacity is estimated from facility counts (</w:t>
      </w:r>
      <w:bookmarkStart w:id="218" w:name="Cloudscene2025txt"/>
      <w:hyperlink w:anchor="Cloudscene2025" w:history="1">
        <w:r>
          <w:rPr>
            <w:color w:val="1F3864"/>
            <w:u w:val="single"/>
          </w:rPr>
          <w:t xml:space="preserve">Cloudscene 2025</w:t>
        </w:r>
      </w:hyperlink>
      <w:bookmarkEnd w:id="218"/>
      <w:r>
        <w:t xml:space="preserve">) and regional averages. Since the results below depend only on demand shares, not on the absolute level </w:t>
      </w:r>
      <m:oMath>
        <m:r>
          <m:rPr>
            <m:sty m:val="i"/>
          </m:rPr>
          <w:rPr>
            <w:rFonts w:ascii="Cambria Math" w:hAnsi="Cambria Math"/>
          </w:rPr>
          <m:t xml:space="preserve">Q</m:t>
        </m:r>
      </m:oMath>
      <w:r>
        <w:t>, the calibration does not require an estimate of total global compute spending.</w:t>
      </w:r>
    </w:p>
    <w:p>
      <w:pPr>
        <w:spacing w:before="0" w:after="160"/>
        <w:ind w:firstLine="0"/>
        <w:jc w:val="both"/>
      </w:pPr>
      <w:r>
        <w:t>Because the compute export market is still emerging and bilateral trade-flow data do not yet exist, the paper calibrates the model using engineering cost parameters rather than estimating it from observed trade. The calibration identifies the cost structure under which FLOP exporting becomes viable and provides a framework that can be taken to gravity-style estimation as transaction-level data emerge.</w:t>
      </w:r>
    </w:p>
    <w:p>
      <w:pPr>
        <w:pStyle w:val="Heading1"/>
      </w:pPr>
      <w:r>
        <w:rPr>
          <w:rFonts w:ascii="Times New Roman" w:hAnsi="Times New Roman"/>
          <w:b/>
          <w:color w:val="2F5496"/>
          <w:sz w:val="28"/>
        </w:rPr>
        <w:t>6. Calibration and Results</w:t>
      </w:r>
    </w:p>
    <w:p>
      <w:pPr>
        <w:pStyle w:val="Heading2"/>
      </w:pPr>
      <w:r>
        <w:rPr>
          <w:rFonts w:ascii="Times New Roman" w:hAnsi="Times New Roman"/>
          <w:b w:val="0"/>
          <w:i/>
          <w:color w:val="2F5496"/>
          <w:sz w:val="24"/>
        </w:rPr>
        <w:t>6.1 Parameter calibration</w:t>
      </w:r>
    </w:p>
    <w:p>
      <w:pPr>
        <w:spacing w:before="0" w:after="160"/>
        <w:ind w:firstLine="0"/>
        <w:jc w:val="both"/>
      </w:pPr>
      <w:r>
        <w:rPr>
          <w:rFonts w:ascii="Times New Roman" w:hAnsi="Times New Roman"/>
          <w:b w:val="0"/>
          <w:i/>
          <w:sz w:val="24"/>
        </w:rPr>
        <w:t xml:space="preserve">PUE. </w:t>
      </w:r>
      <w:r>
        <w:t xml:space="preserve">The baseline </w:t>
      </w:r>
      <m:oMath>
        <m:r>
          <m:rPr>
            <m:sty m:val="i"/>
          </m:rPr>
          <w:rPr>
            <w:rFonts w:ascii="Cambria Math" w:hAnsi="Cambria Math"/>
          </w:rPr>
          <m:t xml:space="preserve">φ</m:t>
        </m:r>
        <m:r>
          <m:rPr>
            <m:sty m:val="p"/>
          </m:rPr>
          <w:rPr>
            <w:rFonts w:ascii="Cambria Math" w:hAnsi="Cambria Math"/>
          </w:rPr>
          <m:t xml:space="preserve"> = 1.08</m:t>
        </m:r>
      </m:oMath>
      <w:r>
        <w:t xml:space="preserve"> matches Google’s reported PUE for facilities with free-air cooling in cold climates (</w:t>
      </w:r>
      <w:bookmarkStart w:id="219" w:name="UptimeInstitute2024txt"/>
      <w:hyperlink w:anchor="UptimeInstitute2024" w:history="1">
        <w:r>
          <w:rPr>
            <w:color w:val="1F3864"/>
            <w:u w:val="single"/>
          </w:rPr>
          <w:t xml:space="preserve">Uptime Institute 2024</w:t>
        </w:r>
      </w:hyperlink>
      <w:bookmarkEnd w:id="219"/>
      <w:r>
        <w:t xml:space="preserve">). The sensitivity coefficient </w:t>
      </w:r>
      <m:oMath>
        <m:r>
          <m:rPr>
            <m:sty m:val="i"/>
          </m:rPr>
          <w:rPr>
            <w:rFonts w:ascii="Cambria Math" w:hAnsi="Cambria Math"/>
          </w:rPr>
          <m:t xml:space="preserve">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220" w:name="Liu2023txt"/>
      <w:hyperlink w:anchor="Liu2023" w:history="1">
        <w:r>
          <w:rPr>
            <w:color w:val="1F3864"/>
            <w:u w:val="single"/>
          </w:rPr>
          <w:t xml:space="preserve">Liu et al. 2023</w:t>
        </w:r>
      </w:hyperlink>
      <w:bookmarkEnd w:id="220"/>
      <w:r>
        <w:t xml:space="preserve">). The threshold </w:t>
      </w:r>
      <m:oMath>
        <m:bar>
          <m:barPr>
            <m:pos m:val="top"/>
          </m:barPr>
          <m:e>
            <m:r>
              <m:rPr>
                <m:sty m:val="i"/>
              </m:rPr>
              <w:rPr>
                <w:rFonts w:ascii="Cambria Math" w:hAnsi="Cambria Math"/>
              </w:rPr>
              <m:t xml:space="preserve">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average of 1.56 (</w:t>
      </w:r>
      <w:bookmarkStart w:id="221" w:name="UptimeInstitute2024txt"/>
      <w:hyperlink w:anchor="UptimeInstitute2024" w:history="1">
        <w:r>
          <w:rPr>
            <w:color w:val="1F3864"/>
            <w:u w:val="single"/>
          </w:rPr>
          <w:t xml:space="preserve">Uptime Institute 2024</w:t>
        </w:r>
      </w:hyperlink>
      <w:bookmarkEnd w:id="221"/>
      <w:r>
        <w:t xml:space="preserve">).</w:t>
      </w:r>
      <w:r>
        <w:rPr>
          <w:rStyle w:val="FootnoteReference"/>
        </w:rPr>
        <w:footnoteReference w:id="13"/>
      </w:r>
    </w:p>
    <w:p>
      <w:pPr>
        <w:spacing w:before="0" w:after="160"/>
        <w:ind w:firstLine="0"/>
        <w:jc w:val="both"/>
      </w:pPr>
      <w:r>
        <w:rPr>
          <w:rFonts w:ascii="Times New Roman" w:hAnsi="Times New Roman"/>
          <w:b w:val="0"/>
          <w:i/>
          <w:sz w:val="24"/>
        </w:rPr>
        <w:t xml:space="preserve">Hardware. </w:t>
      </w:r>
      <w:r>
        <w:t xml:space="preserve">The calibration uses the NVIDIA H100 SXM GPU as the reference hardware platform, with a list price of $25,000, a power of 700W, an economic lifetime of 3 years, and a utilization rate 70% (</w:t>
      </w:r>
      <w:bookmarkStart w:id="222" w:name="Barroso2018txt"/>
      <w:hyperlink w:anchor="Barroso2018" w:history="1">
        <w:r>
          <w:rPr>
            <w:color w:val="1F3864"/>
            <w:u w:val="single"/>
          </w:rPr>
          <w:t xml:space="preserve">Barroso et al. 2018</w:t>
        </w:r>
      </w:hyperlink>
      <w:bookmarkEnd w:id="222"/>
      <w:r>
        <w:t xml:space="preserve">). This yields an amortized hardware cost </w:t>
      </w:r>
      <m:oMath>
        <m:r>
          <m:rPr>
            <m:sty m:val="i"/>
          </m:rPr>
          <w:rPr>
            <w:rFonts w:ascii="Cambria Math" w:hAnsi="Cambria Math"/>
          </w:rPr>
          <m:t xml:space="preserve">ρ</m:t>
        </m:r>
        <m:r>
          <m:rPr>
            <m:sty m:val="p"/>
          </m:rPr>
          <w:rPr>
            <w:rFonts w:ascii="Cambria Math" w:hAnsi="Cambria Math"/>
          </w:rPr>
          <m:t xml:space="preserve"> = $1.358</m:t>
        </m:r>
      </m:oMath>
      <w:r>
        <w:t xml:space="preserve">/hr. Networking costs are calibrated at </w:t>
      </w:r>
      <m:oMath>
        <m:r>
          <m:rPr>
            <m:sty m:val="i"/>
          </m:rPr>
          <w:rPr>
            <w:rFonts w:ascii="Cambria Math" w:hAnsi="Cambria Math"/>
          </w:rPr>
          <m:t xml:space="preserve">η</m:t>
        </m:r>
        <m:r>
          <m:rPr>
            <m:sty m:val="p"/>
          </m:rPr>
          <w:rPr>
            <w:rFonts w:ascii="Cambria Math" w:hAnsi="Cambria Math"/>
          </w:rPr>
          <m:t xml:space="preserve"> = $0.15</m:t>
        </m:r>
      </m:oMath>
      <w:r>
        <w:t xml:space="preserve">/hr, based on the same three-year horizon (</w:t>
      </w:r>
      <w:bookmarkStart w:id="223" w:name="Barroso2018txt"/>
      <w:hyperlink w:anchor="Barroso2018" w:history="1">
        <w:r>
          <w:rPr>
            <w:color w:val="1F3864"/>
            <w:u w:val="single"/>
          </w:rPr>
          <w:t xml:space="preserve">Barroso et al. 2018</w:t>
        </w:r>
      </w:hyperlink>
      <w:bookmarkEnd w:id="223"/>
      <w:r>
        <w:t xml:space="preserve">). GPU and networking equipment prices are assumed to be uniform across countries.</w:t>
      </w:r>
    </w:p>
    <w:p>
      <w:pPr>
        <w:spacing w:before="0" w:after="160"/>
        <w:ind w:firstLine="0"/>
        <w:jc w:val="both"/>
      </w:pPr>
      <w:r>
        <w:rPr>
          <w:rFonts w:ascii="Times New Roman" w:hAnsi="Times New Roman"/>
          <w:b w:val="0"/>
          <w:i/>
          <w:sz w:val="24"/>
        </w:rPr>
        <w:t xml:space="preserve">GPU upgrades. </w:t>
      </w:r>
      <w:r>
        <w:t>The calibration uses the NVIDIA H100, but successor GPUs (B200, shipping 2025) deliver roughly four times the training throughput at about 1kW. Higher power draw widens the absolute electricity cost gap across countries, modestly strengthening developing-country comparative advantage. Countries operating older-generation GPU-hours must discount to compete with competitors using newer hardware, potentially eroding their cost advantage. Our qualitative findings are therefore robust to GPU generation choices.</w:t>
      </w:r>
    </w:p>
    <w:p>
      <w:pPr>
        <w:spacing w:before="0" w:after="160"/>
        <w:ind w:firstLine="0"/>
        <w:jc w:val="both"/>
      </w:pPr>
      <w:r>
        <w:rPr>
          <w:rFonts w:ascii="Times New Roman" w:hAnsi="Times New Roman"/>
          <w:b w:val="0"/>
          <w:i/>
          <w:sz w:val="24"/>
        </w:rPr>
        <w:t xml:space="preserve">Latency degradation. </w:t>
      </w:r>
      <w:r>
        <w:t xml:space="preserve">The parameter </w:t>
      </w:r>
      <m:oMath>
        <m:r>
          <m:rPr>
            <m:sty m:val="i"/>
          </m:rPr>
          <w:rPr>
            <w:rFonts w:ascii="Cambria Math" w:hAnsi="Cambria Math"/>
          </w:rPr>
          <m:t xml:space="preserve">τ</m:t>
        </m:r>
      </m:oMath>
      <w:r>
        <w:t xml:space="preserve"> is set at </w:t>
      </w:r>
      <m:oMath>
        <m:r>
          <m:rPr>
            <m:sty m:val="i"/>
          </m:rPr>
          <w:rPr>
            <w:rFonts w:ascii="Cambria Math" w:hAnsi="Cambria Math"/>
          </w:rPr>
          <m:t xml:space="preserve">τ</m:t>
        </m:r>
        <m:r>
          <m:rPr>
            <m:sty m:val="p"/>
          </m:rPr>
          <w:rPr>
            <w:rFonts w:ascii="Cambria Math" w:hAnsi="Cambria Math"/>
          </w:rPr>
          <m:t xml:space="preserve"> = 0.0008</m:t>
        </m:r>
        <m:r>
          <m:rPr>
            <m:sty m:val="p"/>
          </m:rPr>
          <w:rPr>
            <w:rFonts w:ascii="Cambria Math" w:hAnsi="Cambria Math"/>
          </w:rPr>
          <m:t xml:space="preserve"> per ms</m:t>
        </m:r>
      </m:oMath>
      <w:r>
        <w:t xml:space="preserve">, implying that 100 ms of round-trip latency (roughly the intercontinental round-trip between Europe and East Asia) inflates inference cost by 8%, consistent with the finding in </w:t>
      </w:r>
      <w:bookmarkStart w:id="224" w:name="Deloitte2020txt"/>
      <w:hyperlink w:anchor="Deloitte2020" w:history="1">
        <w:r>
          <w:rPr>
            <w:color w:val="1F3864"/>
            <w:u w:val="single"/>
          </w:rPr>
          <w:t xml:space="preserve">Deloitte (2020)</w:t>
        </w:r>
      </w:hyperlink>
      <w:bookmarkEnd w:id="224"/>
      <w:r>
        <w:t xml:space="preserve"> for e-commerce. </w:t>
      </w:r>
    </w:p>
    <w:p>
      <w:pPr>
        <w:spacing w:before="0" w:after="160"/>
        <w:ind w:firstLine="0"/>
        <w:jc w:val="both"/>
      </w:pPr>
      <w:r>
        <w:rPr>
          <w:rFonts w:ascii="Times New Roman" w:hAnsi="Times New Roman"/>
          <w:b w:val="0"/>
          <w:i/>
          <w:sz w:val="24"/>
        </w:rPr>
        <w:t xml:space="preserve">Sovereignty premium. </w:t>
      </w: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is constructed from geopolitical distance, regulatory compatibility, and sanctions exposure, as specified in </w:t>
      </w:r>
      <w:bookmarkStart w:id="902" w:name="Eq2txt902"/>
      <w:hyperlink w:anchor="Eq2" w:history="1">
        <w:r>
          <w:rPr>
            <w:color w:val="1F3864"/>
            <w:u w:val="single"/>
          </w:rPr>
          <w:t xml:space="preserve">equation (2)</w:t>
        </w:r>
      </w:hyperlink>
      <w:bookmarkEnd w:id="902"/>
      <w:r>
        <w:t xml:space="preserve">, with coefficient weights </w:t>
      </w:r>
      <m:oMath>
        <m:sSub>
          <m:sSubPr/>
          <m:e>
            <m:r>
              <m:rPr>
                <m:sty m:val="i"/>
              </m:rPr>
              <w:rPr>
                <w:rFonts w:ascii="Cambria Math" w:hAnsi="Cambria Math"/>
              </w:rPr>
              <m:t xml:space="preserve">α</m:t>
            </m:r>
          </m:e>
          <m:sub>
            <m:r>
              <m:rPr>
                <m:sty m:val="i"/>
              </m:rPr>
              <w:rPr>
                <w:rFonts w:ascii="Cambria Math" w:hAnsi="Cambria Math"/>
              </w:rPr>
              <m:t xml:space="preserve">1</m:t>
            </m:r>
          </m:sub>
        </m:sSub>
        <m:r>
          <m:rPr>
            <m:sty m:val="p"/>
          </m:rPr>
          <w:rPr>
            <w:rFonts w:ascii="Cambria Math" w:hAnsi="Cambria Math"/>
          </w:rPr>
          <m:t xml:space="preserve"> = 0.08</m:t>
        </m:r>
      </m:oMath>
      <w:r>
        <w:t xml:space="preserve"> (geopolitical distance), </w:t>
      </w:r>
      <m:oMath>
        <m:sSub>
          <m:sSubPr/>
          <m:e>
            <m:r>
              <m:rPr>
                <m:sty m:val="i"/>
              </m:rPr>
              <w:rPr>
                <w:rFonts w:ascii="Cambria Math" w:hAnsi="Cambria Math"/>
              </w:rPr>
              <m:t xml:space="preserve">α</m:t>
            </m:r>
          </m:e>
          <m:sub>
            <m:r>
              <m:rPr>
                <m:sty m:val="i"/>
              </m:rPr>
              <w:rPr>
                <w:rFonts w:ascii="Cambria Math" w:hAnsi="Cambria Math"/>
              </w:rPr>
              <m:t xml:space="preserve">2</m:t>
            </m:r>
          </m:sub>
        </m:sSub>
        <m:r>
          <m:rPr>
            <m:sty m:val="p"/>
          </m:rPr>
          <w:rPr>
            <w:rFonts w:ascii="Cambria Math" w:hAnsi="Cambria Math"/>
          </w:rPr>
          <m:t xml:space="preserve"> = 0.04</m:t>
        </m:r>
      </m:oMath>
      <w:r>
        <w:t xml:space="preserve"> (regulatory incompatibility), and </w:t>
      </w:r>
      <m:oMath>
        <m:sSub>
          <m:sSubPr/>
          <m:e>
            <m:r>
              <m:rPr>
                <m:sty m:val="i"/>
              </m:rPr>
              <w:rPr>
                <w:rFonts w:ascii="Cambria Math" w:hAnsi="Cambria Math"/>
              </w:rPr>
              <m:t xml:space="preserve">α</m:t>
            </m:r>
          </m:e>
          <m:sub>
            <m:r>
              <m:rPr>
                <m:sty m:val="i"/>
              </m:rPr>
              <w:rPr>
                <w:rFonts w:ascii="Cambria Math" w:hAnsi="Cambria Math"/>
              </w:rPr>
              <m:t xml:space="preserve">3</m:t>
            </m:r>
          </m:sub>
        </m:sSub>
        <m:r>
          <m:rPr>
            <m:sty m:val="p"/>
          </m:rPr>
          <w:rPr>
            <w:rFonts w:ascii="Cambria Math" w:hAnsi="Cambria Math"/>
          </w:rPr>
          <m:t xml:space="preserve"> = 0.10</m:t>
        </m:r>
      </m:oMath>
      <w:r>
        <w:t xml:space="preserve"> (sanctions). For sanctioned pairs,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oMath>
      <w:r>
        <w:t xml:space="preserve"> (trade is prohibited). For allies with mutual data-adequacy agreements (e.g., EU member states),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For non-adversarial pairs without regulatory agreements,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falls in the range 0.05–0.10. </w:t>
      </w:r>
      <w:r>
        <w:rPr>
          <w:rStyle w:val="FootnoteReference"/>
        </w:rPr>
        <w:footnoteReference w:id="15"/>
      </w:r>
      <w:r>
        <w:t xml:space="preserve"> As a robustness check, we also report results under a uniform premium </w:t>
      </w:r>
      <m:oMath>
        <m:r>
          <m:rPr>
            <m:sty m:val="i"/>
          </m:rPr>
          <w:rPr>
            <w:rFonts w:ascii="Cambria Math" w:hAnsi="Cambria Math"/>
          </w:rPr>
          <m:t xml:space="preserve">λ</m:t>
        </m:r>
        <m:r>
          <m:rPr>
            <m:sty m:val="p"/>
          </m:rPr>
          <w:rPr>
            <w:rFonts w:ascii="Cambria Math" w:hAnsi="Cambria Math"/>
          </w:rPr>
          <m:t xml:space="preserve"> = 10%</m:t>
        </m:r>
      </m:oMath>
      <w:r>
        <w:t xml:space="preserve">. The training share of compute demand is </w:t>
      </w:r>
      <m:oMath>
        <m:r>
          <m:rPr>
            <m:sty m:val="i"/>
          </m:rPr>
          <w:rPr>
            <w:rFonts w:ascii="Cambria Math" w:hAnsi="Cambria Math"/>
          </w:rPr>
          <m:t xml:space="preserve">α</m:t>
        </m:r>
        <m:r>
          <m:rPr>
            <m:sty m:val="p"/>
          </m:rPr>
          <w:rPr>
            <w:rFonts w:ascii="Cambria Math" w:hAnsi="Cambria Math"/>
          </w:rPr>
          <m:t xml:space="preserve"> = 0.50</m:t>
        </m:r>
      </m:oMath>
      <w:r>
        <w:t xml:space="preserve">, within the industry range of 0.4–0.6 (</w:t>
      </w:r>
      <w:bookmarkStart w:id="225" w:name="Deloitte2025txt"/>
      <w:hyperlink w:anchor="Deloitte2025" w:history="1">
        <w:r>
          <w:rPr>
            <w:color w:val="1F3864"/>
            <w:u w:val="single"/>
          </w:rPr>
          <w:t xml:space="preserve">Deloitte 2025</w:t>
        </w:r>
      </w:hyperlink>
      <w:bookmarkEnd w:id="225"/>
      <w:r>
        <w:t xml:space="preserve">). Construction costs are amortized over 15 years.</w:t>
      </w:r>
    </w:p>
    <w:p>
      <w:pPr>
        <w:spacing w:before="0" w:after="160"/>
        <w:ind w:firstLine="0"/>
        <w:jc w:val="both"/>
      </w:pPr>
      <w:r>
        <w:rPr>
          <w:rFonts w:ascii="Times New Roman" w:hAnsi="Times New Roman"/>
          <w:b w:val="0"/>
          <w:i/>
          <w:sz w:val="24"/>
        </w:rPr>
        <w:t xml:space="preserve">Production efficiency. </w:t>
      </w:r>
      <w:r>
        <w:t xml:space="preserve">The production-efficiency index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oMath>
      <w:r>
        <w:t xml:space="preserve"> from </w:t>
      </w:r>
      <w:bookmarkStart w:id="903" w:name="Eq3txt903"/>
      <w:hyperlink w:anchor="Eq3" w:history="1">
        <w:r>
          <w:rPr>
            <w:color w:val="1F3864"/>
            <w:u w:val="single"/>
          </w:rPr>
          <w:t xml:space="preserve">equation (3)</w:t>
        </w:r>
      </w:hyperlink>
      <w:bookmarkEnd w:id="903"/>
      <w:r>
        <w:t xml:space="preserve"> combines a weighted geometric mean of governance quality and grid reliability (weight </w:t>
      </w:r>
      <m:oMath>
        <m:r>
          <m:rPr>
            <m:sty m:val="i"/>
          </m:rPr>
          <w:rPr>
            <w:rFonts w:ascii="Cambria Math" w:hAnsi="Cambria Math"/>
          </w:rPr>
          <m:t xml:space="preserve">ω</m:t>
        </m:r>
        <m:r>
          <m:rPr>
            <m:sty m:val="p"/>
          </m:rPr>
          <w:rPr>
            <w:rFonts w:ascii="Cambria Math" w:hAnsi="Cambria Math"/>
          </w:rPr>
          <m:t xml:space="preserve"> = 0.85</m:t>
        </m:r>
      </m:oMath>
      <w:r>
        <w:t xml:space="preserve"> on governance) with an institutional floor </w:t>
      </w:r>
      <m:oMath>
        <m:sSub>
          <m:sSubPr/>
          <m:e>
            <m:r>
              <m:rPr>
                <m:sty m:val="i"/>
              </m:rPr>
              <w:rPr>
                <w:rFonts w:ascii="Cambria Math" w:hAnsi="Cambria Math"/>
              </w:rPr>
              <m:t xml:space="preserve">ξ</m:t>
            </m:r>
          </m:e>
          <m:sub>
            <m:r>
              <m:rPr>
                <m:sty m:val="i"/>
              </m:rPr>
              <w:rPr>
                <w:rFonts w:ascii="Cambria Math" w:hAnsi="Cambria Math"/>
              </w:rPr>
              <m:t xml:space="preserve">floor</m:t>
            </m:r>
          </m:sub>
        </m:sSub>
        <m:r>
          <m:rPr>
            <m:sty m:val="p"/>
          </m:rPr>
          <w:rPr>
            <w:rFonts w:ascii="Cambria Math" w:hAnsi="Cambria Math"/>
          </w:rPr>
          <m:t xml:space="preserve"> = 0.50</m:t>
        </m:r>
      </m:oMath>
      <w:r>
        <w:t xml:space="preserve">. The asymmetric weighting reflects the enclave character of data center operations. Unlike general manufacturing, hyperscale facilities connect at transmission voltage with dedicated substations, maintain on-site diesel backup covering 48–72 hours, and operate battery UPS systems that bridge the seconds between grid failure and generator start. General grid reliability is therefore a weak predictor of data center uptime. Governance, by contrast, captures contract enforcement, expropriation risk, and regulatory stability — none of which can be mitigated through private infrastructure investment. The institutional floor reflects the minimum operational quality achievable when a hyperscaler structures the investment through international arbitration, a dedicated power purchase agreement, and special economic zone provisions (</w:t>
      </w:r>
      <w:bookmarkStart w:id="257" w:name="Farole2011txt"/>
      <w:hyperlink w:anchor="Farole2011" w:history="1">
        <w:r>
          <w:rPr>
            <w:color w:val="1F3864"/>
            <w:u w:val="single"/>
          </w:rPr>
          <w:t xml:space="preserve">Farole 2011</w:t>
        </w:r>
      </w:hyperlink>
      <w:bookmarkEnd w:id="257"/>
      <w:r>
        <w:t xml:space="preserve">; </w:t>
      </w:r>
      <w:bookmarkStart w:id="248" w:name="WorldBank2017txt"/>
      <w:hyperlink w:anchor="WorldBank2017" w:history="1">
        <w:r>
          <w:rPr>
            <w:color w:val="1F3864"/>
            <w:u w:val="single"/>
          </w:rPr>
          <w:t xml:space="preserve">World Bank 2017</w:t>
        </w:r>
      </w:hyperlink>
      <w:bookmarkEnd w:id="248"/>
      <w:r>
        <w:t xml:space="preserve">; </w:t>
      </w:r>
      <w:bookmarkStart w:id="226" w:name="Frick2019txt"/>
      <w:hyperlink w:anchor="Frick2019" w:history="1">
        <w:r>
          <w:rPr>
            <w:color w:val="1F3864"/>
            <w:u w:val="single"/>
          </w:rPr>
          <w:t xml:space="preserve">Frick, Rodríguez-Pose, and Wong 2019</w:t>
        </w:r>
      </w:hyperlink>
      <w:bookmarkEnd w:id="226"/>
      <w:r>
        <w:t xml:space="preserve">). For OECD countries with strong institutions and negligible outages,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 ≈ 1</m:t>
        </m:r>
      </m:oMath>
      <w:r>
        <w:t xml:space="preserve">. Developing countries face moderate penalties (e.g., Kyrgyzstan: 0.76, Uzbekistan: 0.74, Ethiopia: 0.71). The sensitivity of results to both </w:t>
      </w:r>
      <m:oMath>
        <m:r>
          <m:rPr>
            <m:sty m:val="i"/>
          </m:rPr>
          <w:rPr>
            <w:rFonts w:ascii="Cambria Math" w:hAnsi="Cambria Math"/>
          </w:rPr>
          <m:t xml:space="preserve">ω</m:t>
        </m:r>
      </m:oMath>
      <w:r>
        <w:t xml:space="preserve"> and </w:t>
      </w:r>
      <m:oMath>
        <m:sSub>
          <m:sSubPr/>
          <m:e>
            <m:r>
              <m:rPr>
                <m:sty m:val="i"/>
              </m:rPr>
              <w:rPr>
                <w:rFonts w:ascii="Cambria Math" w:hAnsi="Cambria Math"/>
              </w:rPr>
              <m:t xml:space="preserve">ξ</m:t>
            </m:r>
          </m:e>
          <m:sub>
            <m:r>
              <m:rPr>
                <m:sty m:val="i"/>
              </m:rPr>
              <w:rPr>
                <w:rFonts w:ascii="Cambria Math" w:hAnsi="Cambria Math"/>
              </w:rPr>
              <m:t xml:space="preserve">floor</m:t>
            </m:r>
          </m:sub>
        </m:sSub>
      </m:oMath>
      <w:r>
        <w:t xml:space="preserve"> is examined in Section 7. ξ ranges from 0.81 to 1.00 within the OECD, and the tight cross-country cost spread (≈20%) means small efficiency differences reshuffle adjacent ranks. Even countries with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 = 1</m:t>
        </m:r>
      </m:oMath>
      <w:r>
        <w:t xml:space="preserve"> can shift in rank because penalizing low-ξ competitors mechanically raises others.</w:t>
      </w:r>
    </w:p>
    <w:p>
      <w:pPr>
        <w:spacing w:before="0" w:after="160"/>
        <w:ind w:firstLine="0"/>
        <w:jc w:val="both"/>
      </w:pPr>
      <w:bookmarkStart w:id="103" w:name="Table2txt"/>
      <w:hyperlink w:anchor="Table2" w:history="1">
        <w:r>
          <w:rPr>
            <w:color w:val="1F3864"/>
            <w:u w:val="single"/>
          </w:rPr>
          <w:t xml:space="preserve">Table 2</w:t>
        </w:r>
      </w:hyperlink>
      <w:bookmarkEnd w:id="103"/>
      <w:r>
        <w:t xml:space="preserve"> reports all model parameters. Country-specific values, including electricity prices, temperatures, construction costs, and resulting unit costs, are reported in </w:t>
      </w:r>
      <w:bookmarkStart w:id="100" w:name="TableA1txt"/>
      <w:hyperlink w:anchor="TableA1" w:history="1">
        <w:r>
          <w:rPr>
            <w:color w:val="1F3864"/>
            <w:u w:val="single"/>
          </w:rPr>
          <w:t xml:space="preserve">Table A1</w:t>
        </w:r>
      </w:hyperlink>
      <w:bookmarkEnd w:id="100"/>
      <w:r>
        <w:t>.</w:t>
      </w:r>
    </w:p>
    <w:p>
      <w:pPr>
        <w:pStyle w:val="Heading2"/>
      </w:pPr>
      <w:r>
        <w:rPr>
          <w:rFonts w:ascii="Times New Roman" w:hAnsi="Times New Roman"/>
          <w:b w:val="0"/>
          <w:i/>
          <w:color w:val="2F5496"/>
          <w:sz w:val="24"/>
        </w:rPr>
        <w:t>6.2 Cost Rankings and Trade Patterns</w:t>
      </w:r>
    </w:p>
    <w:p>
      <w:pPr>
        <w:spacing w:before="0" w:after="160"/>
        <w:ind w:firstLine="0"/>
        <w:jc w:val="both"/>
      </w:pPr>
      <w:bookmarkStart w:id="150" w:name="Figure1calstxt"/>
      <w:hyperlink w:anchor="Figure1cals" w:history="1">
        <w:r>
          <w:rPr>
            <w:color w:val="1F3864"/>
            <w:u w:val="single"/>
          </w:rPr>
          <w:t xml:space="preserve">Figure 1</w:t>
        </w:r>
      </w:hyperlink>
      <w:bookmarkEnd w:id="150"/>
      <w:r>
        <w:t xml:space="preserve"> summarizes the calibration strategy. The analysis proceeds in two steps: first adjusting production costs, then applying trade frictions.</w:t>
      </w:r>
    </w:p>
    <w:p>
      <w:pPr>
        <w:spacing w:before="0" w:after="160"/>
        <w:ind w:firstLine="0"/>
        <w:jc w:val="both"/>
      </w:pPr>
      <w:r>
        <w:t xml:space="preserve">Under observed electricity tariffs and without efficiency adjustment, the cheapest producer in our sample of 85 countries is Iran ($1.41/hr), followed by Turkmenistan ($1.42/hr) and Ethiopia ($1.43/hr) (Column (1) of </w:t>
      </w:r>
      <w:bookmarkStart w:id="112" w:name="Table3txt"/>
      <w:hyperlink w:anchor="Table3" w:history="1">
        <w:r>
          <w:rPr>
            <w:color w:val="1F3864"/>
            <w:u w:val="single"/>
          </w:rPr>
          <w:t xml:space="preserve">Table 3a</w:t>
        </w:r>
      </w:hyperlink>
      <w:bookmarkEnd w:id="112"/>
      <w:r>
        <w:t xml:space="preserve">). But this ranking is misleading. Iran’s headline electricity cost rests on one of the world’s largest fossil fuel subsidies. Turkmenistan, Algeria, Qatar, and several other low-cost producers face similar distortions. </w:t>
      </w:r>
    </w:p>
    <w:p>
      <w:pPr>
        <w:spacing w:before="0" w:after="160"/>
        <w:ind w:firstLine="0"/>
        <w:jc w:val="both"/>
      </w:pPr>
      <w:r>
        <w:t xml:space="preserve">We replace subsidized tariffs with cost-recovery prices to distinguish real comparative advantage from fiscal artifact. The cost-recovery prices are defined as the long-run marginal cost (LRMC) of the dominant generation technology at opportunity-cost fuel prices (</w:t>
      </w:r>
      <w:bookmarkStart w:id="249" w:name="IMF2025txt"/>
      <w:hyperlink w:anchor="IMF2025" w:history="1">
        <w:r>
          <w:rPr>
            <w:color w:val="1F3864"/>
            <w:u w:val="single"/>
          </w:rPr>
          <w:t xml:space="preserve">IMF 2025</w:t>
        </w:r>
      </w:hyperlink>
      <w:bookmarkEnd w:id="249"/>
      <w:r>
        <w:t xml:space="preserve">, </w:t>
      </w:r>
      <w:bookmarkStart w:id="227" w:name="Lazard2025txt"/>
      <w:hyperlink w:anchor="Lazard2025" w:history="1">
        <w:r>
          <w:rPr>
            <w:color w:val="1F3864"/>
            <w:u w:val="single"/>
          </w:rPr>
          <w:t xml:space="preserve">Lazard 2025</w:t>
        </w:r>
      </w:hyperlink>
      <w:bookmarkEnd w:id="227"/>
      <w:r>
        <w:t xml:space="preserve">). We apply this adjustment to 13 countries whose retail electricity prices fall below the estimated LRMC. </w:t>
      </w:r>
      <w:r>
        <w:rPr>
          <w:rStyle w:val="FootnoteReference"/>
        </w:rPr>
        <w:footnoteReference w:id="16"/>
      </w:r>
      <w:r>
        <w:t xml:space="preserve"> The subsidy gap ranges from $0.019 to $0.080/kWh. For Iran, a 100 MW IT-load data center would receive roughly $93 million per year in implicit fiscal transfer. At hyperscale scale, such subsidies are fiscally unsustainable. The resulting cost-recovery ranking (column (2) of </w:t>
      </w:r>
      <w:hyperlink w:anchor="Table3" w:history="1">
        <w:r>
          <w:rPr>
            <w:color w:val="1F3864"/>
            <w:u w:val="single"/>
          </w:rPr>
          <w:t xml:space="preserve">Table 3a</w:t>
        </w:r>
      </w:hyperlink>
      <w:r>
        <w:t>) shifts the top of the ranking toward hydropower-rich countries: Kyrgyzstan, Canada, Ethiopia, Kosovo, and Tajikistan. Iran drops from first to 24th. 41 countries change their trade regimes.</w:t>
      </w:r>
    </w:p>
    <w:p>
      <w:pPr>
        <w:spacing w:before="0" w:after="160"/>
        <w:ind w:firstLine="0"/>
        <w:jc w:val="both"/>
      </w:pPr>
      <w:r>
        <w:t xml:space="preserve">Cost advantages must be weighed against institutional quality. While data centers can mitigate grid unreliability through private infrastructure, governance weaknesses — contract enforcement, expropriation risk, regulatory instability — cannot be engineered away. Dividing the cost-recovery costs by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oMath>
      <w:r>
        <w:t xml:space="preserve"> penalizes countries primarily for weak governance (weight 0.85) and secondarily for unreliable grids (weight 0.15). Column (3) of </w:t>
      </w:r>
      <w:hyperlink w:anchor="Table3" w:history="1">
        <w:r>
          <w:rPr>
            <w:color w:val="1F3864"/>
            <w:u w:val="single"/>
          </w:rPr>
          <w:t xml:space="preserve">Table 3a</w:t>
        </w:r>
      </w:hyperlink>
      <w:r>
        <w:t xml:space="preserve"> reports the efficiency-adjusted ranking (</w:t>
      </w:r>
      <w:bookmarkStart w:id="141" w:name="TableA2txt"/>
      <w:hyperlink w:anchor="TableA2" w:history="1">
        <w:r>
          <w:rPr>
            <w:color w:val="1F3864"/>
            <w:u w:val="single"/>
          </w:rPr>
          <w:t xml:space="preserve">Table A2</w:t>
        </w:r>
      </w:hyperlink>
      <w:bookmarkEnd w:id="141"/>
      <w:r>
        <w:t xml:space="preserve"> extends it to all countries). Under cost-recovery pricing with efficiency adjustment, the five cheapest producers are </w:t>
      </w:r>
      <w:r>
        <w:t xml:space="preserve">Canada, Norway, Finland, Sweden, and South Africa. </w:t>
      </w:r>
      <w:r>
        <w:t>The Δ column shows the rank change from raw tariffs to the preferred specification (column 1 to column 4): Iran drops 82 places</w:t>
      </w:r>
      <w:r>
        <w:t>, Kyrgyzstan drops 63</w:t>
      </w:r>
      <w:r>
        <w:t xml:space="preserve">, while Switzerland rises 60 places, </w:t>
      </w:r>
      <w:r>
        <w:t>and Austria rises 57</w:t>
      </w:r>
      <w:r>
        <w:t xml:space="preserve">. Nine of the ten cheapest countries under the pure engineering cost ranking fall out of the top ten after efficiency adjustment, replaced by countries with stronger governance. Because hardware and networking costs account for roughly 94% of engineering costs, the cross-country cost spread is narrow (about 20%). Even modest governance penalties are large relative to this thin margin, so institutional quality can easily dominate the cost ranking. An engineering cost advantage is therefore necessary but not sufficient for FLOP exporting. </w:t>
      </w:r>
      <w:bookmarkStart w:id="121" w:name="Figure2txt"/>
      <w:hyperlink w:anchor="Figure2" w:history="1">
        <w:r>
          <w:rPr>
            <w:color w:val="1F3864"/>
            <w:u w:val="single"/>
          </w:rPr>
          <w:t xml:space="preserve">Figure 2</w:t>
        </w:r>
      </w:hyperlink>
      <w:bookmarkEnd w:id="121"/>
      <w:r>
        <w:t xml:space="preserve"> illustrates the resulting rank reshuffling. </w:t>
      </w:r>
    </w:p>
    <w:p>
      <w:pPr>
        <w:spacing w:before="0" w:after="160"/>
        <w:ind w:firstLine="0"/>
        <w:jc w:val="both"/>
      </w:pPr>
      <w:r>
        <w:t>The preceding analysis identifies which countries can produce cheaply. The bilateral sovereignty premium determines which countries will trade.</w:t>
      </w:r>
    </w:p>
    <w:p>
      <w:pPr>
        <w:spacing w:before="0" w:after="160"/>
        <w:ind w:firstLine="0"/>
        <w:jc w:val="both"/>
      </w:pP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from </w:t>
      </w:r>
      <w:bookmarkStart w:id="904" w:name="Eq2txt904"/>
      <w:hyperlink w:anchor="Eq2" w:history="1">
        <w:r>
          <w:rPr>
            <w:color w:val="1F3864"/>
            <w:u w:val="single"/>
          </w:rPr>
          <w:t xml:space="preserve">equation (2)</w:t>
        </w:r>
      </w:hyperlink>
      <w:bookmarkEnd w:id="904"/>
      <w:r>
        <w:t xml:space="preserve"> reshapes trade patterns along geopolitical lines. Between allies with mutual data adequacy agreements (e.g., EU member states), the effective premium is near zero. Between geopolitical adversaries, it is effectively infinite—the United States would not source training from Iran regardless of cost, and current sanctions make such transactions illegal. Column (4) of </w:t>
      </w:r>
      <w:bookmarkStart w:id="115" w:name="Table3btxt"/>
      <w:hyperlink w:anchor="Table3b" w:history="1">
        <w:r>
          <w:rPr>
            <w:color w:val="1F3864"/>
            <w:u w:val="single"/>
          </w:rPr>
          <w:t xml:space="preserve">Table 3b</w:t>
        </w:r>
      </w:hyperlink>
      <w:bookmarkEnd w:id="115"/>
      <w:r>
        <w:t xml:space="preserve"> reports the bilateral specification. The last column reports the switching threshold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from Proposition 3: negative values indicate countries cheap enough to export (e.g., Canada at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−9.5%</m:t>
        </m:r>
      </m:oMath>
      <w:r>
        <w:t xml:space="preserve">), while positive values indicate the minimum premium for domestic production (e.g., Japan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-2.1%</m:t>
        </m:r>
      </m:oMath>
      <w:r>
        <w:t xml:space="preserve">, China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9.2%</m:t>
        </m:r>
      </m:oMath>
      <w:r>
        <w:t xml:space="preserve">, Kyrgyzstan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16.1%</m:t>
        </m:r>
      </m:oMath>
      <w:r>
        <w:t>). The bilateral sovereignty premium is particularly powerful for inference, since the latency markup within Europe is moderate (10–40 ms, adding 1–3%), and even a small domestic preference can tip the decision away from importing.</w:t>
      </w:r>
    </w:p>
    <w:p>
      <w:pPr>
        <w:spacing w:before="0" w:after="160"/>
        <w:ind w:firstLine="0"/>
        <w:jc w:val="both"/>
      </w:pPr>
      <w:r>
        <w:rPr>
          <w:rFonts w:ascii="Times New Roman" w:hAnsi="Times New Roman"/>
          <w:b w:val="0"/>
          <w:i/>
          <w:sz w:val="24"/>
        </w:rPr>
        <w:t xml:space="preserve">Trade flows under capacity constraints. </w:t>
      </w:r>
      <w:r>
        <w:t xml:space="preserve">Weighting the sourcing patterns by demand shares from </w:t>
      </w:r>
      <w:bookmarkStart w:id="905" w:name="Eq4txt905"/>
      <w:hyperlink w:anchor="Eq4" w:history="1">
        <w:r>
          <w:rPr>
            <w:color w:val="1F3864"/>
            <w:u w:val="single"/>
          </w:rPr>
          <w:t xml:space="preserve">equation (4)</w:t>
        </w:r>
      </w:hyperlink>
      <w:bookmarkEnd w:id="905"/>
      <w:r>
        <w:t xml:space="preserve"> and applying capacity constraints from Section 3.4, 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$1.61</m:t>
        </m:r>
      </m:oMath>
      <w:r>
        <w:t xml:space="preserve">/hr, set by the marginal exporter’s cost. Training demand is served by 1 exporter (HHI = 1.00), confirming Proposition 2. </w:t>
      </w:r>
      <w:r>
        <w:t>Inference is more dispersed, with the top five suppliers being Canada (48%), Japan (28%), Finland (7%), Norway (7%), and Singapore (5%), collectively accounting for 95% of global inference demand (HHI = 0.32). Under the bilateral sovereignty premium, most training demand is served domestically, and the smaller export market is served by 1 exporter (HHI = 1.00) at $1.61/hr.</w:t>
      </w:r>
    </w:p>
    <w:p>
      <w:pPr>
        <w:spacing w:before="0" w:after="160"/>
        <w:ind w:firstLine="0"/>
        <w:jc w:val="both"/>
      </w:pPr>
      <w:r>
        <w:rPr>
          <w:rFonts w:ascii="Times New Roman" w:hAnsi="Times New Roman"/>
          <w:b w:val="0"/>
          <w:i/>
          <w:sz w:val="24"/>
        </w:rPr>
        <w:t xml:space="preserve">Major demand centers. </w:t>
      </w:r>
      <w:r>
        <w:t xml:space="preserve">The model’s predictions vary across major AI demand centers because each faces a different latency geography. For the United States, the cost-recovery optimum sources training from the cheapest available producer, and inference from Canada. For Germany, inference is sourced from Norway, for the United Kingdom from Finland, and for France from Finland. For China, the cheapest source of inference is Japan, a neighboring country with hydropower-based electricity. These patterns illustrate the model’s core prediction that inference organizes around latency-bounded regional hubs, and each major market has a distinct optimal supplier determined by geography. </w:t>
      </w:r>
    </w:p>
    <w:p>
      <w:pPr>
        <w:spacing w:before="0" w:after="160"/>
        <w:ind w:firstLine="0"/>
        <w:jc w:val="both"/>
      </w:pPr>
      <w:r>
        <w:t>Under cost-recovery pricing, the narrow cost spread means that even a 10% sovereignty premium is sufficient to make domestic training viable for nearly all countries, leaving the share of global training demand available to foreign exporters negligible. Raising the premium to 20% shifts 1 additional country to domestic production, but the marginal effect is small. Inference exports are more resilient to sovereignty premia because the latency advantage of proximity partially insulates regional hubs.</w:t>
      </w:r>
    </w:p>
    <w:p>
      <w:pPr>
        <w:spacing w:before="0" w:after="160"/>
        <w:ind w:firstLine="0"/>
        <w:jc w:val="both"/>
      </w:pPr>
      <w:r>
        <w:rPr>
          <w:rFonts w:ascii="Times New Roman" w:hAnsi="Times New Roman"/>
          <w:b w:val="0"/>
          <w:i/>
          <w:sz w:val="24"/>
        </w:rPr>
        <w:t xml:space="preserve">Welfare cost of sovereignty. </w:t>
      </w:r>
      <w:r>
        <w:t xml:space="preserve">The bilateral sovereignty premium imposes a welfare cost with two components, an import markup (importers pay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per unit above the competitive price) and an allocative inefficiency (countries with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produce domestically at above-world-price costs). Under capacity constraints, both components are smaller than in the unconstrained model because the higher world price narrows the gap between domestic and import costs. The demand-weighted welfare cost is 3.2% of average compute spending, comparable to the 0.2–10% welfare losses from trade barriers estimated for goods trade (</w:t>
      </w:r>
      <w:bookmarkStart w:id="228" w:name="EatonKortum2002txt"/>
      <w:hyperlink w:anchor="EatonKortum2002" w:history="1">
        <w:r>
          <w:rPr>
            <w:color w:val="1F3864"/>
            <w:u w:val="single"/>
          </w:rPr>
          <w:t xml:space="preserve">Eaton and Kortum 2002</w:t>
        </w:r>
      </w:hyperlink>
      <w:bookmarkEnd w:id="228"/>
      <w:r>
        <w:t xml:space="preserve">, </w:t>
      </w:r>
      <w:bookmarkStart w:id="250" w:name="ACR2012txt"/>
      <w:hyperlink w:anchor="ACR2012" w:history="1">
        <w:r>
          <w:rPr>
            <w:color w:val="1F3864"/>
            <w:u w:val="single"/>
          </w:rPr>
          <w:t xml:space="preserve">Arkolakis et al. 2012</w:t>
        </w:r>
      </w:hyperlink>
      <w:bookmarkEnd w:id="250"/>
      <w:r>
        <w:t xml:space="preserve">).</w:t>
      </w:r>
    </w:p>
    <w:p>
      <w:pPr>
        <w:spacing w:before="0" w:after="160"/>
        <w:ind w:firstLine="0"/>
        <w:jc w:val="both"/>
      </w:pPr>
      <w:r>
        <w:t xml:space="preserve">The sovereignty premium deserves scrutiny. Some domestic processing preference is justified for genuinely confidential data (e.g., military intelligence, health records, and national statistical systems). But much of the current policy push, particularly in the EU, extends the sovereignty logic far beyond these cases to cover routine commercial computation that carries no security risk. The welfare cost is not trivial. As shown above, the bilateral premium already shifts most countries toward domestic production, forgoing the cost savings from specialization. Developing countries in Central Asia and Africa are likely to follow the EU template, imposing data localization requirements that their small markets cannot efficiently serve. Natural FLOP exporters may simultaneously erect sovereignty barriers against importing from neighbors, forgoing the regional specialization gains the model predicts. The EU’s GDPR and AI Act already segment the compute market along regulatory lines, reinforcing the sovereignty premium as a structural feature. The </w:t>
      </w:r>
      <w:bookmarkStart w:id="229" w:name="WorldBank2025txt"/>
      <w:hyperlink w:anchor="WorldBank2025" w:history="1">
        <w:r>
          <w:rPr>
            <w:color w:val="1F3864"/>
            <w:u w:val="single"/>
          </w:rPr>
          <w:t xml:space="preserve">World Bank (2025)</w:t>
        </w:r>
      </w:hyperlink>
      <w:bookmarkEnd w:id="229"/>
      <w:r>
        <w:t xml:space="preserve"> frames this as the central policy choice: building domestic capacity versus securing affordable access to international cloud services.</w:t>
      </w:r>
    </w:p>
    <w:p>
      <w:pPr>
        <w:pStyle w:val="Heading1"/>
      </w:pPr>
      <w:r>
        <w:rPr>
          <w:rFonts w:ascii="Times New Roman" w:hAnsi="Times New Roman"/>
          <w:b/>
          <w:color w:val="2F5496"/>
          <w:sz w:val="28"/>
        </w:rPr>
        <w:t>7. Robustness and Extensions</w:t>
      </w:r>
    </w:p>
    <w:p>
      <w:pPr>
        <w:pStyle w:val="Heading2"/>
      </w:pPr>
      <w:r>
        <w:rPr>
          <w:rFonts w:ascii="Times New Roman" w:hAnsi="Times New Roman"/>
          <w:b w:val="0"/>
          <w:i/>
          <w:color w:val="2F5496"/>
          <w:sz w:val="24"/>
        </w:rPr>
        <w:t>7.1 Robustness and Caveats</w:t>
      </w:r>
    </w:p>
    <w:p>
      <w:pPr>
        <w:spacing w:before="0" w:after="160"/>
        <w:ind w:firstLine="0"/>
        <w:jc w:val="both"/>
      </w:pPr>
      <w:r>
        <w:t>The calibration in Section 6 adjusts for energy subsidies and institutional quality, but several constraints remain outside the model. GPU export controls bar Iran, Russia, and Belarus from acquiring current-generation hardware, effectively excluding them regardless of cost. Water scarcity constrains cooling in Iran, Turkmenistan, Egypt, and Saudi Arabia, where data center water consumption would compete with agriculture and residential use. These entry barriers are not captured by ξ or by cost-recovery pricing, and they further narrow the set of viable exporters.</w:t>
      </w:r>
    </w:p>
    <w:p>
      <w:pPr>
        <w:spacing w:before="0" w:after="160"/>
        <w:ind w:firstLine="0"/>
        <w:jc w:val="both"/>
      </w:pPr>
      <w:r>
        <w:t>Even after cost-recovery adjustment, fiscal sustainability remains a concern. Regulated tariffs in many developing countries cover operating expenses but not the full capital cost of generation, transmission, and distribution. State-owned enterprises accumulate quasi-fiscal deficits eventually borne by taxpayers. At hyperscale, exporting compute while the domestic energy sector cannot maintain its capital stock is politically unsustainable. Governments face a choice between raising data center tariffs, maintaining subsidies at growing fiscal cost, or capping capacity.</w:t>
      </w:r>
    </w:p>
    <w:p>
      <w:pPr>
        <w:spacing w:before="0" w:after="160"/>
        <w:ind w:firstLine="0"/>
        <w:jc w:val="both"/>
      </w:pPr>
      <w:r>
        <w:rPr>
          <w:rFonts w:ascii="Times New Roman" w:hAnsi="Times New Roman"/>
          <w:b w:val="0"/>
          <w:i/>
          <w:sz w:val="24"/>
        </w:rPr>
        <w:t xml:space="preserve">Endogenous electricity prices. </w:t>
      </w:r>
      <w:r>
        <w:t xml:space="preserve">The model treats electricity prices as exogenous. For small, cheap-energy countries that rank highest in </w:t>
      </w:r>
      <w:hyperlink w:anchor="TableA1" w:history="1">
        <w:r>
          <w:rPr>
            <w:color w:val="1F3864"/>
            <w:u w:val="single"/>
          </w:rPr>
          <w:t xml:space="preserve">Table A1</w:t>
        </w:r>
      </w:hyperlink>
      <w:r>
        <w:t xml:space="preserve">, a hyperscale data center can be large relative to the host grid. Kyrgyzstan’s 3,800 MW grid would face significant strain from a single 100 MW facility consuming roughly 3% of national output. At multi-facility scale, data centers would become the dominant industrial load, competing with residential heating in winter and likely triggering regulatory intervention. The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partially addresses this by capping each country’s output, but the fixed-price assumption means cost advantages in </w:t>
      </w:r>
      <w:hyperlink w:anchor="TableA1" w:history="1">
        <w:r>
          <w:rPr>
            <w:color w:val="1F3864"/>
            <w:u w:val="single"/>
          </w:rPr>
          <w:t xml:space="preserve">Table A1</w:t>
        </w:r>
      </w:hyperlink>
      <w:r>
        <w:t xml:space="preserve"> are upper bounds. An extension with upward-sloping supply curves would compress these advantages and narrow the set of viable exporters.</w:t>
      </w:r>
    </w:p>
    <w:p>
      <w:pPr>
        <w:spacing w:before="0" w:after="160"/>
        <w:ind w:firstLine="0"/>
        <w:jc w:val="both"/>
      </w:pPr>
      <w:r>
        <w:rPr>
          <w:rFonts w:ascii="Times New Roman" w:hAnsi="Times New Roman"/>
          <w:b w:val="0"/>
          <w:i/>
          <w:sz w:val="24"/>
        </w:rPr>
        <w:t xml:space="preserve">Cost of capital. </w:t>
      </w:r>
      <w:r>
        <w:t xml:space="preserve">The calibration assumes uniform financing via straight-line depreciation. In practice, the financing gap is large (</w:t>
      </w:r>
      <w:bookmarkStart w:id="230" w:name="Calcaterra2024txt"/>
      <w:hyperlink w:anchor="Calcaterra2024" w:history="1">
        <w:r>
          <w:rPr>
            <w:color w:val="1F3864"/>
            <w:u w:val="single"/>
          </w:rPr>
          <w:t xml:space="preserve">Calcaterra et al. 2024</w:t>
        </w:r>
      </w:hyperlink>
      <w:bookmarkEnd w:id="230"/>
      <w:r>
        <w:t xml:space="preserve">). An OECD hyperscaler at 8% WACC faces hardware costs of $1.58/hr, while a developing-country operator at 18% pays $1.87 — a $0.29 gap on hardware alone, widening to $0.37 including construction, roughly four times the electricity cost spread across the top 20 countries. If hyperscalers finance at their own WACC regardless of host country, baseline rankings hold. If locally financed, the same institutional weaknesses that lower ξ also raise the country risk premium. The uniform-financing assumption therefore overstates developing-country competitiveness.</w:t>
      </w:r>
    </w:p>
    <w:p>
      <w:pPr>
        <w:spacing w:before="0" w:after="160"/>
        <w:ind w:firstLine="0"/>
        <w:jc w:val="both"/>
      </w:pPr>
      <w:r>
        <w:rPr>
          <w:rFonts w:ascii="Times New Roman" w:hAnsi="Times New Roman"/>
          <w:b w:val="0"/>
          <w:i/>
          <w:sz w:val="24"/>
        </w:rPr>
        <w:t xml:space="preserve">Hardware prices. </w:t>
      </w:r>
      <w:r>
        <w:t xml:space="preserve">In practice, export controls, logistics costs, insurance, and local distribution markups can raise effective GPU prices by 5–15% in developing countries. A 10% GPU price premium would add roughly $0.10/hr to unit costs, substantially eroding the thin cost advantages documented in </w:t>
      </w:r>
      <w:hyperlink w:anchor="TableA1" w:history="1">
        <w:r>
          <w:rPr>
            <w:color w:val="1F3864"/>
            <w:u w:val="single"/>
          </w:rPr>
          <w:t xml:space="preserve">Table A1</w:t>
        </w:r>
      </w:hyperlink>
      <w:r>
        <w:t>. This assumption thus favors developing-country exporters and should be kept in mind when interpreting the calibration results.</w:t>
      </w:r>
    </w:p>
    <w:p>
      <w:pPr>
        <w:spacing w:before="0" w:after="160"/>
        <w:ind w:firstLine="0"/>
        <w:jc w:val="both"/>
      </w:pPr>
      <w:r>
        <w:rPr>
          <w:rFonts w:ascii="Times New Roman" w:hAnsi="Times New Roman"/>
          <w:b w:val="0"/>
          <w:i/>
          <w:sz w:val="24"/>
        </w:rPr>
        <w:t xml:space="preserve">Sensitivity analysis. </w:t>
      </w:r>
      <w:r>
        <w:t xml:space="preserve">Cost rankings are robust to substantial parameter variation. Across five scenarios — electricity prices ±$0.01/kWh, GPU price ±20%, and PUE capped at 1.20 — the Spearman rank correlation with the baseline never falls below 0.999, the top five countries are unchanged in three of five cases, and the training price shifts by at most $0.275/hr. </w:t>
      </w:r>
      <w:bookmarkStart w:id="143" w:name="TableA3txt"/>
      <w:hyperlink w:anchor="TableA3" w:history="1">
        <w:r>
          <w:rPr>
            <w:color w:val="1F3864"/>
            <w:u w:val="single"/>
          </w:rPr>
          <w:t xml:space="preserve">Table A3</w:t>
        </w:r>
      </w:hyperlink>
      <w:bookmarkEnd w:id="143"/>
      <w:r>
        <w:t xml:space="preserve"> reports full results.</w:t>
      </w:r>
    </w:p>
    <w:p>
      <w:pPr>
        <w:spacing w:before="0" w:after="160"/>
        <w:ind w:firstLine="0"/>
        <w:jc w:val="both"/>
      </w:pPr>
      <w:r>
        <w:rPr>
          <w:rFonts w:ascii="Times New Roman" w:hAnsi="Times New Roman"/>
          <w:b w:val="0"/>
          <w:i/>
          <w:sz w:val="24"/>
        </w:rPr>
        <w:t xml:space="preserve">Efficiency parameters. </w:t>
      </w:r>
      <w:r>
        <w:t xml:space="preserve">The baseline assigns weight </w:t>
      </w:r>
      <m:oMath>
        <m:r>
          <m:rPr>
            <m:sty m:val="i"/>
          </m:rPr>
          <w:rPr>
            <w:rFonts w:ascii="Cambria Math" w:hAnsi="Cambria Math"/>
          </w:rPr>
          <m:t xml:space="preserve">ω</m:t>
        </m:r>
        <m:r>
          <m:rPr>
            <m:sty m:val="p"/>
          </m:rPr>
          <w:rPr>
            <w:rFonts w:ascii="Cambria Math" w:hAnsi="Cambria Math"/>
          </w:rPr>
          <m:t xml:space="preserve"> = 0.85</m:t>
        </m:r>
      </m:oMath>
      <w:r>
        <w:t xml:space="preserve"> to governance and 0.15 to grid reliability, with an institutional floor </w:t>
      </w:r>
      <m:oMath>
        <m:sSub>
          <m:sSubPr/>
          <m:e>
            <m:r>
              <m:rPr>
                <m:sty m:val="i"/>
              </m:rPr>
              <w:rPr>
                <w:rFonts w:ascii="Cambria Math" w:hAnsi="Cambria Math"/>
              </w:rPr>
              <m:t xml:space="preserve">ξ</m:t>
            </m:r>
          </m:e>
          <m:sub>
            <m:r>
              <m:rPr>
                <m:sty m:val="i"/>
              </m:rPr>
              <w:rPr>
                <w:rFonts w:ascii="Cambria Math" w:hAnsi="Cambria Math"/>
              </w:rPr>
              <m:t xml:space="preserve">floor</m:t>
            </m:r>
          </m:sub>
        </m:sSub>
        <m:r>
          <m:rPr>
            <m:sty m:val="p"/>
          </m:rPr>
          <w:rPr>
            <w:rFonts w:ascii="Cambria Math" w:hAnsi="Cambria Math"/>
          </w:rPr>
          <m:t xml:space="preserve"> = 0.50</m:t>
        </m:r>
      </m:oMath>
      <w:r>
        <w:t xml:space="preserve">. </w:t>
      </w:r>
      <w:hyperlink w:anchor="TableA3" w:history="1">
        <w:r>
          <w:rPr>
            <w:color w:val="1F3864"/>
            <w:u w:val="single"/>
          </w:rPr>
          <w:t xml:space="preserve">Table A3</w:t>
        </w:r>
      </w:hyperlink>
      <w:r>
        <w:t xml:space="preserve"> reports sensitivity to both parameters. Varying </w:t>
      </w:r>
      <m:oMath>
        <m:r>
          <m:rPr>
            <m:sty m:val="i"/>
          </m:rPr>
          <w:rPr>
            <w:rFonts w:ascii="Cambria Math" w:hAnsi="Cambria Math"/>
          </w:rPr>
          <m:t xml:space="preserve">ω</m:t>
        </m:r>
      </m:oMath>
      <w:r>
        <w:t xml:space="preserve"> from 0.70 to 1.00 leaves the top five exporters unchanged and the Spearman rank correlation above 0.99. The floor compresses the ξ range from [0.34, 1.00] to [0.67, 1.00]. Setting </w:t>
      </w:r>
      <m:oMath>
        <m:sSub>
          <m:sSubPr/>
          <m:e>
            <m:r>
              <m:rPr>
                <m:sty m:val="i"/>
              </m:rPr>
              <w:rPr>
                <w:rFonts w:ascii="Cambria Math" w:hAnsi="Cambria Math"/>
              </w:rPr>
              <m:t xml:space="preserve">ξ</m:t>
            </m:r>
          </m:e>
          <m:sub>
            <m:r>
              <m:rPr>
                <m:sty m:val="i"/>
              </m:rPr>
              <w:rPr>
                <w:rFonts w:ascii="Cambria Math" w:hAnsi="Cambria Math"/>
              </w:rPr>
              <m:t xml:space="preserve">floor</m:t>
            </m:r>
          </m:sub>
        </m:sSub>
        <m:r>
          <m:rPr>
            <m:sty m:val="p"/>
          </m:rPr>
          <w:rPr>
            <w:rFonts w:ascii="Cambria Math" w:hAnsi="Cambria Math"/>
          </w:rPr>
          <m:t xml:space="preserve"> = 0.30</m:t>
        </m:r>
      </m:oMath>
      <w:r>
        <w:t xml:space="preserve"> widens the penalty range modestly, while </w:t>
      </w:r>
      <m:oMath>
        <m:sSub>
          <m:sSubPr/>
          <m:e>
            <m:r>
              <m:rPr>
                <m:sty m:val="i"/>
              </m:rPr>
              <w:rPr>
                <w:rFonts w:ascii="Cambria Math" w:hAnsi="Cambria Math"/>
              </w:rPr>
              <m:t xml:space="preserve">ξ</m:t>
            </m:r>
          </m:e>
          <m:sub>
            <m:r>
              <m:rPr>
                <m:sty m:val="i"/>
              </m:rPr>
              <w:rPr>
                <w:rFonts w:ascii="Cambria Math" w:hAnsi="Cambria Math"/>
              </w:rPr>
              <m:t xml:space="preserve">floor</m:t>
            </m:r>
          </m:sub>
        </m:sSub>
        <m:r>
          <m:rPr>
            <m:sty m:val="p"/>
          </m:rPr>
          <w:rPr>
            <w:rFonts w:ascii="Cambria Math" w:hAnsi="Cambria Math"/>
          </w:rPr>
          <m:t xml:space="preserve"> = 0.70</m:t>
        </m:r>
      </m:oMath>
      <w:r>
        <w:t xml:space="preserve"> compresses it further — in both cases, the top five exporters are </w:t>
      </w:r>
      <w:r>
        <w:t xml:space="preserve">largely unchanged </w:t>
      </w:r>
      <w:r>
        <w:t xml:space="preserve">and the rank correlation exceeds 0.99. As an alternative specification, replacing ξ with </w:t>
      </w:r>
      <m:oMath>
        <m:sSup>
          <m:sSupPr/>
          <m:e>
            <m:r>
              <m:rPr>
                <m:sty m:val="i"/>
              </m:rPr>
              <w:rPr>
                <w:rFonts w:ascii="Cambria Math" w:hAnsi="Cambria Math"/>
              </w:rPr>
              <m:t xml:space="preserve">ξ</m:t>
            </m:r>
          </m:e>
          <m:sup>
            <m:r>
              <m:rPr>
                <m:sty m:val="i"/>
              </m:rPr>
              <w:rPr>
                <w:rFonts w:ascii="Cambria Math" w:hAnsi="Cambria Math"/>
              </w:rPr>
              <m:t xml:space="preserve">θ</m:t>
            </m:r>
          </m:sup>
        </m:sSup>
      </m:oMath>
      <w:r>
        <w:t xml:space="preserve"> (</w:t>
      </w:r>
      <m:oMath>
        <m:r>
          <m:rPr>
            <m:sty m:val="i"/>
          </m:rPr>
          <w:rPr>
            <w:rFonts w:ascii="Cambria Math" w:hAnsi="Cambria Math"/>
          </w:rPr>
          <m:t xml:space="preserve">θ</m:t>
        </m:r>
        <m:r>
          <m:rPr>
            <m:sty m:val="p"/>
          </m:rPr>
          <w:rPr>
            <w:rFonts w:ascii="Cambria Math" w:hAnsi="Cambria Math"/>
          </w:rPr>
          <m:t xml:space="preserve"> = 0.5</m:t>
        </m:r>
      </m:oMath>
      <w:r>
        <w:t>) produces similar compression without an explicit floor; the rank correlation with the baseline exceeds 0.99. The qualitative finding — that developing countries with cheap energy and adequate governance can compete — is robust across all specifications.</w:t>
      </w:r>
    </w:p>
    <w:p>
      <w:pPr>
        <w:spacing w:before="0" w:after="160"/>
        <w:ind w:firstLine="0"/>
        <w:jc w:val="both"/>
      </w:pPr>
      <w:r>
        <w:rPr>
          <w:rFonts w:ascii="Times New Roman" w:hAnsi="Times New Roman"/>
          <w:b w:val="0"/>
          <w:i/>
          <w:sz w:val="24"/>
        </w:rPr>
        <w:t xml:space="preserve">Uniform sovereignty premium. </w:t>
      </w:r>
      <w:r>
        <w:t xml:space="preserve">Column (6) of </w:t>
      </w:r>
      <w:hyperlink w:anchor="Table3b" w:history="1">
        <w:r>
          <w:rPr>
            <w:color w:val="1F3864"/>
            <w:u w:val="single"/>
          </w:rPr>
          <w:t xml:space="preserve">Table 3b</w:t>
        </w:r>
      </w:hyperlink>
      <w:r>
        <w:t xml:space="preserve"> reports results under a uniform premium </w:t>
      </w:r>
      <m:oMath>
        <m:r>
          <m:rPr>
            <m:sty m:val="i"/>
          </m:rPr>
          <w:rPr>
            <w:rFonts w:ascii="Cambria Math" w:hAnsi="Cambria Math"/>
          </w:rPr>
          <m:t xml:space="preserve">λ</m:t>
        </m:r>
        <m:r>
          <m:rPr>
            <m:sty m:val="p"/>
          </m:rPr>
          <w:rPr>
            <w:rFonts w:ascii="Cambria Math" w:hAnsi="Cambria Math"/>
          </w:rPr>
          <m:t xml:space="preserve"> = 0.10</m:t>
        </m:r>
      </m:oMath>
      <w:r>
        <w:t>. The uniform premium produces broadly similar regime assignments: most countries produce domestically under either specification. The main difference is that the bilateral premium excludes sanctioned countries from serving any demand center, while the uniform premium treats all pairs identically. The bilateral specification is preferred because it captures observed heterogeneity in sovereignty preferences.</w:t>
      </w:r>
    </w:p>
    <w:p>
      <w:pPr>
        <w:spacing w:before="0" w:after="160"/>
        <w:ind w:firstLine="0"/>
        <w:jc w:val="both"/>
      </w:pPr>
      <w:r>
        <w:rPr>
          <w:rFonts w:ascii="Times New Roman" w:hAnsi="Times New Roman"/>
          <w:b w:val="0"/>
          <w:i/>
          <w:sz w:val="24"/>
        </w:rPr>
        <w:t xml:space="preserve">Sovereignty tiers. </w:t>
      </w:r>
      <w:r>
        <w:t xml:space="preserve">The model segments each country’s demand into three tiers: sovereign workloads (10%, domestic only), regulated workloads (20%, higher regulatory compatibility weight), and commercial workloads (70%, geopolitical alignment only). Under calibrated parameters, tiering leaves regime assignments unchanged for all countries, hence columns (4) and (5) of </w:t>
      </w:r>
      <w:hyperlink w:anchor="Table3b" w:history="1">
        <w:r>
          <w:rPr>
            <w:color w:val="1F3864"/>
            <w:u w:val="single"/>
          </w:rPr>
          <w:t xml:space="preserve">Table 3b</w:t>
        </w:r>
      </w:hyperlink>
      <w:r>
        <w:t xml:space="preserve"> are merged. The main impact is on inference sourcing: regulated workloads shift toward suppliers with strong data governance, favoring EU and APEC CBPR participants over closer but less regulated alternatives.</w:t>
      </w:r>
      <w:r>
        <w:rPr>
          <w:rStyle w:val="FootnoteReference"/>
        </w:rPr>
        <w:footnoteReference w:id="17"/>
      </w:r>
    </w:p>
    <w:p>
      <w:pPr>
        <w:pStyle w:val="Heading2"/>
      </w:pPr>
      <w:r>
        <w:rPr>
          <w:rFonts w:ascii="Times New Roman" w:hAnsi="Times New Roman"/>
          <w:b w:val="0"/>
          <w:i/>
          <w:color w:val="2F5496"/>
          <w:sz w:val="24"/>
        </w:rPr>
        <w:t>7.2 Model extensions</w:t>
      </w:r>
    </w:p>
    <w:p>
      <w:pPr>
        <w:spacing w:before="0" w:after="160"/>
        <w:ind w:firstLine="0"/>
        <w:jc w:val="both"/>
      </w:pPr>
      <w:r>
        <w:t xml:space="preserve">The model can be extended in several directions. It can incorporate stochastic disruptions such as grid outages or political instability, giving buyers a reason to diversify workloads across providers. Demand can be segmented by latency tolerance to capture heterogeneous service requirements. Carbon pricing can introduce a “green premium” that favors hydropower-rich countries. The framework can also accommodate strategic interaction among oligopolistic providers, and governance can enter as a multiplicative cost shifter on </w:t>
      </w:r>
      <m:oMath>
        <m:sSub>
          <m:sSubPr/>
          <m:e>
            <m:r>
              <m:rPr>
                <m:sty m:val="i"/>
              </m:rPr>
              <w:rPr>
                <w:rFonts w:ascii="Cambria Math" w:hAnsi="Cambria Math"/>
              </w:rPr>
              <m:t xml:space="preserve">c</m:t>
            </m:r>
          </m:e>
          <m:sub>
            <m:r>
              <m:rPr>
                <m:sty m:val="i"/>
              </m:rPr>
              <w:rPr>
                <w:rFonts w:ascii="Cambria Math" w:hAnsi="Cambria Math"/>
              </w:rPr>
              <m:t xml:space="preserve">j</m:t>
            </m:r>
          </m:sub>
        </m:sSub>
      </m:oMath>
      <w:r>
        <w:t>.</w:t>
      </w:r>
    </w:p>
    <w:p>
      <w:pPr>
        <w:spacing w:before="0" w:after="160"/>
        <w:ind w:firstLine="0"/>
        <w:jc w:val="both"/>
      </w:pPr>
      <w:r>
        <w:rPr>
          <w:rFonts w:ascii="Times New Roman" w:hAnsi="Times New Roman"/>
          <w:b w:val="0"/>
          <w:i/>
          <w:sz w:val="24"/>
        </w:rPr>
        <w:t xml:space="preserve">Agglomeration and market structure. </w:t>
      </w:r>
      <w:r>
        <w:t xml:space="preserve">The competitive framework abstracts from the industrial organization of the cloud compute market, which is dominated by a small number of hyperscalers (AWS, Azure, Google Cloud) with significant scale economies, proprietary networks, and market power. In practice, whether a country becomes a compute exporter depends not only on unit costs but on whether a hyperscaler or colocation provider chooses to invest there, a decision shaped by agglomeration economies, institutional quality, and network connectivity (</w:t>
      </w:r>
      <w:bookmarkStart w:id="231" w:name="Krugman1991txt"/>
      <w:hyperlink w:anchor="Krugman1991" w:history="1">
        <w:r>
          <w:rPr>
            <w:color w:val="1F3864"/>
            <w:u w:val="single"/>
          </w:rPr>
          <w:t xml:space="preserve">Krugman 1991</w:t>
        </w:r>
      </w:hyperlink>
      <w:bookmarkEnd w:id="231"/>
      <w:r>
        <w:t xml:space="preserve">). The concentration of data centers in locations such as Northern Virginia reflects these centripetal forces.</w:t>
      </w:r>
    </w:p>
    <w:p>
      <w:pPr>
        <w:pStyle w:val="Heading1"/>
      </w:pPr>
      <w:r>
        <w:rPr>
          <w:rFonts w:ascii="Times New Roman" w:hAnsi="Times New Roman"/>
          <w:b/>
          <w:color w:val="2F5496"/>
          <w:sz w:val="28"/>
        </w:rPr>
        <w:t>8. Conclusion</w:t>
      </w:r>
    </w:p>
    <w:p>
      <w:pPr>
        <w:spacing w:before="0" w:after="160"/>
        <w:ind w:firstLine="0"/>
        <w:jc w:val="both"/>
      </w:pPr>
      <w:r>
        <w:t>This paper develops a capacity-constrained model of trade in computing services (FLOPs) in which countries produce and export computing capacity based on their energy-resource endowments, as reflected in electricity prices, climate, and construction costs. The model distinguishes two service types, latency-insensitive training and latency-sensitive inference, and introduces a bilateral sovereignty premium to capture governments’ preference for domestic data processing, varying with geopolitical alignment, regulatory compatibility, and sanctions exposure. Capacity ceilings transform the classical cost-based assignment into a framework with market-clearing prices and scarcity rents. The paper calibrates the model for 85 countries using data on electricity prices, temperatures, construction costs, bilateral latencies, and grid capacity.</w:t>
      </w:r>
    </w:p>
    <w:p>
      <w:pPr>
        <w:spacing w:before="0" w:after="160"/>
        <w:ind w:firstLine="0"/>
        <w:jc w:val="both"/>
      </w:pPr>
      <w:r>
        <w:t xml:space="preserve">Across 85 countries, low-energy-cost countries export training compute, while inference is served by regional hubs close enough to users to meet latency requirements. The bilateral sovereignty premium rationalizes widespread domestic investment, shifting the majority of countries from import to domestic production, at a demand-weighted welfare cost of 3.2% of compute spending. The model generates a country taxonomy (full importers, training exporters, inference hubs, and hybrid regimes) that maps onto observed investment patterns. This geographic structure is consistent with </w:t>
      </w:r>
      <w:bookmarkStart w:id="232" w:name="Lehdonvirta2024txt"/>
      <w:hyperlink w:anchor="Lehdonvirta2024" w:history="1">
        <w:r>
          <w:rPr>
            <w:color w:val="1F3864"/>
            <w:u w:val="single"/>
          </w:rPr>
          <w:t xml:space="preserve">Lehdonvirta et al. (2024)</w:t>
        </w:r>
      </w:hyperlink>
      <w:bookmarkEnd w:id="232"/>
      <w:r>
        <w:t xml:space="preserve">, who independently find that training-capable GPU infrastructure is concentrated in roughly 30 countries, while the rest are limited to inference-grade hardware. Given the narrow cross-country cost spread documented in Section 6, production efficiency, bilateral trade frictions, and access to GPU hardware are often decisive in determining actual data center location. </w:t>
      </w:r>
    </w:p>
    <w:p>
      <w:pPr>
        <w:spacing w:before="0" w:after="160"/>
        <w:ind w:firstLine="0"/>
        <w:jc w:val="both"/>
      </w:pPr>
      <w:r>
        <w:t xml:space="preserve">For developing countries, the results point to a new avenue for economic participation in the global economy. Countries like Kyrgyzstan, Uzbekistan, and Egypt, which rank among the cheapest FLOP producers in the calibration, could use their energy resource endowments—hydropower, natural gas, and solar irradiance—to convert cheap electricity into a high-value digital export without building a domestic AI research ecosystem. FLOP exporting is the digital equivalent of resource-based industrialization, but with the advantage that the underlying resource (electricity) need not deplete a finite reserve, and the product (compute) serves the fastest-growing sector of the world economy. That said, the resource curse literature (</w:t>
      </w:r>
      <w:bookmarkStart w:id="233" w:name="vanderPloeg2011txt"/>
      <w:hyperlink w:anchor="vanderPloeg2011" w:history="1">
        <w:r>
          <w:rPr>
            <w:color w:val="1F3864"/>
            <w:u w:val="single"/>
          </w:rPr>
          <w:t xml:space="preserve">van der Ploeg 2011</w:t>
        </w:r>
      </w:hyperlink>
      <w:bookmarkEnd w:id="233"/>
      <w:r>
        <w:t xml:space="preserve">) warns that concentrated export revenues can lead to Dutch disease, institutional degradation, and volatility. Whether FLOP-exporting shares these risks depends on whether revenues are broadly distributed or concentrated among a narrow set of actors, and on whether governments invest the proceeds in human capital and institutional development.</w:t>
      </w:r>
    </w:p>
    <w:p>
      <w:pPr>
        <w:spacing w:before="0" w:after="160"/>
        <w:ind w:firstLine="0"/>
        <w:jc w:val="both"/>
      </w:pPr>
      <w:r>
        <w:t>The policy implications are asymmetric across training and inference. Training workloads tolerate high latency, so restricting training imports raises costs without offsetting proximity gains. Inference, by contrast, is latency-sensitive, giving domestic production a genuine quality-of-service advantage—though this rationale weakens for countries close to low-cost neighbors. For developing countries seeking to enter the compute export market, the binding constraints are not technological but institutional. Reliable power grids, production efficiency, bilateral trust, and data governance frameworks determine whether cost advantages translate into actual exports.</w:t>
      </w:r>
    </w:p>
    <w:p>
      <w:pPr>
        <w:spacing w:before="0" w:after="0"/>
      </w:pPr>
      <w:r>
        <w:br w:type="page"/>
      </w:r>
    </w:p>
    <w:p>
      <w:pPr>
        <w:pStyle w:val="Heading1"/>
      </w:pPr>
      <w:r>
        <w:rPr>
          <w:rFonts w:ascii="Times New Roman" w:hAnsi="Times New Roman"/>
          <w:b/>
          <w:color w:val="2F5496"/>
          <w:sz w:val="28"/>
        </w:rPr>
        <w:t>References</w:t>
      </w:r>
    </w:p>
    <w:p>
      <w:pPr>
        <w:spacing w:before="0" w:after="80" w:line="240" w:lineRule="exact"/>
        <w:ind w:hanging="720" w:left="720"/>
        <w:jc w:val="both"/>
      </w:pPr>
      <w:bookmarkStart w:id="500" w:name="ACR2012"/>
      <w:hyperlink w:anchor="ACR2012txt" w:history="1">
        <w:r>
          <w:rPr>
            <w:color w:val="1F3864"/>
            <w:u w:val="single"/>
          </w:rPr>
          <w:t xml:space="preserve">Arkolakis, C., A. Costinot, and A. Rodríguez-Clare. (2012). </w:t>
        </w:r>
      </w:hyperlink>
      <w:r>
        <w:t xml:space="preserve">“New Trade Models, Same Old Gains?” </w:t>
      </w:r>
      <w:r>
        <w:rPr>
          <w:i/>
        </w:rPr>
        <w:t>American Economic Review</w:t>
      </w:r>
      <w:r>
        <w:t>, 102(1): 94–130.</w:t>
      </w:r>
      <w:bookmarkEnd w:id="500"/>
    </w:p>
    <w:p>
      <w:pPr>
        <w:spacing w:before="0" w:after="80" w:line="240" w:lineRule="exact"/>
        <w:ind w:hanging="720" w:left="720"/>
        <w:jc w:val="both"/>
      </w:pPr>
      <w:bookmarkStart w:id="501" w:name="ABD2020"/>
      <w:r>
        <w:rPr>
          <w:color w:val="1F3864"/>
          <w:u w:val="single"/>
        </w:rPr>
        <w:t xml:space="preserve">Asian Development Bank. (2020). </w:t>
      </w:r>
      <w:r>
        <w:t>“Toktogul Rehabilitation Project Phase 3: Sector Assessment.” Asian Development Bank. Report No. 49013-002.</w:t>
      </w:r>
      <w:bookmarkEnd w:id="501"/>
    </w:p>
    <w:p>
      <w:pPr>
        <w:spacing w:before="0" w:after="80" w:line="240" w:lineRule="exact"/>
        <w:ind w:hanging="720" w:left="720"/>
        <w:jc w:val="both"/>
      </w:pPr>
      <w:bookmarkStart w:id="502" w:name="BaileyEtAl2017"/>
      <w:hyperlink w:anchor="BaileyEtAl2017txt" w:history="1">
        <w:r>
          <w:rPr>
            <w:color w:val="1F3864"/>
            <w:u w:val="single"/>
          </w:rPr>
          <w:t xml:space="preserve">Bailey, M., A. Strezhnev, and E. Voeten. (2017). </w:t>
        </w:r>
      </w:hyperlink>
      <w:r>
        <w:t xml:space="preserve">“Estimating Dynamic State Preferences from United Nations Voting Data.” </w:t>
      </w:r>
      <w:r>
        <w:rPr>
          <w:i/>
        </w:rPr>
        <w:t>Journal of Conflict Resolution</w:t>
      </w:r>
      <w:r>
        <w:t>, 61(2): 430–456.</w:t>
      </w:r>
      <w:bookmarkEnd w:id="502"/>
    </w:p>
    <w:p>
      <w:pPr>
        <w:spacing w:before="0" w:after="80" w:line="240" w:lineRule="exact"/>
        <w:ind w:hanging="720" w:left="720"/>
        <w:jc w:val="both"/>
      </w:pPr>
      <w:bookmarkStart w:id="503" w:name="Barroso2018"/>
      <w:hyperlink w:anchor="Barroso2018txt" w:history="1">
        <w:r>
          <w:rPr>
            <w:color w:val="1F3864"/>
            <w:u w:val="single"/>
          </w:rPr>
          <w:t xml:space="preserve">Barroso, L., U. Hölzle, and P. Ranganathan. </w:t>
        </w:r>
      </w:hyperlink>
      <w:r>
        <w:t xml:space="preserve">(2018). </w:t>
      </w:r>
      <w:r>
        <w:rPr>
          <w:i/>
        </w:rPr>
        <w:t>The Datacenter as a Computer</w:t>
      </w:r>
      <w:r>
        <w:t>: Designing Warehouse-Scale Machines, 3rd ed. San Rafael, CA: Morgan &amp; Claypool.</w:t>
      </w:r>
      <w:bookmarkEnd w:id="503"/>
    </w:p>
    <w:p>
      <w:pPr>
        <w:spacing w:before="0" w:after="80" w:line="240" w:lineRule="exact"/>
        <w:ind w:hanging="720" w:left="720"/>
        <w:jc w:val="both"/>
      </w:pPr>
      <w:bookmarkStart w:id="504" w:name="Biglaiser2024"/>
      <w:hyperlink w:anchor="Biglaiser2024txt" w:history="1">
        <w:r>
          <w:rPr>
            <w:color w:val="1F3864"/>
            <w:u w:val="single"/>
          </w:rPr>
          <w:t xml:space="preserve">Biglaiser, G., J. Crémer, and A. Mantovani. (2024). </w:t>
        </w:r>
      </w:hyperlink>
      <w:r>
        <w:t xml:space="preserve">“The Economics of the Cloud.” </w:t>
      </w:r>
      <w:r>
        <w:rPr>
          <w:i/>
        </w:rPr>
        <w:t>Toulouse School of Economics Working Paper</w:t>
      </w:r>
      <w:r>
        <w:t xml:space="preserve"> No. 24-1520.</w:t>
      </w:r>
      <w:bookmarkEnd w:id="504"/>
    </w:p>
    <w:p>
      <w:pPr>
        <w:spacing w:before="0" w:after="80" w:line="240" w:lineRule="exact"/>
        <w:ind w:hanging="720" w:left="720"/>
        <w:jc w:val="both"/>
      </w:pPr>
      <w:bookmarkStart w:id="505" w:name="Brainard1997"/>
      <w:hyperlink w:anchor="Brainard1997txt" w:history="1">
        <w:r>
          <w:rPr>
            <w:color w:val="1F3864"/>
            <w:u w:val="single"/>
          </w:rPr>
          <w:t xml:space="preserve">Brainard, S. (1997). </w:t>
        </w:r>
      </w:hyperlink>
      <w:r>
        <w:t xml:space="preserve">“An Empirical Assessment of the Proximity-Concentration Trade-off.” </w:t>
      </w:r>
      <w:r>
        <w:rPr>
          <w:i/>
        </w:rPr>
        <w:t>American Economic Review</w:t>
      </w:r>
      <w:r>
        <w:t>, 87(4): 520–544.</w:t>
      </w:r>
      <w:bookmarkEnd w:id="505"/>
    </w:p>
    <w:p>
      <w:pPr>
        <w:spacing w:before="0" w:after="80" w:line="240" w:lineRule="exact"/>
        <w:ind w:hanging="720" w:left="720"/>
        <w:jc w:val="both"/>
      </w:pPr>
      <w:bookmarkStart w:id="506" w:name="Calcaterra2024"/>
      <w:hyperlink w:anchor="Calcaterra2024txt" w:history="1">
        <w:r>
          <w:rPr>
            <w:color w:val="1F3864"/>
            <w:u w:val="single"/>
          </w:rPr>
          <w:t xml:space="preserve">Calcaterra, M., L. Reis, P. Fragkos, T. Briera, H. Boer, F. Egli, J. Emmerling, G. Iyer, S. Mittal, F. Polzin, M. Sanders, T. Schmidt, A. Serebriakova, and B. Steffen. (2024). </w:t>
        </w:r>
      </w:hyperlink>
      <w:r>
        <w:t xml:space="preserve">“Reducing the Cost of Capital to Finance the Energy Transition in Developing Countries.” </w:t>
      </w:r>
      <w:r>
        <w:rPr>
          <w:i/>
        </w:rPr>
        <w:t>Nature Energy</w:t>
      </w:r>
      <w:r>
        <w:t>, 9(10): 1241–1251.</w:t>
      </w:r>
      <w:bookmarkEnd w:id="506"/>
    </w:p>
    <w:p>
      <w:pPr>
        <w:spacing w:before="0" w:after="80" w:line="240" w:lineRule="exact"/>
        <w:ind w:hanging="720" w:left="720"/>
        <w:jc w:val="both"/>
      </w:pPr>
      <w:bookmarkStart w:id="507" w:name="Cloudscene2025"/>
      <w:hyperlink w:anchor="Cloudscene2025txt" w:history="1">
        <w:r>
          <w:rPr>
            <w:color w:val="1F3864"/>
            <w:u w:val="single"/>
          </w:rPr>
          <w:t xml:space="preserve">Cloudscene. </w:t>
        </w:r>
      </w:hyperlink>
      <w:r>
        <w:t xml:space="preserve">(2025). </w:t>
      </w:r>
      <w:r>
        <w:rPr>
          <w:i/>
        </w:rPr>
        <w:t>Global Data Center Directory</w:t>
      </w:r>
      <w:r>
        <w:t>. cloudscene.com.</w:t>
      </w:r>
      <w:bookmarkEnd w:id="507"/>
    </w:p>
    <w:p>
      <w:pPr>
        <w:spacing w:before="0" w:after="80" w:line="240" w:lineRule="exact"/>
        <w:ind w:hanging="720" w:left="720"/>
        <w:jc w:val="both"/>
      </w:pPr>
      <w:bookmarkStart w:id="508" w:name="Deloitte2020"/>
      <w:hyperlink w:anchor="Deloitte2020txt" w:history="1">
        <w:r>
          <w:rPr>
            <w:color w:val="1F3864"/>
            <w:u w:val="single"/>
          </w:rPr>
          <w:t xml:space="preserve">Deloitte and Google. (2020). </w:t>
        </w:r>
      </w:hyperlink>
      <w:r>
        <w:t>“Milliseconds Make Millions.” Deloitte Digital and Google.</w:t>
      </w:r>
      <w:bookmarkEnd w:id="508"/>
    </w:p>
    <w:p>
      <w:pPr>
        <w:spacing w:before="0" w:after="80" w:line="240" w:lineRule="exact"/>
        <w:ind w:hanging="720" w:left="720"/>
        <w:jc w:val="both"/>
      </w:pPr>
      <w:bookmarkStart w:id="509" w:name="Deloitte2025"/>
      <w:hyperlink w:anchor="Deloitte2025txt" w:history="1">
        <w:r>
          <w:rPr>
            <w:color w:val="1F3864"/>
            <w:u w:val="single"/>
          </w:rPr>
          <w:t xml:space="preserve">Deloitte. (2025). </w:t>
        </w:r>
      </w:hyperlink>
      <w:r>
        <w:t xml:space="preserve">“Technology, Media, and Telecommunications Predictions 2026.” </w:t>
      </w:r>
      <w:r>
        <w:rPr>
          <w:i/>
        </w:rPr>
        <w:t>Deloitte Insights</w:t>
      </w:r>
      <w:r>
        <w:t>.</w:t>
      </w:r>
      <w:bookmarkEnd w:id="509"/>
    </w:p>
    <w:p>
      <w:pPr>
        <w:spacing w:before="0" w:after="80" w:line="240" w:lineRule="exact"/>
        <w:ind w:hanging="720" w:left="720"/>
        <w:jc w:val="both"/>
      </w:pPr>
      <w:bookmarkStart w:id="510" w:name="EatonKortum2002"/>
      <w:hyperlink w:anchor="EatonKortum2002txt" w:history="1">
        <w:r>
          <w:rPr>
            <w:color w:val="1F3864"/>
            <w:u w:val="single"/>
          </w:rPr>
          <w:t xml:space="preserve">Eaton, J., and S. Kortum. (2002). </w:t>
        </w:r>
      </w:hyperlink>
      <w:r>
        <w:t xml:space="preserve">“Technology, Geography, and Trade.” </w:t>
      </w:r>
      <w:r>
        <w:rPr>
          <w:i/>
        </w:rPr>
        <w:t>Econometrica</w:t>
      </w:r>
      <w:r>
        <w:t>, 70(5): 1741–1779.</w:t>
      </w:r>
      <w:bookmarkEnd w:id="510"/>
    </w:p>
    <w:p>
      <w:pPr>
        <w:spacing w:before="0" w:after="80" w:line="240" w:lineRule="exact"/>
        <w:ind w:hanging="720" w:left="720"/>
        <w:jc w:val="both"/>
      </w:pPr>
      <w:bookmarkStart w:id="511" w:name="EIA2025"/>
      <w:hyperlink w:anchor="EIA2025txt" w:history="1">
        <w:r>
          <w:rPr>
            <w:color w:val="1F3864"/>
            <w:u w:val="single"/>
          </w:rPr>
          <w:t xml:space="preserve">EIA. </w:t>
        </w:r>
      </w:hyperlink>
      <w:r>
        <w:t xml:space="preserve">(2025). </w:t>
      </w:r>
      <w:r>
        <w:rPr>
          <w:i/>
        </w:rPr>
        <w:t>Electric Power Monthly</w:t>
      </w:r>
      <w:r>
        <w:t>. U.S. Energy Information Administration.</w:t>
      </w:r>
      <w:bookmarkEnd w:id="511"/>
    </w:p>
    <w:p>
      <w:pPr>
        <w:spacing w:before="0" w:after="80" w:line="240" w:lineRule="exact"/>
        <w:ind w:hanging="720" w:left="720"/>
        <w:jc w:val="both"/>
      </w:pPr>
      <w:bookmarkStart w:id="512" w:name="EpochAI2024"/>
      <w:hyperlink w:anchor="EpochAI2024txt" w:history="1">
        <w:r>
          <w:rPr>
            <w:color w:val="1F3864"/>
            <w:u w:val="single"/>
          </w:rPr>
          <w:t xml:space="preserve">Epoch AI. (2024). </w:t>
        </w:r>
      </w:hyperlink>
      <w:r>
        <w:t>“The Training Compute of Notable AI Models.” epochai.org.</w:t>
      </w:r>
      <w:bookmarkEnd w:id="512"/>
    </w:p>
    <w:p>
      <w:pPr>
        <w:spacing w:before="0" w:after="80" w:line="240" w:lineRule="exact"/>
        <w:ind w:hanging="720" w:left="720"/>
        <w:jc w:val="both"/>
      </w:pPr>
      <w:bookmarkStart w:id="513" w:name="Eurostat2025"/>
      <w:hyperlink w:anchor="Eurostat2025txt" w:history="1">
        <w:r>
          <w:rPr>
            <w:color w:val="1F3864"/>
            <w:u w:val="single"/>
          </w:rPr>
          <w:t xml:space="preserve">Eurostat. </w:t>
        </w:r>
      </w:hyperlink>
      <w:r>
        <w:t xml:space="preserve">(2025). </w:t>
      </w:r>
      <w:r>
        <w:rPr>
          <w:i/>
        </w:rPr>
        <w:t>Electricity Prices for Non-Household Consumers (nrg_pc_205)</w:t>
      </w:r>
      <w:r>
        <w:t>. Luxembourg: Eurostat.</w:t>
      </w:r>
      <w:bookmarkEnd w:id="513"/>
    </w:p>
    <w:p>
      <w:pPr>
        <w:spacing w:before="0" w:after="80" w:line="240" w:lineRule="exact"/>
        <w:ind w:hanging="720" w:left="720"/>
        <w:jc w:val="both"/>
      </w:pPr>
      <w:bookmarkStart w:id="514" w:name="Farole2011"/>
      <w:hyperlink w:anchor="Farole2011txt" w:history="1">
        <w:r>
          <w:rPr>
            <w:color w:val="1F3864"/>
            <w:u w:val="single"/>
          </w:rPr>
          <w:t xml:space="preserve">Farole, T. </w:t>
        </w:r>
      </w:hyperlink>
      <w:r>
        <w:t xml:space="preserve">(2011). </w:t>
      </w:r>
      <w:r>
        <w:rPr>
          <w:i/>
        </w:rPr>
        <w:t>Special Economic Zones in Africa: Comparing Performance and Learning from Global Experiences</w:t>
      </w:r>
      <w:r>
        <w:t xml:space="preserve">. Washington, DC: </w:t>
      </w:r>
      <w:bookmarkStart w:id="234" w:name="WorldBank2024txt"/>
      <w:hyperlink w:anchor="WorldBank2024" w:history="1">
        <w:r>
          <w:rPr>
            <w:color w:val="1F3864"/>
            <w:u w:val="single"/>
          </w:rPr>
          <w:t xml:space="preserve">World Bank</w:t>
        </w:r>
      </w:hyperlink>
      <w:bookmarkEnd w:id="234"/>
      <w:r>
        <w:t xml:space="preserve">.</w:t>
      </w:r>
      <w:bookmarkEnd w:id="514"/>
    </w:p>
    <w:p>
      <w:pPr>
        <w:spacing w:before="0" w:after="80" w:line="240" w:lineRule="exact"/>
        <w:ind w:hanging="720" w:left="720"/>
        <w:jc w:val="both"/>
      </w:pPr>
      <w:bookmarkStart w:id="515" w:name="Firebird2026"/>
      <w:hyperlink w:anchor="Firebird2026txt" w:history="1">
        <w:r>
          <w:rPr>
            <w:color w:val="1F3864"/>
            <w:u w:val="single"/>
          </w:rPr>
          <w:t xml:space="preserve">Firebird. (2026). </w:t>
        </w:r>
      </w:hyperlink>
      <w:r>
        <w:t>“Phase 2 of Armenia AI Megaproject, Scaling to $4 Billion and 50,000 GPUs.” Press release, January 2026.</w:t>
      </w:r>
      <w:bookmarkEnd w:id="515"/>
    </w:p>
    <w:p>
      <w:pPr>
        <w:spacing w:before="0" w:after="80" w:line="240" w:lineRule="exact"/>
        <w:ind w:hanging="720" w:left="720"/>
        <w:jc w:val="both"/>
      </w:pPr>
      <w:bookmarkStart w:id="516" w:name="Flucker2013"/>
      <w:hyperlink w:anchor="Flucker2013txt" w:history="1">
        <w:r>
          <w:rPr>
            <w:color w:val="1F3864"/>
            <w:u w:val="single"/>
          </w:rPr>
          <w:t xml:space="preserve">Flucker, S., R. Tozer, and R. Whitehead. (2013). </w:t>
        </w:r>
      </w:hyperlink>
      <w:r>
        <w:t xml:space="preserve">“Data Centre Energy Efficiency Analysis to Minimize Total Cost of Ownership.” </w:t>
      </w:r>
      <w:r>
        <w:rPr>
          <w:i/>
        </w:rPr>
        <w:t>Building Services Engineering Research and Technology</w:t>
      </w:r>
      <w:r>
        <w:t>, 34(1): 103–117.</w:t>
      </w:r>
      <w:bookmarkEnd w:id="516"/>
    </w:p>
    <w:p>
      <w:pPr>
        <w:spacing w:before="0" w:after="80" w:line="240" w:lineRule="exact"/>
        <w:ind w:hanging="720" w:left="720"/>
        <w:jc w:val="both"/>
      </w:pPr>
      <w:bookmarkStart w:id="517" w:name="Frick2019"/>
      <w:hyperlink w:anchor="Frick2019txt" w:history="1">
        <w:r>
          <w:rPr>
            <w:color w:val="1F3864"/>
            <w:u w:val="single"/>
          </w:rPr>
          <w:t xml:space="preserve">Frick, S., A. Rodríguez-Pose, and M. Wong. (2019). </w:t>
        </w:r>
      </w:hyperlink>
      <w:r>
        <w:t xml:space="preserve">“Toward Economically Dynamic Special Economic Zones in Emerging Countries.” </w:t>
      </w:r>
      <w:r>
        <w:rPr>
          <w:i/>
        </w:rPr>
        <w:t>Economic Geography</w:t>
      </w:r>
      <w:r>
        <w:t>, 95(1): 30–64.</w:t>
      </w:r>
      <w:bookmarkEnd w:id="517"/>
    </w:p>
    <w:p>
      <w:pPr>
        <w:spacing w:before="0" w:after="80" w:line="240" w:lineRule="exact"/>
        <w:ind w:hanging="720" w:left="720"/>
        <w:jc w:val="both"/>
      </w:pPr>
      <w:bookmarkStart w:id="518" w:name="GlobalPetrolPrices2025"/>
      <w:hyperlink w:anchor="GlobalPetrolPrices2025txt" w:history="1">
        <w:r>
          <w:rPr>
            <w:color w:val="1F3864"/>
            <w:u w:val="single"/>
          </w:rPr>
          <w:t xml:space="preserve">GlobalPetrolPrices. </w:t>
        </w:r>
      </w:hyperlink>
      <w:r>
        <w:t xml:space="preserve">(2025). </w:t>
      </w:r>
      <w:r>
        <w:rPr>
          <w:i/>
        </w:rPr>
        <w:t>Electricity Prices Around the World</w:t>
      </w:r>
      <w:r>
        <w:t>. globalpetrolprices.com.</w:t>
      </w:r>
      <w:bookmarkEnd w:id="518"/>
    </w:p>
    <w:p>
      <w:pPr>
        <w:spacing w:before="0" w:after="80" w:line="240" w:lineRule="exact"/>
        <w:ind w:hanging="720" w:left="720"/>
        <w:jc w:val="both"/>
      </w:pPr>
      <w:bookmarkStart w:id="519" w:name="Goldfarb2018"/>
      <w:hyperlink w:anchor="Goldfarb2018txt" w:history="1">
        <w:r>
          <w:rPr>
            <w:color w:val="1F3864"/>
            <w:u w:val="single"/>
          </w:rPr>
          <w:t xml:space="preserve">Goldfarb, A., and D. Trefler. (2018). </w:t>
        </w:r>
      </w:hyperlink>
      <w:r>
        <w:t xml:space="preserve">“AI and International Trade.” In </w:t>
      </w:r>
      <w:r>
        <w:rPr>
          <w:i/>
        </w:rPr>
        <w:t>The Economics of Artificial Intelligence</w:t>
      </w:r>
      <w:r>
        <w:t>. Chicago: Univ. of Chicago Press, pp. 463–492.</w:t>
      </w:r>
      <w:bookmarkEnd w:id="519"/>
    </w:p>
    <w:p>
      <w:pPr>
        <w:spacing w:before="0" w:after="80" w:line="240" w:lineRule="exact"/>
        <w:ind w:hanging="720" w:left="720"/>
        <w:jc w:val="both"/>
      </w:pPr>
      <w:bookmarkStart w:id="520" w:name="Google2024"/>
      <w:r>
        <w:rPr>
          <w:color w:val="1F3864"/>
          <w:u w:val="single"/>
        </w:rPr>
        <w:t xml:space="preserve">Google. </w:t>
      </w:r>
      <w:r>
        <w:t xml:space="preserve">(2024). </w:t>
      </w:r>
      <w:r>
        <w:rPr>
          <w:i/>
        </w:rPr>
        <w:t>2024 Environmental Report</w:t>
      </w:r>
      <w:r>
        <w:t>. sustainability.google.</w:t>
      </w:r>
      <w:bookmarkEnd w:id="520"/>
    </w:p>
    <w:p>
      <w:pPr>
        <w:spacing w:before="0" w:after="80" w:line="240" w:lineRule="exact"/>
        <w:ind w:hanging="720" w:left="720"/>
        <w:jc w:val="both"/>
      </w:pPr>
      <w:bookmarkStart w:id="521" w:name="Hausmann2007"/>
      <w:hyperlink w:anchor="Hausmann2007txt" w:history="1">
        <w:r>
          <w:rPr>
            <w:color w:val="1F3864"/>
            <w:u w:val="single"/>
          </w:rPr>
          <w:t xml:space="preserve">Hausmann, R., J. Hwang, and D. Rodrik. (2007). </w:t>
        </w:r>
      </w:hyperlink>
      <w:r>
        <w:t xml:space="preserve">“What You Export Matters.” </w:t>
      </w:r>
      <w:r>
        <w:rPr>
          <w:i/>
        </w:rPr>
        <w:t>Journal of Economic Growth</w:t>
      </w:r>
      <w:r>
        <w:t>, 12(1): 1–25.</w:t>
      </w:r>
      <w:bookmarkEnd w:id="521"/>
    </w:p>
    <w:p>
      <w:pPr>
        <w:spacing w:before="0" w:after="80" w:line="240" w:lineRule="exact"/>
        <w:ind w:hanging="720" w:left="720"/>
        <w:jc w:val="both"/>
      </w:pPr>
      <w:bookmarkStart w:id="522" w:name="HMY2004"/>
      <w:hyperlink w:anchor="HMY2004txt" w:history="1">
        <w:r>
          <w:rPr>
            <w:color w:val="1F3864"/>
            <w:u w:val="single"/>
          </w:rPr>
          <w:t xml:space="preserve">Helpman, E., M. Melitz, and S. Yeaple. (2004). </w:t>
        </w:r>
      </w:hyperlink>
      <w:r>
        <w:t xml:space="preserve">“Export Versus FDI with Heterogeneous Firms.” </w:t>
      </w:r>
      <w:r>
        <w:rPr>
          <w:i/>
        </w:rPr>
        <w:t>American Economic Review</w:t>
      </w:r>
      <w:r>
        <w:t>, 94(1): 300–316.</w:t>
      </w:r>
      <w:bookmarkEnd w:id="522"/>
    </w:p>
    <w:p>
      <w:pPr>
        <w:spacing w:before="0" w:after="80" w:line="240" w:lineRule="exact"/>
        <w:ind w:hanging="720" w:left="720"/>
        <w:jc w:val="both"/>
      </w:pPr>
      <w:bookmarkStart w:id="523" w:name="Hersbach2020"/>
      <w:hyperlink w:anchor="Hersbach2020txt" w:history="1">
        <w:r>
          <w:rPr>
            <w:color w:val="1F3864"/>
            <w:u w:val="single"/>
          </w:rPr>
          <w:t xml:space="preserve">Hersbach, H., et al. (2020). </w:t>
        </w:r>
      </w:hyperlink>
      <w:r>
        <w:t xml:space="preserve">“The ERA5 Global Reanalysis.” </w:t>
      </w:r>
      <w:r>
        <w:rPr>
          <w:i/>
        </w:rPr>
        <w:t>Quarterly Journal of the Royal Meteorological Society</w:t>
      </w:r>
      <w:r>
        <w:t>, 146(730): 1999–2049.</w:t>
      </w:r>
      <w:bookmarkEnd w:id="523"/>
    </w:p>
    <w:p>
      <w:pPr>
        <w:spacing w:before="0" w:after="80" w:line="240" w:lineRule="exact"/>
        <w:ind w:hanging="720" w:left="720"/>
        <w:jc w:val="both"/>
      </w:pPr>
      <w:bookmarkStart w:id="524" w:name="IEA2025"/>
      <w:hyperlink w:anchor="IEA2025txt" w:history="1">
        <w:r>
          <w:rPr>
            <w:color w:val="1F3864"/>
            <w:u w:val="single"/>
          </w:rPr>
          <w:t xml:space="preserve">IEA. (2025). </w:t>
        </w:r>
      </w:hyperlink>
      <w:r>
        <w:t>“Energy Demand from AI.” Published online at iea.org.</w:t>
      </w:r>
      <w:bookmarkEnd w:id="524"/>
    </w:p>
    <w:p>
      <w:pPr>
        <w:spacing w:before="0" w:after="80" w:line="240" w:lineRule="exact"/>
        <w:ind w:hanging="720" w:left="720"/>
        <w:jc w:val="both"/>
      </w:pPr>
      <w:bookmarkStart w:id="525" w:name="IMF2025"/>
      <w:hyperlink w:anchor="IMF2025txt" w:history="1">
        <w:r>
          <w:rPr>
            <w:color w:val="1F3864"/>
            <w:u w:val="single"/>
          </w:rPr>
          <w:t xml:space="preserve">IMF. (2025). </w:t>
        </w:r>
      </w:hyperlink>
      <w:r>
        <w:t xml:space="preserve">“Fossil Fuel Subsidies Data: 2025 Update.” </w:t>
      </w:r>
      <w:r>
        <w:rPr>
          <w:i/>
        </w:rPr>
        <w:t>IMF Working Paper</w:t>
      </w:r>
      <w:r>
        <w:t xml:space="preserve"> WP/25/270.</w:t>
      </w:r>
      <w:bookmarkEnd w:id="525"/>
    </w:p>
    <w:p>
      <w:pPr>
        <w:spacing w:before="0" w:after="80" w:line="240" w:lineRule="exact"/>
        <w:ind w:hanging="720" w:left="720"/>
        <w:jc w:val="both"/>
      </w:pPr>
      <w:bookmarkStart w:id="526" w:name="Korinek2021"/>
      <w:hyperlink w:anchor="Korinek2021txt" w:history="1">
        <w:r>
          <w:rPr>
            <w:color w:val="1F3864"/>
            <w:u w:val="single"/>
          </w:rPr>
          <w:t xml:space="preserve">Korinek, A., and J. Stiglitz. (2021). </w:t>
        </w:r>
      </w:hyperlink>
      <w:r>
        <w:t xml:space="preserve">“AI, Globalization, and Strategies for Economic Development.” </w:t>
      </w:r>
      <w:r>
        <w:rPr>
          <w:i/>
        </w:rPr>
        <w:t>NBER Working Paper</w:t>
      </w:r>
      <w:r>
        <w:t xml:space="preserve"> No. 28453.</w:t>
      </w:r>
      <w:bookmarkEnd w:id="526"/>
    </w:p>
    <w:p>
      <w:pPr>
        <w:spacing w:before="0" w:after="80" w:line="240" w:lineRule="exact"/>
        <w:ind w:hanging="720" w:left="720"/>
        <w:jc w:val="both"/>
      </w:pPr>
      <w:bookmarkStart w:id="527" w:name="Krugman1991"/>
      <w:hyperlink w:anchor="Krugman1991txt" w:history="1">
        <w:r>
          <w:rPr>
            <w:color w:val="1F3864"/>
            <w:u w:val="single"/>
          </w:rPr>
          <w:t xml:space="preserve">Krugman, P. (1991). </w:t>
        </w:r>
      </w:hyperlink>
      <w:r>
        <w:t xml:space="preserve">“Increasing Returns and Economic Geography.” </w:t>
      </w:r>
      <w:r>
        <w:rPr>
          <w:i/>
        </w:rPr>
        <w:t>Journal of Political Economy</w:t>
      </w:r>
      <w:r>
        <w:t>, 99(3): 483–499.</w:t>
      </w:r>
      <w:bookmarkEnd w:id="527"/>
    </w:p>
    <w:p>
      <w:pPr>
        <w:spacing w:before="0" w:after="80" w:line="240" w:lineRule="exact"/>
        <w:ind w:hanging="720" w:left="720"/>
        <w:jc w:val="both"/>
      </w:pPr>
      <w:bookmarkStart w:id="528" w:name="Lazard2025"/>
      <w:hyperlink w:anchor="Lazard2025txt" w:history="1">
        <w:r>
          <w:rPr>
            <w:color w:val="1F3864"/>
            <w:u w:val="single"/>
          </w:rPr>
          <w:t xml:space="preserve">Lazard. </w:t>
        </w:r>
      </w:hyperlink>
      <w:r>
        <w:t xml:space="preserve">(2025). </w:t>
      </w:r>
      <w:r>
        <w:rPr>
          <w:i/>
        </w:rPr>
        <w:t>Lazard’s Levelized Cost of Energy Analysis, Version 17.0</w:t>
      </w:r>
      <w:r>
        <w:t>. lazard.com.</w:t>
      </w:r>
      <w:bookmarkEnd w:id="528"/>
    </w:p>
    <w:p>
      <w:pPr>
        <w:spacing w:before="0" w:after="80" w:line="240" w:lineRule="exact"/>
        <w:ind w:hanging="720" w:left="720"/>
        <w:jc w:val="both"/>
      </w:pPr>
      <w:bookmarkStart w:id="529" w:name="Lehdonvirta2024"/>
      <w:hyperlink w:anchor="Lehdonvirta2024txt" w:history="1">
        <w:r>
          <w:rPr>
            <w:color w:val="1F3864"/>
            <w:u w:val="single"/>
          </w:rPr>
          <w:t xml:space="preserve">Lehdonvirta, V., B. Wu, and Z. Hawkins. (2024). </w:t>
        </w:r>
      </w:hyperlink>
      <w:r>
        <w:t xml:space="preserve">“Compute North vs. Compute South: The Uneven Possibilities of Compute-Based AI Governance Around the Globe.” </w:t>
      </w:r>
      <w:r>
        <w:rPr>
          <w:i/>
        </w:rPr>
        <w:t>Proceedings of the AAAI/ACM Conference on AI, Ethics, and Society</w:t>
      </w:r>
      <w:r>
        <w:t>, 7(1): 828–838.</w:t>
      </w:r>
      <w:bookmarkEnd w:id="529"/>
    </w:p>
    <w:p>
      <w:pPr>
        <w:spacing w:before="0" w:after="80" w:line="240" w:lineRule="exact"/>
        <w:ind w:hanging="720" w:left="720"/>
        <w:jc w:val="both"/>
      </w:pPr>
      <w:bookmarkStart w:id="530" w:name="Limao2001"/>
      <w:hyperlink w:anchor="Limao2001txt" w:history="1">
        <w:r>
          <w:rPr>
            <w:color w:val="1F3864"/>
            <w:u w:val="single"/>
          </w:rPr>
          <w:t xml:space="preserve">Limão, N., and A. Venables. (2001). </w:t>
        </w:r>
      </w:hyperlink>
      <w:r>
        <w:t xml:space="preserve">“Infrastructure, Geographical Disadvantage, Transport Costs, and Trade.” </w:t>
      </w:r>
      <w:r>
        <w:rPr>
          <w:i/>
        </w:rPr>
        <w:t xml:space="preserve"/>
      </w:r>
      <w:bookmarkStart w:id="235" w:name="WorldBank2024txt"/>
      <w:hyperlink w:anchor="WorldBank2024" w:history="1">
        <w:r>
          <w:rPr>
            <w:i/>
            <w:color w:val="1F3864"/>
            <w:u w:val="single"/>
          </w:rPr>
          <w:t xml:space="preserve">World Bank</w:t>
        </w:r>
      </w:hyperlink>
      <w:bookmarkEnd w:id="235"/>
      <w:r>
        <w:rPr>
          <w:i/>
        </w:rPr>
        <w:t xml:space="preserve"> Economic Review</w:t>
      </w:r>
      <w:r>
        <w:t>, 15(3): 451–479.</w:t>
      </w:r>
      <w:bookmarkEnd w:id="530"/>
    </w:p>
    <w:p>
      <w:pPr>
        <w:spacing w:before="0" w:after="80" w:line="240" w:lineRule="exact"/>
        <w:ind w:hanging="720" w:left="720"/>
        <w:jc w:val="both"/>
      </w:pPr>
      <w:bookmarkStart w:id="531" w:name="Liu2023"/>
      <w:hyperlink w:anchor="Liu2023txt" w:history="1">
        <w:r>
          <w:rPr>
            <w:color w:val="1F3864"/>
            <w:u w:val="single"/>
          </w:rPr>
          <w:t xml:space="preserve">Liu, Z., A. Wierman, Y. Chen, B. Raber, and J. Moriarty. (2023). </w:t>
        </w:r>
      </w:hyperlink>
      <w:r>
        <w:t xml:space="preserve">“Sustainability of Data Center Digital Twins.” </w:t>
      </w:r>
      <w:r>
        <w:rPr>
          <w:i/>
        </w:rPr>
        <w:t>Proceedings of ACM e-Energy</w:t>
      </w:r>
      <w:r>
        <w:t>, pp. 178–189.</w:t>
      </w:r>
      <w:bookmarkEnd w:id="531"/>
    </w:p>
    <w:p>
      <w:pPr>
        <w:spacing w:before="0" w:after="80" w:line="240" w:lineRule="exact"/>
        <w:ind w:hanging="720" w:left="720"/>
        <w:jc w:val="both"/>
      </w:pPr>
      <w:bookmarkStart w:id="532" w:name="NVIDIA2024"/>
      <w:r>
        <w:rPr>
          <w:color w:val="1F3864"/>
          <w:u w:val="single"/>
        </w:rPr>
        <w:t xml:space="preserve">NVIDIA. </w:t>
      </w:r>
      <w:r>
        <w:t xml:space="preserve">(2024). </w:t>
      </w:r>
      <w:r>
        <w:rPr>
          <w:i/>
        </w:rPr>
        <w:t>NVIDIA H100 Tensor Core GPU Datasheet</w:t>
      </w:r>
      <w:r>
        <w:t>. nvidia.com.</w:t>
      </w:r>
      <w:bookmarkEnd w:id="532"/>
    </w:p>
    <w:p>
      <w:pPr>
        <w:spacing w:before="0" w:after="80" w:line="240" w:lineRule="exact"/>
        <w:ind w:hanging="720" w:left="720"/>
        <w:jc w:val="both"/>
      </w:pPr>
      <w:bookmarkStart w:id="533" w:name="Ohlin1933"/>
      <w:hyperlink w:anchor="Ohlin1933txt" w:history="1">
        <w:r>
          <w:rPr>
            <w:color w:val="1F3864"/>
            <w:u w:val="single"/>
          </w:rPr>
          <w:t xml:space="preserve">Ohlin, B. </w:t>
        </w:r>
      </w:hyperlink>
      <w:r>
        <w:t xml:space="preserve">(1933). </w:t>
      </w:r>
      <w:r>
        <w:rPr>
          <w:i/>
        </w:rPr>
        <w:t>Interregional and International Trade</w:t>
      </w:r>
      <w:r>
        <w:t>. Cambridge, MA: Harvard University Press.</w:t>
      </w:r>
      <w:bookmarkEnd w:id="533"/>
    </w:p>
    <w:p>
      <w:pPr>
        <w:spacing w:before="0" w:after="80" w:line="240" w:lineRule="exact"/>
        <w:ind w:hanging="720" w:left="720"/>
        <w:jc w:val="both"/>
      </w:pPr>
      <w:bookmarkStart w:id="534" w:name="Pilz2025"/>
      <w:hyperlink w:anchor="Pilz2025txt" w:history="1">
        <w:r>
          <w:rPr>
            <w:color w:val="1F3864"/>
            <w:u w:val="single"/>
          </w:rPr>
          <w:t xml:space="preserve">Pilz, K., Y. Mahmood, and L. Heim. </w:t>
        </w:r>
      </w:hyperlink>
      <w:r>
        <w:t xml:space="preserve">(2025). </w:t>
      </w:r>
      <w:r>
        <w:rPr>
          <w:i/>
        </w:rPr>
        <w:t>AI’s Power Requirements Under Exponential Growth</w:t>
      </w:r>
      <w:r>
        <w:t>. Santa Monica, CA: RAND Corporation, RR-A3572-1.</w:t>
      </w:r>
      <w:bookmarkEnd w:id="534"/>
    </w:p>
    <w:p>
      <w:pPr>
        <w:spacing w:before="0" w:after="80" w:line="240" w:lineRule="exact"/>
        <w:ind w:hanging="720" w:left="720"/>
        <w:jc w:val="both"/>
      </w:pPr>
      <w:bookmarkStart w:id="535" w:name="Sastry2024"/>
      <w:hyperlink w:anchor="Sastry2024txt" w:history="1">
        <w:r>
          <w:rPr>
            <w:color w:val="1F3864"/>
            <w:u w:val="single"/>
          </w:rPr>
          <w:t xml:space="preserve">Sastry, G., L. Heim, et al. (2024). </w:t>
        </w:r>
      </w:hyperlink>
      <w:r>
        <w:t>“Computing Power and the Governance of Artificial Intelligence.” arXiv:2402.08797.</w:t>
      </w:r>
      <w:bookmarkEnd w:id="535"/>
    </w:p>
    <w:p>
      <w:pPr>
        <w:spacing w:before="0" w:after="80" w:line="240" w:lineRule="exact"/>
        <w:ind w:hanging="720" w:left="720"/>
        <w:jc w:val="both"/>
      </w:pPr>
      <w:bookmarkStart w:id="536" w:name="Stojkoski2024"/>
      <w:hyperlink w:anchor="Stojkoski2024txt" w:history="1">
        <w:r>
          <w:rPr>
            <w:color w:val="1F3864"/>
            <w:u w:val="single"/>
          </w:rPr>
          <w:t xml:space="preserve">Stojkoski, V., P. Koch, E. Coll, and C. A. Hidalgo. (2024). </w:t>
        </w:r>
      </w:hyperlink>
      <w:r>
        <w:t xml:space="preserve">“Estimating Digital Product Trade through Corporate Revenue Data.” </w:t>
      </w:r>
      <w:r>
        <w:rPr>
          <w:i/>
        </w:rPr>
        <w:t>Nature Communications</w:t>
      </w:r>
      <w:r>
        <w:t>, 15: 5262.</w:t>
      </w:r>
      <w:bookmarkEnd w:id="536"/>
    </w:p>
    <w:p>
      <w:pPr>
        <w:spacing w:before="0" w:after="80" w:line="240" w:lineRule="exact"/>
        <w:ind w:hanging="720" w:left="720"/>
        <w:jc w:val="both"/>
      </w:pPr>
      <w:bookmarkStart w:id="537" w:name="TurnerTownsend2025"/>
      <w:hyperlink w:anchor="TurnerTownsend2025txt" w:history="1">
        <w:r>
          <w:rPr>
            <w:color w:val="1F3864"/>
            <w:u w:val="single"/>
          </w:rPr>
          <w:t xml:space="preserve">Turner &amp; Townsend. </w:t>
        </w:r>
      </w:hyperlink>
      <w:r>
        <w:t xml:space="preserve">(2025). </w:t>
      </w:r>
      <w:r>
        <w:rPr>
          <w:i/>
        </w:rPr>
        <w:t>Data Centre Construction Cost Index 2025</w:t>
      </w:r>
      <w:r>
        <w:t>. turnerandtownsend.com.</w:t>
      </w:r>
      <w:bookmarkEnd w:id="537"/>
    </w:p>
    <w:p>
      <w:pPr>
        <w:spacing w:before="0" w:after="80" w:line="240" w:lineRule="exact"/>
        <w:ind w:hanging="720" w:left="720"/>
        <w:jc w:val="both"/>
      </w:pPr>
      <w:bookmarkStart w:id="538" w:name="TurnerLee2025"/>
      <w:hyperlink w:anchor="TurnerLee2025txt" w:history="1">
        <w:r>
          <w:rPr>
            <w:color w:val="1F3864"/>
            <w:u w:val="single"/>
          </w:rPr>
          <w:t xml:space="preserve">Turner Lee, N., and D. West. (2025). </w:t>
        </w:r>
      </w:hyperlink>
      <w:r>
        <w:t>“The Future of Data Centers.” Brookings Institution, November 2025.</w:t>
      </w:r>
      <w:bookmarkEnd w:id="538"/>
    </w:p>
    <w:p>
      <w:pPr>
        <w:spacing w:before="0" w:after="80" w:line="240" w:lineRule="exact"/>
        <w:ind w:hanging="720" w:left="720"/>
        <w:jc w:val="both"/>
      </w:pPr>
      <w:bookmarkStart w:id="539" w:name="DOJFTC2010"/>
      <w:r>
        <w:rPr>
          <w:color w:val="1F3864"/>
          <w:u w:val="single"/>
        </w:rPr>
        <w:t xml:space="preserve">U.S. Department of Justice and Federal Trade Commission. </w:t>
      </w:r>
      <w:r>
        <w:t xml:space="preserve">(2010). </w:t>
      </w:r>
      <w:r>
        <w:rPr>
          <w:i/>
        </w:rPr>
        <w:t>Horizontal Merger Guidelines</w:t>
      </w:r>
      <w:r>
        <w:t>. Washington, DC.</w:t>
      </w:r>
      <w:bookmarkEnd w:id="539"/>
    </w:p>
    <w:p>
      <w:pPr>
        <w:spacing w:before="0" w:after="80" w:line="240" w:lineRule="exact"/>
        <w:ind w:hanging="720" w:left="720"/>
        <w:jc w:val="both"/>
      </w:pPr>
      <w:bookmarkStart w:id="540" w:name="UNCTAD2025"/>
      <w:r>
        <w:rPr>
          <w:color w:val="1F3864"/>
          <w:u w:val="single"/>
        </w:rPr>
        <w:t xml:space="preserve">UNCTAD. </w:t>
      </w:r>
      <w:r>
        <w:t xml:space="preserve">(2025). </w:t>
      </w:r>
      <w:r>
        <w:rPr>
          <w:i/>
        </w:rPr>
        <w:t>Technology and Innovation Report 2025</w:t>
      </w:r>
      <w:r>
        <w:t>. Geneva: United Nations.</w:t>
      </w:r>
      <w:bookmarkEnd w:id="540"/>
    </w:p>
    <w:p>
      <w:pPr>
        <w:spacing w:before="0" w:after="80" w:line="240" w:lineRule="exact"/>
        <w:ind w:hanging="720" w:left="720"/>
        <w:jc w:val="both"/>
      </w:pPr>
      <w:bookmarkStart w:id="541" w:name="UptimeInstitute2024"/>
      <w:hyperlink w:anchor="UptimeInstitute2024txt" w:history="1">
        <w:r>
          <w:rPr>
            <w:color w:val="1F3864"/>
            <w:u w:val="single"/>
          </w:rPr>
          <w:t xml:space="preserve">Uptime Institute. </w:t>
        </w:r>
      </w:hyperlink>
      <w:r>
        <w:t xml:space="preserve">(2024). </w:t>
      </w:r>
      <w:r>
        <w:rPr>
          <w:i/>
        </w:rPr>
        <w:t>Global Data Center Survey Results 2024</w:t>
      </w:r>
      <w:r>
        <w:t>. uptimeinstitute.com.</w:t>
      </w:r>
      <w:bookmarkEnd w:id="541"/>
    </w:p>
    <w:p>
      <w:pPr>
        <w:spacing w:before="0" w:after="80" w:line="240" w:lineRule="exact"/>
        <w:ind w:hanging="720" w:left="720"/>
        <w:jc w:val="both"/>
      </w:pPr>
      <w:bookmarkStart w:id="542" w:name="vanderPloeg2011"/>
      <w:hyperlink w:anchor="vanderPloeg2011txt" w:history="1">
        <w:r>
          <w:rPr>
            <w:color w:val="1F3864"/>
            <w:u w:val="single"/>
          </w:rPr>
          <w:t xml:space="preserve">van der Ploeg, F. (2011). </w:t>
        </w:r>
      </w:hyperlink>
      <w:r>
        <w:t xml:space="preserve">“Natural Resources: Curse or Blessing?” </w:t>
      </w:r>
      <w:r>
        <w:rPr>
          <w:i/>
        </w:rPr>
        <w:t>Journal of Economic Literature</w:t>
      </w:r>
      <w:r>
        <w:t>, 49(2): 366–420.</w:t>
      </w:r>
      <w:bookmarkEnd w:id="542"/>
    </w:p>
    <w:p>
      <w:pPr>
        <w:spacing w:before="0" w:after="80" w:line="240" w:lineRule="exact"/>
        <w:ind w:hanging="720" w:left="720"/>
        <w:jc w:val="both"/>
      </w:pPr>
      <w:bookmarkStart w:id="543" w:name="WonderNetwork2024"/>
      <w:hyperlink w:anchor="WonderNetwork2024txt" w:history="1">
        <w:r>
          <w:rPr>
            <w:color w:val="1F3864"/>
            <w:u w:val="single"/>
          </w:rPr>
          <w:t xml:space="preserve">WonderNetwork. </w:t>
        </w:r>
      </w:hyperlink>
      <w:r>
        <w:t xml:space="preserve">(2024). </w:t>
      </w:r>
      <w:r>
        <w:rPr>
          <w:i/>
        </w:rPr>
        <w:t>Global Ping Statistics</w:t>
      </w:r>
      <w:r>
        <w:t>. wondernetwork.com.</w:t>
      </w:r>
      <w:bookmarkEnd w:id="543"/>
    </w:p>
    <w:p>
      <w:pPr>
        <w:spacing w:before="0" w:after="80" w:line="240" w:lineRule="exact"/>
        <w:ind w:hanging="720" w:left="720"/>
        <w:jc w:val="both"/>
      </w:pPr>
      <w:bookmarkStart w:id="544" w:name="WorldBank2017"/>
      <w:hyperlink w:anchor="WorldBank2017txt" w:history="1">
        <w:r>
          <w:rPr>
            <w:color w:val="1F3864"/>
            <w:u w:val="single"/>
          </w:rPr>
          <w:t xml:space="preserve">World Bank. </w:t>
        </w:r>
      </w:hyperlink>
      <w:r>
        <w:t xml:space="preserve">(2017). </w:t>
      </w:r>
      <w:r>
        <w:rPr>
          <w:i/>
        </w:rPr>
        <w:t>Special Economic Zones: An Operational Review of Their Impacts</w:t>
      </w:r>
      <w:r>
        <w:t xml:space="preserve">. Washington, DC: </w:t>
      </w:r>
      <w:bookmarkStart w:id="236" w:name="WorldBank2024txt"/>
      <w:hyperlink w:anchor="WorldBank2024" w:history="1">
        <w:r>
          <w:rPr>
            <w:color w:val="1F3864"/>
            <w:u w:val="single"/>
          </w:rPr>
          <w:t xml:space="preserve">World Bank</w:t>
        </w:r>
      </w:hyperlink>
      <w:bookmarkEnd w:id="236"/>
      <w:r>
        <w:t xml:space="preserve">.</w:t>
      </w:r>
      <w:bookmarkEnd w:id="544"/>
    </w:p>
    <w:p>
      <w:pPr>
        <w:spacing w:before="0" w:after="80" w:line="240" w:lineRule="exact"/>
        <w:ind w:hanging="720" w:left="720"/>
        <w:jc w:val="both"/>
      </w:pPr>
      <w:bookmarkStart w:id="545" w:name="WorldBank2024"/>
      <w:hyperlink w:anchor="WorldBank2024txt" w:history="1">
        <w:r>
          <w:rPr>
            <w:color w:val="1F3864"/>
            <w:u w:val="single"/>
          </w:rPr>
          <w:t xml:space="preserve">World Bank. </w:t>
        </w:r>
      </w:hyperlink>
      <w:r>
        <w:t xml:space="preserve">(2024). </w:t>
      </w:r>
      <w:r>
        <w:rPr>
          <w:i/>
        </w:rPr>
        <w:t>World Development Indicators</w:t>
      </w:r>
      <w:r>
        <w:t>. Washington, DC.</w:t>
      </w:r>
      <w:bookmarkEnd w:id="545"/>
    </w:p>
    <w:p>
      <w:pPr>
        <w:spacing w:before="0" w:after="80" w:line="240" w:lineRule="exact"/>
        <w:ind w:hanging="720" w:left="720"/>
        <w:jc w:val="both"/>
      </w:pPr>
      <w:bookmarkStart w:id="546" w:name="WorldBank2025"/>
      <w:hyperlink w:anchor="WorldBank2025txt" w:history="1">
        <w:r>
          <w:rPr>
            <w:color w:val="1F3864"/>
            <w:u w:val="single"/>
          </w:rPr>
          <w:t xml:space="preserve">World Bank. </w:t>
        </w:r>
      </w:hyperlink>
      <w:r>
        <w:t xml:space="preserve">(2025). </w:t>
      </w:r>
      <w:r>
        <w:rPr>
          <w:i/>
        </w:rPr>
        <w:t>Digital Progress and Trends Report 2025</w:t>
      </w:r>
      <w:r>
        <w:t xml:space="preserve">: Strengthening AI Foundations. Washington, DC: </w:t>
      </w:r>
      <w:bookmarkStart w:id="237" w:name="WorldBank2024txt"/>
      <w:hyperlink w:anchor="WorldBank2024" w:history="1">
        <w:r>
          <w:rPr>
            <w:color w:val="1F3864"/>
            <w:u w:val="single"/>
          </w:rPr>
          <w:t xml:space="preserve">World Bank</w:t>
        </w:r>
      </w:hyperlink>
      <w:bookmarkEnd w:id="237"/>
      <w:r>
        <w:t xml:space="preserve">.</w:t>
      </w:r>
      <w:bookmarkEnd w:id="546"/>
    </w:p>
    <w:p>
      <w:pPr>
        <w:spacing w:before="0" w:after="0"/>
      </w:pPr>
      <w:r>
        <w:br w:type="page"/>
      </w:r>
    </w:p>
    <w:p>
      <w:pPr>
        <w:spacing w:before="120" w:after="80"/>
        <w:ind w:firstLine="0"/>
        <w:jc w:val="both"/>
      </w:pPr>
      <w:bookmarkStart w:id="152" w:name="Figure1cals"/>
      <w:hyperlink w:anchor="Figure1calstxt" w:history="1">
        <w:r>
          <w:rPr>
            <w:b/>
            <w:sz w:val="20"/>
            <w:color w:val="1F3864"/>
            <w:u w:val="single"/>
          </w:rPr>
          <w:t>Figure 1</w:t>
        </w:r>
      </w:hyperlink>
      <w:bookmarkEnd w:id="152"/>
      <w:r>
        <w:rPr>
          <w:b/>
          <w:sz w:val="20"/>
        </w:rPr>
        <w:t>. Calibration strategy</w:t>
      </w:r>
    </w:p>
    <w:p>
      <w:pPr>
        <w:spacing w:before="80" w:after="80"/>
        <w:jc w:val="center"/>
      </w:pPr>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calibration_strategy_fig1.png"/>
                    <pic:cNvPicPr/>
                  </pic:nvPicPr>
                  <pic:blipFill>
                    <a:blip r:embed="rId10"/>
                    <a:stretch>
                      <a:fillRect/>
                    </a:stretch>
                  </pic:blipFill>
                  <pic:spPr>
                    <a:xfrm>
                      <a:off x="0" y="0"/>
                      <a:ext cx="5029200" cy="3771900"/>
                    </a:xfrm>
                    <a:prstGeom prst="rect"/>
                  </pic:spPr>
                </pic:pic>
              </a:graphicData>
            </a:graphic>
          </wp:inline>
        </w:drawing>
      </w:r>
    </w:p>
    <w:p>
      <w:pPr>
        <w:spacing w:before="80" w:after="120" w:line="240" w:lineRule="auto"/>
        <w:ind w:firstLine="0" w:left="720" w:right="720"/>
        <w:jc w:val="left"/>
      </w:pPr>
      <w:r>
        <w:rPr>
          <w:b/>
          <w:sz w:val="20"/>
        </w:rPr>
        <w:t xml:space="preserve">Notes: </w:t>
      </w:r>
      <w:r>
        <w:rPr>
          <w:sz w:val="20"/>
        </w:rPr>
        <w:t>Step 1 adjusts production costs from observed electricity tariffs through cost-recovery pricing (removing subsidies) to efficiency-adjusted costs (penalizing weak governance and grid reliability). Step 2 applies trade frictions via bilateral sovereignty premiums and a uniform premium as a robustness check.</w:t>
      </w:r>
    </w:p>
    <w:p>
      <w:pPr>
        <w:spacing w:before="0" w:after="0"/>
      </w:pPr>
      <w:r>
        <w:br w:type="page"/>
      </w:r>
    </w:p>
    <w:p>
      <w:pPr>
        <w:spacing w:before="120" w:after="80"/>
        <w:ind w:firstLine="0"/>
        <w:jc w:val="both"/>
      </w:pPr>
      <w:bookmarkStart w:id="120" w:name="Figure2"/>
      <w:hyperlink w:anchor="Figure2txt" w:history="1">
        <w:r>
          <w:rPr>
            <w:b/>
            <w:sz w:val="20"/>
            <w:color w:val="1F3864"/>
            <w:u w:val="single"/>
          </w:rPr>
          <w:t>Figure 2</w:t>
        </w:r>
      </w:hyperlink>
      <w:bookmarkEnd w:id="120"/>
      <w:r>
        <w:rPr>
          <w:b/>
          <w:sz w:val="20"/>
        </w:rPr>
        <w:t>. Rank change with efficiency adjustment</w:t>
      </w:r>
    </w:p>
    <w:p>
      <w:pPr>
        <w:spacing w:before="80" w:after="80"/>
        <w:jc w:val="center"/>
      </w:pPr>
      <w:r>
        <w:drawing>
          <wp:inline xmlns:a="http://schemas.openxmlformats.org/drawingml/2006/main" xmlns:pic="http://schemas.openxmlformats.org/drawingml/2006/picture">
            <wp:extent cx="4114800" cy="41148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4114800"/>
                    </a:xfrm>
                    <a:prstGeom prst="rect"/>
                  </pic:spPr>
                </pic:pic>
              </a:graphicData>
            </a:graphic>
          </wp:inline>
        </w:drawing>
      </w:r>
    </w:p>
    <w:p>
      <w:pPr>
        <w:spacing w:before="80" w:after="120" w:line="240" w:lineRule="auto"/>
        <w:ind w:firstLine="0" w:left="720" w:right="720"/>
        <w:jc w:val="left"/>
      </w:pPr>
      <w:r>
        <w:rPr>
          <w:b/>
          <w:sz w:val="20"/>
        </w:rPr>
        <w:t xml:space="preserve">Notes: </w:t>
      </w:r>
      <w:r>
        <w:rPr>
          <w:sz w:val="20"/>
        </w:rPr>
        <w:t>Each point is one country. The dashed line marks unchanged rank. Countries above the line improve their position after efficiency adjustment; countries below it fall. Stars (★) indicate countries with active data center construction announcements. Values in parentheses show the production-efficiency index ξᵉᶠᶠ. Even countries with ξᵉᶠᶠ ≈ 1 shift off the diagonal because penalizing low-ξᵉᶠᶠ competitors pushes them down, mechanically raising higher-ξᵉᶠᶠ countries.</w:t>
      </w:r>
    </w:p>
    <w:p>
      <w:pPr>
        <w:spacing w:before="0" w:after="0"/>
      </w:pPr>
      <w:r>
        <w:br w:type="page"/>
      </w:r>
    </w:p>
    <w:p>
      <w:pPr>
        <w:spacing w:before="200" w:after="80"/>
        <w:ind w:firstLine="0"/>
        <w:jc w:val="both"/>
      </w:pPr>
      <w:bookmarkStart w:id="131" w:name="Table1"/>
      <w:hyperlink w:anchor="Table1txt" w:history="1">
        <w:r>
          <w:rPr>
            <w:b/>
            <w:sz w:val="20"/>
            <w:color w:val="1F3864"/>
            <w:u w:val="single"/>
          </w:rPr>
          <w:t>Table 1</w:t>
        </w:r>
      </w:hyperlink>
      <w:bookmarkEnd w:id="131"/>
      <w:r>
        <w:rPr>
          <w:b/>
          <w:sz w:val="20"/>
        </w:rPr>
        <w:t>. Country regime taxonomy (Proposition 1)</w:t>
      </w:r>
    </w:p>
    <w:tbl>
      <w:tblPr>
        <w:tblStyle w:val="TableGrid"/>
        <w:tblW w:type="pct" w:w="480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28"/>
        <w:gridCol w:w="1728"/>
        <w:gridCol w:w="1728"/>
        <w:gridCol w:w="1728"/>
        <w:gridCol w:w="1728"/>
      </w:tblGrid>
      <w:tr>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5184"/>
            <w:gridSpan w:val="3"/>
          </w:tcPr>
          <w:p>
            <w:pPr>
              <w:jc w:val="center"/>
              <w:spacing w:before="20" w:after="20"/>
              <w:spacing w:before="20" w:after="20"/>
              <w:spacing w:before="20" w:after="20"/>
            </w:pPr>
            <w:r/>
            <w:r>
              <w:rPr>
                <w:b/>
                <w:sz w:val="18"/>
              </w:rPr>
              <w:t>Training</w:t>
            </w:r>
            <w:r>
              <w:br/>
            </w:r>
            <w:r>
              <w:rPr>
                <w:i/>
                <w:sz w:val="14"/>
              </w:rPr>
              <w:t>domestic production cost →</w:t>
            </w:r>
          </w:p>
        </w:tc>
      </w:tr>
      <w:tr>
        <w:tc>
          <w:tcPr>
            <w:tcW w:type="dxa" w:w="1728"/>
            <w:vMerge/>
          </w:tcPr>
          <w:p/>
        </w:tc>
        <w:tc>
          <w:tcPr>
            <w:tcW w:type="dxa" w:w="1728"/>
            <w:vMerge/>
          </w:tcPr>
          <w:p/>
        </w:tc>
        <w:tc>
          <w:tcPr>
            <w:tcW w:type="dxa" w:w="1728"/>
          </w:tcPr>
          <w:p>
            <w:pPr>
              <w:jc w:val="center"/>
              <w:spacing w:before="20" w:after="20"/>
            </w:pPr>
            <w:r/>
            <w:r>
              <w:rPr>
                <w:b/>
                <w:i w:val="0"/>
                <w:sz w:val="16"/>
              </w:rPr>
              <w:t>Export</w:t>
            </w:r>
          </w:p>
        </w:tc>
        <w:tc>
          <w:tcPr>
            <w:tcW w:type="dxa" w:w="1728"/>
          </w:tcPr>
          <w:p>
            <w:pPr>
              <w:jc w:val="center"/>
              <w:spacing w:before="20" w:after="20"/>
            </w:pPr>
            <w:r/>
            <w:r>
              <w:rPr>
                <w:b/>
                <w:i w:val="0"/>
                <w:sz w:val="16"/>
              </w:rPr>
              <w:t>Domestic</w:t>
            </w:r>
          </w:p>
        </w:tc>
        <w:tc>
          <w:tcPr>
            <w:tcW w:type="dxa" w:w="1728"/>
          </w:tcPr>
          <w:p>
            <w:pPr>
              <w:jc w:val="center"/>
              <w:spacing w:before="20" w:after="20"/>
            </w:pPr>
            <w:r/>
            <w:r>
              <w:rPr>
                <w:b/>
                <w:i w:val="0"/>
                <w:sz w:val="16"/>
              </w:rPr>
              <w:t>Import</w:t>
            </w:r>
          </w:p>
        </w:tc>
      </w:tr>
      <w:tr>
        <w:tc>
          <w:tcPr>
            <w:tcW w:type="dxa" w:w="1728"/>
            <w:vMerge w:val="restart"/>
            <w:textDirection w:val="btLr"/>
            <w:vAlign w:val="center"/>
          </w:tcPr>
          <w:p>
            <w:pPr>
              <w:jc w:val="center"/>
              <w:spacing w:before="20" w:after="20"/>
              <w:spacing w:before="20" w:after="20"/>
              <w:spacing w:before="20" w:after="20"/>
            </w:pPr>
            <w:r/>
            <w:r>
              <w:rPr>
                <w:b/>
                <w:sz w:val="18"/>
              </w:rPr>
              <w:t>Inference</w:t>
            </w:r>
            <w:r>
              <w:br/>
            </w:r>
            <w:r>
              <w:rPr>
                <w:i/>
                <w:sz w:val="14"/>
              </w:rPr>
              <w:t>← domestic production cost</w:t>
            </w:r>
          </w:p>
        </w:tc>
        <w:tc>
          <w:tcPr>
            <w:tcW w:type="dxa" w:w="1728"/>
          </w:tcPr>
          <w:p>
            <w:pPr>
              <w:jc w:val="center"/>
              <w:spacing w:before="20" w:after="20"/>
            </w:pPr>
            <w:r/>
            <w:r>
              <w:rPr>
                <w:b/>
                <w:i w:val="0"/>
                <w:sz w:val="16"/>
              </w:rPr>
              <w:t>Export</w:t>
            </w:r>
          </w:p>
        </w:tc>
        <w:tc>
          <w:tcPr>
            <w:tcW w:type="dxa" w:w="1728"/>
          </w:tcPr>
          <w:p>
            <w:pPr>
              <w:jc w:val="center"/>
              <w:spacing w:before="20" w:after="20"/>
            </w:pPr>
            <w:r/>
            <w:r>
              <w:rPr>
                <w:b w:val="0"/>
                <w:i w:val="0"/>
                <w:sz w:val="15"/>
              </w:rPr>
              <w:t>✓  (i) EE</w:t>
            </w:r>
            <w:r>
              <w:br/>
            </w:r>
            <w:r>
              <w:rPr>
                <w:b w:val="0"/>
                <w:i w:val="0"/>
                <w:sz w:val="15"/>
              </w:rPr>
              <w:t>T+I exporter</w:t>
            </w:r>
            <w:r>
              <w:br/>
            </w:r>
            <w:r>
              <w:rPr>
                <w:b w:val="0"/>
                <w:i w:val="0"/>
                <w:sz w:val="15"/>
              </w:rPr>
              <w:t>Cheapest producers</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(ii) IE</w:t>
            </w:r>
            <w:r>
              <w:br/>
            </w:r>
            <w:r>
              <w:rPr>
                <w:b w:val="0"/>
                <w:i w:val="0"/>
                <w:sz w:val="15"/>
              </w:rPr>
              <w:t>Inference hub</w:t>
            </w:r>
            <w:r>
              <w:br/>
            </w:r>
            <w:r>
              <w:rPr>
                <w:b w:val="0"/>
                <w:i w:val="0"/>
                <w:sz w:val="15"/>
              </w:rPr>
              <w:t>Regional low-cost hubs</w:t>
            </w:r>
          </w:p>
        </w:tc>
      </w:tr>
      <w:tr>
        <w:tc>
          <w:tcPr>
            <w:tcW w:type="dxa" w:w="1728"/>
            <w:vMerge/>
          </w:tcPr>
          <w:p/>
        </w:tc>
        <w:tc>
          <w:tcPr>
            <w:tcW w:type="dxa" w:w="1728"/>
          </w:tcPr>
          <w:p>
            <w:pPr>
              <w:jc w:val="center"/>
              <w:spacing w:before="20" w:after="20"/>
            </w:pPr>
            <w:r/>
            <w:r>
              <w:rPr>
                <w:b/>
                <w:i w:val="0"/>
                <w:sz w:val="16"/>
              </w:rPr>
              <w:t>Domestic</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(iv) DD</w:t>
            </w:r>
            <w:r>
              <w:br/>
            </w:r>
            <w:r>
              <w:rPr>
                <w:b w:val="0"/>
                <w:i w:val="0"/>
                <w:sz w:val="15"/>
              </w:rPr>
              <w:t>Domestic</w:t>
            </w:r>
            <w:r>
              <w:br/>
            </w:r>
            <w:r>
              <w:rPr>
                <w:b w:val="0"/>
                <w:i w:val="0"/>
                <w:sz w:val="15"/>
              </w:rPr>
              <w:t>High sovereignty</w:t>
            </w:r>
          </w:p>
        </w:tc>
        <w:tc>
          <w:tcPr>
            <w:tcW w:type="dxa" w:w="1728"/>
          </w:tcPr>
          <w:p>
            <w:pPr>
              <w:jc w:val="center"/>
              <w:spacing w:before="20" w:after="20"/>
            </w:pPr>
            <w:r/>
            <w:r>
              <w:rPr>
                <w:b w:val="0"/>
                <w:i w:val="0"/>
                <w:sz w:val="15"/>
              </w:rPr>
              <w:t>✓  (iii) ID</w:t>
            </w:r>
            <w:r>
              <w:br/>
            </w:r>
            <w:r>
              <w:rPr>
                <w:b w:val="0"/>
                <w:i w:val="0"/>
                <w:sz w:val="15"/>
              </w:rPr>
              <w:t>Hybrid</w:t>
            </w:r>
            <w:r>
              <w:br/>
            </w:r>
            <w:r>
              <w:rPr>
                <w:b w:val="0"/>
                <w:i w:val="0"/>
                <w:sz w:val="15"/>
              </w:rPr>
              <w:t>Isolated / moderate cost</w:t>
            </w:r>
          </w:p>
        </w:tc>
      </w:tr>
      <w:tr>
        <w:tc>
          <w:tcPr>
            <w:tcW w:type="dxa" w:w="1728"/>
            <w:vMerge/>
          </w:tcPr>
          <w:p/>
        </w:tc>
        <w:tc>
          <w:tcPr>
            <w:tcW w:type="dxa" w:w="1728"/>
          </w:tcPr>
          <w:p>
            <w:pPr>
              <w:jc w:val="center"/>
              <w:spacing w:before="20" w:after="20"/>
            </w:pPr>
            <w:r/>
            <w:r>
              <w:rPr>
                <w:b/>
                <w:i w:val="0"/>
                <w:sz w:val="16"/>
              </w:rPr>
              <w:t>Import</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shd w:val="clear" w:color="auto" w:fill="E0E0E0"/>
          </w:tcPr>
          <w:p>
            <w:pPr>
              <w:jc w:val="center"/>
              <w:spacing w:before="20" w:after="20"/>
            </w:pPr>
            <w:r/>
            <w:r>
              <w:rPr>
                <w:b w:val="0"/>
                <w:i w:val="0"/>
                <w:sz w:val="15"/>
              </w:rPr>
              <w:t>✗</w:t>
            </w:r>
            <w:r>
              <w:br/>
            </w:r>
            <w:r>
              <w:rPr>
                <w:b w:val="0"/>
                <w:i w:val="0"/>
                <w:sz w:val="15"/>
              </w:rPr>
              <w:t>Sovereignty</w:t>
            </w:r>
            <w:r>
              <w:br/>
            </w:r>
            <w:r>
              <w:rPr>
                <w:b w:val="0"/>
                <w:i w:val="0"/>
                <w:sz w:val="15"/>
              </w:rPr>
              <w:t>dominates</w:t>
            </w:r>
          </w:p>
        </w:tc>
        <w:tc>
          <w:tcPr>
            <w:tcW w:type="dxa" w:w="1728"/>
          </w:tcPr>
          <w:p>
            <w:pPr>
              <w:jc w:val="center"/>
              <w:spacing w:before="20" w:after="20"/>
            </w:pPr>
            <w:r/>
            <w:r>
              <w:rPr>
                <w:b w:val="0"/>
                <w:i w:val="0"/>
                <w:sz w:val="15"/>
              </w:rPr>
              <w:t>✓  (v) II</w:t>
            </w:r>
            <w:r>
              <w:br/>
            </w:r>
            <w:r>
              <w:rPr>
                <w:b w:val="0"/>
                <w:i w:val="0"/>
                <w:sz w:val="15"/>
              </w:rPr>
              <w:t>Full importer</w:t>
            </w:r>
            <w:r>
              <w:br/>
            </w:r>
            <w:r>
              <w:rPr>
                <w:b w:val="0"/>
                <w:i w:val="0"/>
                <w:sz w:val="15"/>
              </w:rPr>
              <w:t>High-cost countries</w:t>
            </w:r>
          </w:p>
        </w:tc>
      </w:tr>
    </w:tbl>
    <w:p>
      <w:pPr>
        <w:spacing w:before="40" w:after="160" w:line="240" w:lineRule="auto"/>
        <w:ind w:firstLine="0"/>
        <w:jc w:val="left"/>
      </w:pPr>
      <w:r>
        <w:rPr>
          <w:sz w:val="20"/>
        </w:rPr>
        <w:t xml:space="preserve">Notes: ✓ = feasible in equilibrium. ✗ = ruled out. Grey cells cannot arise. Roman numerals correspond to regime labels in Proposition 1. Letter codes (EE, IE, ID, DD, II) denote training status (first letter: E = export, I = import, D = domestic) and inference status (second letter), used in </w:t>
      </w:r>
      <w:hyperlink w:anchor="Table3" w:history="1">
        <w:r>
          <w:rPr>
            <w:sz w:val="20"/>
            <w:color w:val="1F3864"/>
            <w:u w:val="single"/>
          </w:rPr>
          <w:t xml:space="preserve">Table 3a</w:t>
        </w:r>
      </w:hyperlink>
      <w:r>
        <w:rPr>
          <w:sz w:val="20"/>
        </w:rPr>
        <w:t>.</w:t>
      </w:r>
    </w:p>
    <w:p>
      <w:pPr>
        <w:spacing w:before="0" w:after="0"/>
      </w:pPr>
      <w:r>
        <w:br w:type="page"/>
      </w:r>
    </w:p>
    <w:p>
      <w:pPr>
        <w:spacing w:before="120" w:after="60"/>
        <w:ind w:firstLine="0"/>
        <w:jc w:val="both"/>
      </w:pPr>
      <w:bookmarkStart w:id="110" w:name="Table2"/>
      <w:hyperlink w:anchor="Table2txt" w:history="1">
        <w:r>
          <w:rPr>
            <w:b/>
            <w:sz w:val="20"/>
            <w:color w:val="1F3864"/>
            <w:u w:val="single"/>
          </w:rPr>
          <w:t>Table 2</w:t>
        </w:r>
      </w:hyperlink>
      <w:bookmarkEnd w:id="110"/>
      <w:r>
        <w:rPr>
          <w:b/>
          <w:sz w:val="20"/>
        </w:rPr>
        <w:t>. Model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60"/>
        <w:gridCol w:w="2160"/>
        <w:gridCol w:w="2160"/>
        <w:gridCol w:w="2160"/>
      </w:tblGrid>
      <w:tr>
        <w:tc>
          <w:tcPr>
            <w:tcW w:type="dxa" w:w="3744"/>
            <w:tcBorders>
              <w:top w:val="single" w:sz="4" w:space="0" w:color="auto"/>
              <w:bottom w:val="single" w:sz="4" w:space="0" w:color="auto"/>
            </w:tcBorders>
          </w:tcPr>
          <w:p>
            <w:pPr>
              <w:jc w:val="center"/>
              <w:spacing w:before="10" w:after="10"/>
            </w:pPr>
            <w:r/>
            <w:r>
              <w:rPr>
                <w:rFonts w:ascii="Times New Roman" w:hAnsi="Times New Roman"/>
                <w:b/>
                <w:sz w:val="20"/>
              </w:rPr>
              <w:t>Parameter</w:t>
            </w:r>
          </w:p>
        </w:tc>
        <w:tc>
          <w:tcPr>
            <w:tcW w:type="dxa" w:w="864"/>
            <w:tcBorders>
              <w:top w:val="single" w:sz="4" w:space="0" w:color="auto"/>
              <w:bottom w:val="single" w:sz="4" w:space="0" w:color="auto"/>
            </w:tcBorders>
          </w:tcPr>
          <w:p>
            <w:pPr>
              <w:jc w:val="center"/>
              <w:spacing w:before="10" w:after="10"/>
            </w:pPr>
            <w:r/>
            <w:r>
              <w:rPr>
                <w:rFonts w:ascii="Times New Roman" w:hAnsi="Times New Roman"/>
                <w:b/>
                <w:sz w:val="20"/>
              </w:rPr>
              <w:t>Symbol</w:t>
            </w:r>
          </w:p>
        </w:tc>
        <w:tc>
          <w:tcPr>
            <w:tcW w:type="dxa" w:w="2160"/>
            <w:tcBorders>
              <w:top w:val="single" w:sz="4" w:space="0" w:color="auto"/>
              <w:bottom w:val="single" w:sz="4" w:space="0" w:color="auto"/>
            </w:tcBorders>
          </w:tcPr>
          <w:p>
            <w:pPr>
              <w:jc w:val="center"/>
              <w:spacing w:before="10" w:after="10"/>
            </w:pPr>
            <w:r/>
            <w:r>
              <w:rPr>
                <w:rFonts w:ascii="Times New Roman" w:hAnsi="Times New Roman"/>
                <w:b/>
                <w:sz w:val="20"/>
              </w:rPr>
              <w:t>Value</w:t>
            </w:r>
          </w:p>
        </w:tc>
        <w:tc>
          <w:tcPr>
            <w:tcW w:type="dxa" w:w="2592"/>
            <w:tcBorders>
              <w:top w:val="single" w:sz="4" w:space="0" w:color="auto"/>
              <w:bottom w:val="single" w:sz="4" w:space="0" w:color="auto"/>
            </w:tcBorders>
          </w:tcPr>
          <w:p>
            <w:pPr>
              <w:jc w:val="center"/>
              <w:spacing w:before="10" w:after="10"/>
            </w:pPr>
            <w:r/>
            <w:r>
              <w:rPr>
                <w:rFonts w:ascii="Times New Roman" w:hAnsi="Times New Roman"/>
                <w:b/>
                <w:sz w:val="20"/>
              </w:rPr>
              <w:t>Source</w:t>
            </w:r>
          </w:p>
        </w:tc>
      </w:tr>
      <w:tr>
        <w:tc>
          <w:tcPr>
            <w:tcW w:type="dxa" w:w="3744"/>
          </w:tcPr>
          <w:p>
            <w:pPr>
              <w:jc w:val="left"/>
              <w:spacing w:before="10" w:after="10"/>
            </w:pPr>
            <w:r/>
            <w:r>
              <w:rPr>
                <w:rFonts w:ascii="Times New Roman" w:hAnsi="Times New Roman"/>
                <w:sz w:val="20"/>
              </w:rPr>
              <w:t>GPU thermal design power</w:t>
            </w:r>
          </w:p>
        </w:tc>
        <w:tc>
          <w:tcPr>
            <w:tcW w:type="dxa" w:w="864"/>
          </w:tcPr>
          <w:p>
            <w:pPr>
              <w:jc w:val="center"/>
              <w:spacing w:before="10" w:after="10"/>
            </w:pPr>
            <w:r/>
            <w:r>
              <w:rPr>
                <w:rFonts w:ascii="Times New Roman" w:hAnsi="Times New Roman"/>
                <w:sz w:val="20"/>
              </w:rPr>
              <w:t>γ</w:t>
            </w:r>
          </w:p>
        </w:tc>
        <w:tc>
          <w:tcPr>
            <w:tcW w:type="dxa" w:w="2160"/>
          </w:tcPr>
          <w:p>
            <w:pPr>
              <w:jc w:val="center"/>
              <w:spacing w:before="10" w:after="10"/>
            </w:pPr>
            <w:r/>
            <w:r>
              <w:rPr>
                <w:rFonts w:ascii="Times New Roman" w:hAnsi="Times New Roman"/>
                <w:sz w:val="20"/>
              </w:rPr>
              <w:t>0.700 kW</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purchase price</w:t>
            </w:r>
          </w:p>
        </w:tc>
        <w:tc>
          <w:tcPr>
            <w:tcW w:type="dxa" w:w="864"/>
          </w:tcPr>
          <w:p>
            <w:pPr>
              <w:jc w:val="center"/>
              <w:spacing w:before="10" w:after="10"/>
            </w:pPr>
            <w:r/>
            <w:r>
              <w:rPr>
                <w:rFonts w:ascii="Times New Roman" w:hAnsi="Times New Roman"/>
                <w:i/>
                <w:sz w:val="20"/>
              </w:rPr>
              <w:t>P</w:t>
            </w:r>
            <w:r>
              <w:rPr>
                <w:rFonts w:ascii="Times New Roman" w:hAnsi="Times New Roman"/>
                <w:sz w:val="20"/>
                <w:vertAlign w:val="subscript"/>
              </w:rPr>
              <w:t>GPU</w:t>
            </w:r>
          </w:p>
        </w:tc>
        <w:tc>
          <w:tcPr>
            <w:tcW w:type="dxa" w:w="2160"/>
          </w:tcPr>
          <w:p>
            <w:pPr>
              <w:jc w:val="center"/>
              <w:spacing w:before="10" w:after="10"/>
            </w:pPr>
            <w:r/>
            <w:r>
              <w:rPr>
                <w:rFonts w:ascii="Times New Roman" w:hAnsi="Times New Roman"/>
                <w:sz w:val="20"/>
              </w:rPr>
              <w:t>$25,000</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useful life</w:t>
            </w:r>
          </w:p>
        </w:tc>
        <w:tc>
          <w:tcPr>
            <w:tcW w:type="dxa" w:w="864"/>
          </w:tcPr>
          <w:p>
            <w:pPr>
              <w:jc w:val="center"/>
              <w:spacing w:before="10" w:after="10"/>
            </w:pPr>
            <w:r/>
            <w:r>
              <w:rPr>
                <w:rFonts w:ascii="Times New Roman" w:hAnsi="Times New Roman"/>
                <w:sz w:val="20"/>
              </w:rPr>
              <w:t>L</w:t>
            </w:r>
          </w:p>
        </w:tc>
        <w:tc>
          <w:tcPr>
            <w:tcW w:type="dxa" w:w="2160"/>
          </w:tcPr>
          <w:p>
            <w:pPr>
              <w:jc w:val="center"/>
              <w:spacing w:before="10" w:after="10"/>
            </w:pPr>
            <w:r/>
            <w:r>
              <w:rPr>
                <w:rFonts w:ascii="Times New Roman" w:hAnsi="Times New Roman"/>
                <w:sz w:val="20"/>
              </w:rPr>
              <w:t>3 years</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GPU utilization rate</w:t>
            </w:r>
          </w:p>
        </w:tc>
        <w:tc>
          <w:tcPr>
            <w:tcW w:type="dxa" w:w="864"/>
          </w:tcPr>
          <w:p>
            <w:pPr>
              <w:jc w:val="center"/>
              <w:spacing w:before="10" w:after="10"/>
            </w:pPr>
            <w:r/>
            <w:r>
              <w:rPr>
                <w:rFonts w:ascii="Times New Roman" w:hAnsi="Times New Roman"/>
                <w:sz w:val="20"/>
              </w:rPr>
              <w:t>β</w:t>
            </w:r>
          </w:p>
        </w:tc>
        <w:tc>
          <w:tcPr>
            <w:tcW w:type="dxa" w:w="2160"/>
          </w:tcPr>
          <w:p>
            <w:pPr>
              <w:jc w:val="center"/>
              <w:spacing w:before="10" w:after="10"/>
            </w:pPr>
            <w:r/>
            <w:r>
              <w:rPr>
                <w:rFonts w:ascii="Times New Roman" w:hAnsi="Times New Roman"/>
                <w:sz w:val="20"/>
              </w:rPr>
              <w:t>0.70</w:t>
            </w:r>
          </w:p>
        </w:tc>
        <w:tc>
          <w:tcPr>
            <w:tcW w:type="dxa" w:w="2592"/>
          </w:tcPr>
          <w:p>
            <w:pPr>
              <w:jc w:val="left"/>
              <w:spacing w:before="10" w:after="10"/>
            </w:pPr>
            <w:r/>
            <w:hyperlink w:anchor="Barroso2018" w:history="1">
              <w:r>
                <w:rPr>
                  <w:sz w:val="20"/>
                  <w:rFonts w:ascii="Times New Roman" w:hAnsi="Times New Roman"/>
                  <w:color w:val="1F3864"/>
                  <w:u w:val="single"/>
                </w:rPr>
                <w:t xml:space="preserve">Barroso et al. (2018)</w:t>
              </w:r>
            </w:hyperlink>
          </w:p>
        </w:tc>
      </w:tr>
      <w:tr>
        <w:tc>
          <w:tcPr>
            <w:tcW w:type="dxa" w:w="3744"/>
          </w:tcPr>
          <w:p>
            <w:pPr>
              <w:jc w:val="left"/>
              <w:spacing w:before="10" w:after="10"/>
            </w:pPr>
            <w:r/>
            <w:r>
              <w:rPr>
                <w:rFonts w:ascii="Times New Roman" w:hAnsi="Times New Roman"/>
                <w:sz w:val="20"/>
              </w:rPr>
              <w:t>Hours per year (365.25 x 24)</w:t>
            </w:r>
          </w:p>
        </w:tc>
        <w:tc>
          <w:tcPr>
            <w:tcW w:type="dxa" w:w="864"/>
          </w:tcPr>
          <w:p>
            <w:pPr>
              <w:jc w:val="center"/>
              <w:spacing w:before="10" w:after="10"/>
            </w:pPr>
            <w:r/>
            <w:r>
              <w:rPr>
                <w:rFonts w:ascii="Times New Roman" w:hAnsi="Times New Roman"/>
                <w:sz w:val="20"/>
              </w:rPr>
              <w:t>H</w:t>
            </w:r>
          </w:p>
        </w:tc>
        <w:tc>
          <w:tcPr>
            <w:tcW w:type="dxa" w:w="2160"/>
          </w:tcPr>
          <w:p>
            <w:pPr>
              <w:jc w:val="center"/>
              <w:spacing w:before="10" w:after="10"/>
            </w:pPr>
            <w:r/>
            <w:r>
              <w:rPr>
                <w:rFonts w:ascii="Times New Roman" w:hAnsi="Times New Roman"/>
                <w:sz w:val="20"/>
              </w:rPr>
              <w:t>8766 hr/yr</w:t>
            </w:r>
          </w:p>
        </w:tc>
        <w:tc>
          <w:tcPr>
            <w:tcW w:type="dxa" w:w="2592"/>
          </w:tcPr>
          <w:p>
            <w:pPr>
              <w:jc w:val="left"/>
              <w:spacing w:before="10" w:after="10"/>
            </w:pPr>
            <w:r/>
            <w:r>
              <w:rPr>
                <w:rFonts w:ascii="Times New Roman" w:hAnsi="Times New Roman"/>
                <w:sz w:val="20"/>
              </w:rPr>
              <w:t>Calendar</w:t>
            </w:r>
          </w:p>
        </w:tc>
      </w:tr>
      <w:tr>
        <w:tc>
          <w:tcPr>
            <w:tcW w:type="dxa" w:w="3744"/>
          </w:tcPr>
          <w:p>
            <w:pPr>
              <w:jc w:val="left"/>
              <w:spacing w:before="10" w:after="10"/>
            </w:pPr>
            <w:r/>
            <w:r>
              <w:rPr>
                <w:rFonts w:ascii="Times New Roman" w:hAnsi="Times New Roman"/>
                <w:sz w:val="20"/>
              </w:rPr>
              <w:t>Amortized hardware cost per GPU-hour</w:t>
            </w:r>
          </w:p>
        </w:tc>
        <w:tc>
          <w:tcPr>
            <w:tcW w:type="dxa" w:w="864"/>
          </w:tcPr>
          <w:p>
            <w:pPr>
              <w:jc w:val="center"/>
              <w:spacing w:before="10" w:after="10"/>
            </w:pPr>
            <w:r/>
            <w:r>
              <w:rPr>
                <w:rFonts w:ascii="Times New Roman" w:hAnsi="Times New Roman"/>
                <w:sz w:val="20"/>
              </w:rPr>
              <w:t>ρ</w:t>
            </w:r>
          </w:p>
        </w:tc>
        <w:tc>
          <w:tcPr>
            <w:tcW w:type="dxa" w:w="2160"/>
          </w:tcPr>
          <w:p>
            <w:pPr>
              <w:jc w:val="center"/>
              <w:spacing w:before="10" w:after="10"/>
            </w:pPr>
            <w:r/>
            <w:r>
              <w:rPr>
                <w:rFonts w:ascii="Times New Roman" w:hAnsi="Times New Roman"/>
                <w:sz w:val="20"/>
              </w:rPr>
              <w:t>$1.36/hr</w:t>
            </w:r>
          </w:p>
        </w:tc>
        <w:tc>
          <w:tcPr>
            <w:tcW w:type="dxa" w:w="2592"/>
          </w:tcPr>
          <w:p>
            <w:pPr>
              <w:jc w:val="left"/>
              <w:spacing w:before="10" w:after="10"/>
            </w:pPr>
            <w:r/>
            <w:r>
              <w:rPr>
                <w:rFonts w:ascii="Times New Roman" w:hAnsi="Times New Roman"/>
                <w:sz w:val="20"/>
              </w:rPr>
              <w:t>Derived</w:t>
            </w:r>
          </w:p>
        </w:tc>
      </w:tr>
      <w:tr>
        <w:tc>
          <w:tcPr>
            <w:tcW w:type="dxa" w:w="3744"/>
          </w:tcPr>
          <w:p>
            <w:pPr>
              <w:jc w:val="left"/>
              <w:spacing w:before="10" w:after="10"/>
            </w:pPr>
            <w:r/>
            <w:r>
              <w:rPr>
                <w:rFonts w:ascii="Times New Roman" w:hAnsi="Times New Roman"/>
                <w:sz w:val="20"/>
              </w:rPr>
              <w:t>Amortized networking cost per GPU-hour</w:t>
            </w:r>
          </w:p>
        </w:tc>
        <w:tc>
          <w:tcPr>
            <w:tcW w:type="dxa" w:w="864"/>
          </w:tcPr>
          <w:p>
            <w:pPr>
              <w:jc w:val="center"/>
              <w:spacing w:before="10" w:after="10"/>
            </w:pPr>
            <w:r/>
            <w:r>
              <w:rPr>
                <w:rFonts w:ascii="Times New Roman" w:hAnsi="Times New Roman"/>
                <w:sz w:val="20"/>
              </w:rPr>
              <w:t>η</w:t>
            </w:r>
          </w:p>
        </w:tc>
        <w:tc>
          <w:tcPr>
            <w:tcW w:type="dxa" w:w="2160"/>
          </w:tcPr>
          <w:p>
            <w:pPr>
              <w:jc w:val="center"/>
              <w:spacing w:before="10" w:after="10"/>
            </w:pPr>
            <w:r/>
            <w:r>
              <w:rPr>
                <w:rFonts w:ascii="Times New Roman" w:hAnsi="Times New Roman"/>
                <w:sz w:val="20"/>
              </w:rPr>
              <w:t>$0.15/hr</w:t>
            </w:r>
          </w:p>
        </w:tc>
        <w:tc>
          <w:tcPr>
            <w:tcW w:type="dxa" w:w="2592"/>
          </w:tcPr>
          <w:p>
            <w:pPr>
              <w:jc w:val="left"/>
              <w:spacing w:before="10" w:after="10"/>
            </w:pPr>
            <w:r/>
            <w:hyperlink w:anchor="Liu2023" w:history="1">
              <w:r>
                <w:rPr>
                  <w:sz w:val="20"/>
                  <w:rFonts w:ascii="Times New Roman" w:hAnsi="Times New Roman"/>
                  <w:color w:val="1F3864"/>
                  <w:u w:val="single"/>
                </w:rPr>
                <w:t xml:space="preserve">Liu et al. (2023)</w:t>
              </w:r>
            </w:hyperlink>
          </w:p>
        </w:tc>
      </w:tr>
      <w:tr>
        <w:tc>
          <w:tcPr>
            <w:tcW w:type="dxa" w:w="3744"/>
          </w:tcPr>
          <w:p>
            <w:pPr>
              <w:jc w:val="left"/>
              <w:spacing w:before="10" w:after="10"/>
            </w:pPr>
            <w:r/>
            <w:r>
              <w:rPr>
                <w:rFonts w:ascii="Times New Roman" w:hAnsi="Times New Roman"/>
                <w:sz w:val="20"/>
              </w:rPr>
              <w:t>PUE baseline (best-practice free-air cooling)</w:t>
            </w:r>
          </w:p>
        </w:tc>
        <w:tc>
          <w:tcPr>
            <w:tcW w:type="dxa" w:w="864"/>
          </w:tcPr>
          <w:p>
            <w:pPr>
              <w:jc w:val="center"/>
              <w:spacing w:before="10" w:after="10"/>
            </w:pPr>
            <w:r/>
            <w:r>
              <w:rPr>
                <w:rFonts w:ascii="Times New Roman" w:hAnsi="Times New Roman"/>
                <w:sz w:val="20"/>
              </w:rPr>
              <w:t>φ</w:t>
            </w:r>
          </w:p>
        </w:tc>
        <w:tc>
          <w:tcPr>
            <w:tcW w:type="dxa" w:w="2160"/>
          </w:tcPr>
          <w:p>
            <w:pPr>
              <w:jc w:val="center"/>
              <w:spacing w:before="10" w:after="10"/>
            </w:pPr>
            <w:r/>
            <w:r>
              <w:rPr>
                <w:rFonts w:ascii="Times New Roman" w:hAnsi="Times New Roman"/>
                <w:sz w:val="20"/>
              </w:rPr>
              <w:t>1.08</w:t>
            </w:r>
          </w:p>
        </w:tc>
        <w:tc>
          <w:tcPr>
            <w:tcW w:type="dxa" w:w="2592"/>
          </w:tcPr>
          <w:p>
            <w:pPr>
              <w:jc w:val="left"/>
              <w:spacing w:before="10" w:after="10"/>
            </w:pPr>
            <w:r/>
            <w:hyperlink w:anchor="Google2024" w:history="1">
              <w:r>
                <w:rPr>
                  <w:sz w:val="20"/>
                  <w:rFonts w:ascii="Times New Roman" w:hAnsi="Times New Roman"/>
                  <w:color w:val="1F3864"/>
                  <w:u w:val="single"/>
                </w:rPr>
                <w:t xml:space="preserve">Google (2024)</w:t>
              </w:r>
            </w:hyperlink>
          </w:p>
        </w:tc>
      </w:tr>
      <w:tr>
        <w:tc>
          <w:tcPr>
            <w:tcW w:type="dxa" w:w="3744"/>
          </w:tcPr>
          <w:p>
            <w:pPr>
              <w:jc w:val="left"/>
              <w:spacing w:before="10" w:after="10"/>
            </w:pPr>
            <w:r/>
            <w:r>
              <w:rPr>
                <w:rFonts w:ascii="Times New Roman" w:hAnsi="Times New Roman"/>
                <w:sz w:val="20"/>
              </w:rPr>
              <w:t>PUE temperature sensitivity per degree C</w:t>
            </w:r>
          </w:p>
        </w:tc>
        <w:tc>
          <w:tcPr>
            <w:tcW w:type="dxa" w:w="864"/>
          </w:tcPr>
          <w:p>
            <w:pPr>
              <w:jc w:val="center"/>
              <w:spacing w:before="10" w:after="10"/>
            </w:pPr>
            <w:r/>
            <w:r>
              <w:rPr>
                <w:rFonts w:ascii="Times New Roman" w:hAnsi="Times New Roman"/>
                <w:sz w:val="20"/>
              </w:rPr>
              <w:t>δ</w:t>
            </w:r>
          </w:p>
        </w:tc>
        <w:tc>
          <w:tcPr>
            <w:tcW w:type="dxa" w:w="2160"/>
          </w:tcPr>
          <w:p>
            <w:pPr>
              <w:jc w:val="center"/>
              <w:spacing w:before="10" w:after="10"/>
            </w:pPr>
            <w:r/>
            <w:r>
              <w:rPr>
                <w:rFonts w:ascii="Times New Roman" w:hAnsi="Times New Roman"/>
                <w:sz w:val="20"/>
              </w:rPr>
              <w:t>0.015 per C</w:t>
            </w:r>
          </w:p>
        </w:tc>
        <w:tc>
          <w:tcPr>
            <w:tcW w:type="dxa" w:w="2592"/>
          </w:tcPr>
          <w:p>
            <w:pPr>
              <w:jc w:val="left"/>
              <w:spacing w:before="10" w:after="10"/>
            </w:pPr>
            <w:r/>
            <w:hyperlink w:anchor="Flucker2013" w:history="1">
              <w:r>
                <w:rPr>
                  <w:sz w:val="20"/>
                  <w:rFonts w:ascii="Times New Roman" w:hAnsi="Times New Roman"/>
                  <w:color w:val="1F3864"/>
                  <w:u w:val="single"/>
                </w:rPr>
                <w:t xml:space="preserve">Flucker et al. (2013)</w:t>
              </w:r>
            </w:hyperlink>
          </w:p>
        </w:tc>
      </w:tr>
      <w:tr>
        <w:tc>
          <w:tcPr>
            <w:tcW w:type="dxa" w:w="3744"/>
          </w:tcPr>
          <w:p>
            <w:pPr>
              <w:jc w:val="left"/>
              <w:spacing w:before="10" w:after="10"/>
            </w:pPr>
            <w:r/>
            <w:r>
              <w:rPr>
                <w:rFonts w:ascii="Times New Roman" w:hAnsi="Times New Roman"/>
                <w:sz w:val="20"/>
              </w:rPr>
              <w:t>Free-cooling temperature threshold</w:t>
            </w:r>
          </w:p>
        </w:tc>
        <w:tc>
          <w:tcPr>
            <w:tcW w:type="dxa" w:w="864"/>
          </w:tcPr>
          <w:p>
            <w:pPr>
              <w:jc w:val="center"/>
              <w:spacing w:before="10" w:after="10"/>
            </w:pPr>
            <w:r/>
            <m:oMath>
              <m:bar>
                <m:barPr>
                  <m:pos m:val="top"/>
                </m:barPr>
                <m:e>
                  <m:r>
                    <m:rPr>
                      <m:sty m:val="i"/>
                    </m:rPr>
                    <w:rPr>
                      <w:rFonts w:ascii="Cambria Math" w:hAnsi="Cambria Math"/>
                    </w:rPr>
                    <m:t xml:space="preserve">θ</m:t>
                  </m:r>
                </m:e>
              </m:bar>
            </m:oMath>
          </w:p>
        </w:tc>
        <w:tc>
          <w:tcPr>
            <w:tcW w:type="dxa" w:w="2160"/>
          </w:tcPr>
          <w:p>
            <w:pPr>
              <w:jc w:val="center"/>
              <w:spacing w:before="10" w:after="10"/>
            </w:pPr>
            <w:r/>
            <w:r>
              <w:rPr>
                <w:rFonts w:ascii="Times New Roman" w:hAnsi="Times New Roman"/>
                <w:sz w:val="20"/>
              </w:rPr>
              <w:t>15 C</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Data center facility lifetime</w:t>
            </w:r>
          </w:p>
        </w:tc>
        <w:tc>
          <w:tcPr>
            <w:tcW w:type="dxa" w:w="864"/>
          </w:tcPr>
          <w:p>
            <w:pPr>
              <w:jc w:val="center"/>
              <w:spacing w:before="10" w:after="10"/>
            </w:pPr>
            <w:r/>
            <w:r>
              <w:rPr>
                <w:rFonts w:ascii="Times New Roman" w:hAnsi="Times New Roman"/>
                <w:sz w:val="20"/>
              </w:rPr>
              <w:t>D</w:t>
            </w:r>
          </w:p>
        </w:tc>
        <w:tc>
          <w:tcPr>
            <w:tcW w:type="dxa" w:w="2160"/>
          </w:tcPr>
          <w:p>
            <w:pPr>
              <w:jc w:val="center"/>
              <w:spacing w:before="10" w:after="10"/>
            </w:pPr>
            <w:r/>
            <w:r>
              <w:rPr>
                <w:rFonts w:ascii="Times New Roman" w:hAnsi="Times New Roman"/>
                <w:sz w:val="20"/>
              </w:rPr>
              <w:t>15 years</w:t>
            </w:r>
          </w:p>
        </w:tc>
        <w:tc>
          <w:tcPr>
            <w:tcW w:type="dxa" w:w="2592"/>
          </w:tcPr>
          <w:p>
            <w:pPr>
              <w:jc w:val="left"/>
              <w:spacing w:before="10" w:after="10"/>
            </w:pPr>
            <w:r/>
            <w:hyperlink w:anchor="TurnerTownsend2025" w:history="1">
              <w:r>
                <w:rPr>
                  <w:sz w:val="20"/>
                  <w:rFonts w:ascii="Times New Roman" w:hAnsi="Times New Roman"/>
                  <w:color w:val="1F3864"/>
                  <w:u w:val="single"/>
                </w:rPr>
                <w:t xml:space="preserve">Turner and Townsend (2025)</w:t>
              </w:r>
            </w:hyperlink>
          </w:p>
        </w:tc>
      </w:tr>
      <w:tr>
        <w:tc>
          <w:tcPr>
            <w:tcW w:type="dxa" w:w="3744"/>
          </w:tcPr>
          <w:p>
            <w:pPr>
              <w:jc w:val="left"/>
              <w:spacing w:before="10" w:after="10"/>
            </w:pPr>
            <w:r/>
            <w:r>
              <w:rPr>
                <w:rFonts w:ascii="Times New Roman" w:hAnsi="Times New Roman"/>
                <w:sz w:val="20"/>
              </w:rPr>
              <w:t>Latency degradation per ms of RTT</w:t>
            </w:r>
          </w:p>
        </w:tc>
        <w:tc>
          <w:tcPr>
            <w:tcW w:type="dxa" w:w="864"/>
          </w:tcPr>
          <w:p>
            <w:pPr>
              <w:jc w:val="center"/>
              <w:spacing w:before="10" w:after="10"/>
            </w:pPr>
            <w:r/>
            <w:r>
              <w:rPr>
                <w:rFonts w:ascii="Times New Roman" w:hAnsi="Times New Roman"/>
                <w:sz w:val="20"/>
              </w:rPr>
              <w:t>τ</w:t>
            </w:r>
          </w:p>
        </w:tc>
        <w:tc>
          <w:tcPr>
            <w:tcW w:type="dxa" w:w="2160"/>
          </w:tcPr>
          <w:p>
            <w:pPr>
              <w:jc w:val="center"/>
              <w:spacing w:before="10" w:after="10"/>
            </w:pPr>
            <w:r/>
            <w:r>
              <w:rPr>
                <w:rFonts w:ascii="Times New Roman" w:hAnsi="Times New Roman"/>
                <w:sz w:val="20"/>
              </w:rPr>
              <w:t>0.0008 per ms</w:t>
            </w:r>
          </w:p>
        </w:tc>
        <w:tc>
          <w:tcPr>
            <w:tcW w:type="dxa" w:w="2592"/>
          </w:tcPr>
          <w:p>
            <w:pPr>
              <w:jc w:val="left"/>
              <w:spacing w:before="10" w:after="10"/>
            </w:pPr>
            <w:r/>
            <w:r>
              <w:rPr>
                <w:rFonts w:ascii="Times New Roman" w:hAnsi="Times New Roman"/>
                <w:sz w:val="20"/>
              </w:rPr>
              <w:t>Calibrated</w:t>
            </w:r>
          </w:p>
        </w:tc>
      </w:tr>
      <w:tr>
        <w:tc>
          <w:tcPr>
            <w:tcW w:type="dxa" w:w="3744"/>
          </w:tcPr>
          <w:p>
            <w:pPr>
              <w:jc w:val="left"/>
              <w:spacing w:before="10" w:after="10"/>
            </w:pPr>
            <w:r/>
            <w:r>
              <w:rPr>
                <w:rFonts w:ascii="Times New Roman" w:hAnsi="Times New Roman"/>
                <w:sz w:val="20"/>
              </w:rPr>
              <w:t>Bilateral sovereignty premium</w:t>
            </w:r>
          </w:p>
        </w:tc>
        <w:tc>
          <w:tcPr>
            <w:tcW w:type="dxa" w:w="864"/>
          </w:tcPr>
          <w:p>
            <w:pPr>
              <w:jc w:val="center"/>
              <w:spacing w:before="10" w:after="10"/>
            </w:pPr>
            <w:r/>
            <m:oMath>
              <m:sSub>
                <m:sSubPr/>
                <m:e>
                  <m:r>
                    <m:rPr>
                      <m:sty m:val="i"/>
                    </m:rPr>
                    <w:rPr>
                      <w:rFonts w:ascii="Cambria Math" w:hAnsi="Cambria Math"/>
                    </w:rPr>
                    <m:t xml:space="preserve">λ</m:t>
                  </m:r>
                </m:e>
                <m:sub>
                  <m:r>
                    <m:rPr>
                      <m:sty m:val="i"/>
                    </m:rPr>
                    <w:rPr>
                      <w:rFonts w:ascii="Cambria Math" w:hAnsi="Cambria Math"/>
                    </w:rPr>
                    <m:t xml:space="preserve">ij</m:t>
                  </m:r>
                </m:sub>
              </m:sSub>
            </m:oMath>
          </w:p>
        </w:tc>
        <w:tc>
          <w:tcPr>
            <w:tcW w:type="dxa" w:w="2160"/>
          </w:tcPr>
          <w:p>
            <w:pPr>
              <w:jc w:val="center"/>
              <w:spacing w:before="10" w:after="10"/>
            </w:pPr>
            <w:r/>
            <w:r>
              <w:rPr>
                <w:rFonts w:ascii="Times New Roman" w:hAnsi="Times New Roman"/>
                <w:sz w:val="20"/>
              </w:rPr>
              <w:t>Eq. (2)</w:t>
            </w:r>
          </w:p>
        </w:tc>
        <w:tc>
          <w:tcPr>
            <w:tcW w:type="dxa" w:w="2592"/>
          </w:tcPr>
          <w:p>
            <w:pPr>
              <w:jc w:val="left"/>
              <w:spacing w:before="10" w:after="10"/>
            </w:pPr>
            <w:r/>
            <w:r>
              <w:rPr>
                <w:sz w:val="20"/>
                <w:rFonts w:ascii="Times New Roman" w:hAnsi="Times New Roman"/>
                <w:color w:val="1F3864"/>
                <w:u w:val="single"/>
              </w:rPr>
              <w:t xml:space="preserve">Bailey et al. (2017)</w:t>
            </w:r>
          </w:p>
        </w:tc>
      </w:tr>
      <w:tr>
        <w:tc>
          <w:tcPr>
            <w:tcW w:type="dxa" w:w="3744"/>
          </w:tcPr>
          <w:p>
            <w:pPr>
              <w:jc w:val="left"/>
              <w:spacing w:before="10" w:after="10"/>
            </w:pPr>
            <w:r/>
            <w:r>
              <w:rPr>
                <w:rFonts w:ascii="Times New Roman" w:hAnsi="Times New Roman"/>
                <w:sz w:val="20"/>
              </w:rPr>
              <w:t>Training share of compute demand</w:t>
            </w:r>
          </w:p>
        </w:tc>
        <w:tc>
          <w:tcPr>
            <w:tcW w:type="dxa" w:w="864"/>
          </w:tcPr>
          <w:p>
            <w:pPr>
              <w:jc w:val="center"/>
              <w:spacing w:before="10" w:after="10"/>
            </w:pPr>
            <w:r/>
            <w:r>
              <w:rPr>
                <w:rFonts w:ascii="Times New Roman" w:hAnsi="Times New Roman"/>
                <w:sz w:val="20"/>
              </w:rPr>
              <w:t>α</w:t>
            </w:r>
          </w:p>
        </w:tc>
        <w:tc>
          <w:tcPr>
            <w:tcW w:type="dxa" w:w="2160"/>
          </w:tcPr>
          <w:p>
            <w:pPr>
              <w:jc w:val="center"/>
              <w:spacing w:before="10" w:after="10"/>
            </w:pPr>
            <w:r/>
            <w:r>
              <w:rPr>
                <w:rFonts w:ascii="Times New Roman" w:hAnsi="Times New Roman"/>
                <w:sz w:val="20"/>
              </w:rPr>
              <w:t>0.50</w:t>
            </w:r>
          </w:p>
        </w:tc>
        <w:tc>
          <w:tcPr>
            <w:tcW w:type="dxa" w:w="2592"/>
          </w:tcPr>
          <w:p>
            <w:pPr>
              <w:jc w:val="left"/>
              <w:spacing w:before="10" w:after="10"/>
            </w:pPr>
            <w:r/>
            <w:hyperlink w:anchor="Deloitte2025" w:history="1">
              <w:r>
                <w:rPr>
                  <w:sz w:val="20"/>
                  <w:rFonts w:ascii="Times New Roman" w:hAnsi="Times New Roman"/>
                  <w:color w:val="1F3864"/>
                  <w:u w:val="single"/>
                </w:rPr>
                <w:t xml:space="preserve">Deloitte (2025)</w:t>
              </w:r>
            </w:hyperlink>
          </w:p>
        </w:tc>
      </w:tr>
      <w:tr>
        <w:tc>
          <w:tcPr>
            <w:tcW w:type="dxa" w:w="3744"/>
          </w:tcPr>
          <w:p>
            <w:pPr>
              <w:jc w:val="left"/>
              <w:spacing w:before="10" w:after="10"/>
            </w:pPr>
            <w:r/>
            <w:r>
              <w:rPr>
                <w:rFonts w:ascii="Times New Roman" w:hAnsi="Times New Roman"/>
                <w:sz w:val="20"/>
              </w:rPr>
              <w:t>Total global compute demand</w:t>
            </w:r>
          </w:p>
        </w:tc>
        <w:tc>
          <w:tcPr>
            <w:tcW w:type="dxa" w:w="864"/>
          </w:tcPr>
          <w:p>
            <w:pPr>
              <w:jc w:val="center"/>
              <w:spacing w:before="10" w:after="10"/>
            </w:pPr>
            <w:r/>
            <w:r>
              <w:rPr>
                <w:rFonts w:ascii="Times New Roman" w:hAnsi="Times New Roman"/>
                <w:sz w:val="20"/>
              </w:rPr>
              <w:t>Q</w:t>
            </w:r>
          </w:p>
        </w:tc>
        <w:tc>
          <w:tcPr>
            <w:tcW w:type="dxa" w:w="2160"/>
          </w:tcPr>
          <w:p>
            <w:pPr>
              <w:jc w:val="center"/>
              <w:spacing w:before="10" w:after="10"/>
            </w:pPr>
            <w:r/>
            <w:r>
              <w:rPr>
                <w:rFonts w:ascii="Times New Roman" w:hAnsi="Times New Roman"/>
                <w:sz w:val="20"/>
              </w:rPr>
              <w:t>6×10¹⁰ GPU-hr/yr</w:t>
            </w:r>
          </w:p>
        </w:tc>
        <w:tc>
          <w:tcPr>
            <w:tcW w:type="dxa" w:w="2592"/>
          </w:tcPr>
          <w:p>
            <w:pPr>
              <w:jc w:val="left"/>
              <w:spacing w:before="10" w:after="10"/>
            </w:pPr>
            <w:r/>
            <w:hyperlink w:anchor="EpochAI2024" w:history="1">
              <w:r>
                <w:rPr>
                  <w:sz w:val="20"/>
                  <w:rFonts w:ascii="Times New Roman" w:hAnsi="Times New Roman"/>
                  <w:color w:val="1F3864"/>
                  <w:u w:val="single"/>
                </w:rPr>
                <w:t xml:space="preserve">Epoch AI (2024)</w:t>
              </w:r>
            </w:hyperlink>
          </w:p>
        </w:tc>
      </w:tr>
      <w:tr>
        <w:tc>
          <w:tcPr>
            <w:tcW w:type="dxa" w:w="3744"/>
            <w:tcBorders>
              <w:bottom w:val="double" w:sz="4" w:space="0" w:color="auto"/>
            </w:tcBorders>
          </w:tcPr>
          <w:p>
            <w:pPr>
              <w:jc w:val="left"/>
              <w:spacing w:before="10" w:after="10"/>
            </w:pPr>
            <w:r/>
            <w:r>
              <w:rPr>
                <w:rFonts w:ascii="Times New Roman" w:hAnsi="Times New Roman"/>
                <w:sz w:val="20"/>
              </w:rPr>
              <w:t>Production-efficiency index (baseline)</w:t>
            </w:r>
          </w:p>
        </w:tc>
        <w:tc>
          <w:tcPr>
            <w:tcW w:type="dxa" w:w="864"/>
            <w:tcBorders>
              <w:bottom w:val="double" w:sz="4" w:space="0" w:color="auto"/>
            </w:tcBorders>
          </w:tcPr>
          <w:p>
            <w:pPr>
              <w:jc w:val="center"/>
              <w:spacing w:before="10" w:after="10"/>
            </w:pPr>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oMath>
          </w:p>
        </w:tc>
        <w:tc>
          <w:tcPr>
            <w:tcW w:type="dxa" w:w="2160"/>
            <w:tcBorders>
              <w:bottom w:val="double" w:sz="4" w:space="0" w:color="auto"/>
            </w:tcBorders>
          </w:tcPr>
          <w:p>
            <w:pPr>
              <w:jc w:val="center"/>
              <w:spacing w:before="10" w:after="10"/>
            </w:pPr>
            <w:r/>
            <w:r>
              <w:rPr>
                <w:rFonts w:ascii="Times New Roman" w:hAnsi="Times New Roman"/>
                <w:sz w:val="20"/>
              </w:rPr>
              <w:t>1.00</w:t>
            </w:r>
          </w:p>
        </w:tc>
        <w:tc>
          <w:tcPr>
            <w:tcW w:type="dxa" w:w="2592"/>
            <w:tcBorders>
              <w:bottom w:val="double" w:sz="4" w:space="0" w:color="auto"/>
            </w:tcBorders>
          </w:tcPr>
          <w:p>
            <w:pPr>
              <w:jc w:val="left"/>
              <w:spacing w:before="10" w:after="10"/>
            </w:pPr>
            <w:r/>
            <w:hyperlink w:anchor="WorldBank2024" w:history="1">
              <w:r>
                <w:rPr>
                  <w:sz w:val="20"/>
                  <w:rFonts w:ascii="Times New Roman" w:hAnsi="Times New Roman"/>
                  <w:color w:val="1F3864"/>
                  <w:u w:val="single"/>
                </w:rPr>
                <w:t xml:space="preserve">WGI and Enterprise Surveys</w:t>
              </w:r>
            </w:hyperlink>
          </w:p>
        </w:tc>
      </w:tr>
    </w:tbl>
    <w:p>
      <w:pPr>
        <w:spacing w:before="0" w:after="120" w:line="240" w:lineRule="auto"/>
        <w:ind w:firstLine="0"/>
        <w:jc w:val="left"/>
        <w:sectPr>
          <w:footerReference w:type="default" r:id="rId12"/>
          <w:footerReference w:type="first" r:id="rId13"/>
          <w:pgSz w:w="12240" w:h="15840"/>
          <w:pgMar w:top="1440" w:right="1440" w:bottom="1440" w:left="1440" w:header="720" w:footer="720"/>
          <w:titlePg/>
        </w:sectPr>
      </w:pPr>
      <w:r>
        <w:rPr>
          <w:b/>
          <w:sz w:val="20"/>
        </w:rPr>
        <w:t xml:space="preserve">Notes: </w:t>
      </w:r>
      <w:r>
        <w:rPr>
          <w:sz w:val="20"/>
        </w:rPr>
        <w:t>Hardware cost ρ = P(GPU) / (L · H · β). PUE(θ) = φ + δ · max(0, θ − θ̄). RTT = round-trip time, the network delay for a data packet to travel from client to server and back, measured in milliseconds. The production-efficiency index ξⱼᵉᶠᶠ is a weighted geometric mean of governance quality and grid reliability (ω = 0.85; equation 3). Sanctions exposure is captured by the bilateral sovereignty premium λᵢⱼ (equation 2).</w:t>
      </w:r>
    </w:p>
    <w:p>
      <w:pPr>
        <w:spacing w:before="0" w:after="60"/>
        <w:ind w:firstLine="0"/>
        <w:jc w:val="both"/>
      </w:pPr>
      <w:bookmarkStart w:id="111" w:name="Table3"/>
      <w:hyperlink w:anchor="Table3txt" w:history="1">
        <w:r>
          <w:rPr>
            <w:b/>
            <w:sz w:val="20"/>
            <w:color w:val="1F3864"/>
            <w:u w:val="single"/>
          </w:rPr>
          <w:t>Table 3a</w:t>
        </w:r>
      </w:hyperlink>
      <w:bookmarkEnd w:id="111"/>
      <w:r>
        <w:rPr>
          <w:b/>
          <w:sz w:val="20"/>
        </w:rPr>
        <w:t>. Country rankings under alternative cost specifications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Borders>
              <w:top w:val="single" w:sz="4" w:space="0" w:color="auto"/>
              <w:bottom w:val="single" w:sz="4" w:space="0" w:color="auto"/>
            </w:tcBorders>
            <w:tcW w:w="1800" w:type="dxa"/>
          </w:tcPr>
          <w:p>
            <w:pPr>
              <w:jc w:val="center"/>
              <w:spacing w:before="10" w:after="10"/>
            </w:pPr>
            <w:r/>
            <w:r>
              <w:rPr>
                <w:rFonts w:ascii="Times New Roman" w:hAnsi="Times New Roman"/>
                <w:sz w:val="16"/>
              </w:rPr>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10" w:after="10"/>
              <w:spacing w:before="10" w:after="10"/>
              <w:spacing w:before="10" w:after="10"/>
            </w:pPr>
            <w:r/>
            <w:r>
              <w:rPr>
                <w:rFonts w:ascii="Times New Roman" w:hAnsi="Times New Roman"/>
                <w:b/>
                <w:sz w:val="16"/>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10" w:after="10"/>
              <w:spacing w:before="10" w:after="10"/>
              <w:spacing w:before="10" w:after="10"/>
            </w:pPr>
            <w:r/>
            <w:r>
              <w:rPr>
                <w:rFonts w:ascii="Times New Roman" w:hAnsi="Times New Roman"/>
                <w:b/>
                <w:sz w:val="16"/>
              </w:rPr>
              <w:t>(2) Cost-Recovery</w:t>
            </w:r>
          </w:p>
        </w:tc>
        <w:tc>
          <w:tcPr>
            <w:gridSpan w:val="4"/>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10" w:after="10"/>
              <w:spacing w:before="10" w:after="10"/>
              <w:spacing w:before="10" w:after="10"/>
              <w:spacing w:before="10" w:after="10"/>
            </w:pPr>
            <w:r/>
            <w:r>
              <w:rPr>
                <w:rFonts w:ascii="Times New Roman" w:hAnsi="Times New Roman"/>
                <w:b/>
                <w:sz w:val="16"/>
              </w:rPr>
              <w:t>(3) Efficiency-Adjusted</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10" w:after="10"/>
              <w:spacing w:before="10" w:after="10"/>
              <w:spacing w:before="10" w:after="10"/>
            </w:pPr>
            <w:r/>
            <w:r>
              <w:rPr>
                <w:rFonts w:ascii="Times New Roman" w:hAnsi="Times New Roman"/>
                <w:b/>
                <w:sz w:val="16"/>
              </w:rPr>
              <w:t>(4) Bilateral λᵢⱼ</w:t>
            </w:r>
          </w:p>
        </w:tc>
        <w:tc>
          <w:tcPr>
            <w:tcBorders>
              <w:top w:val="single" w:sz="4" w:space="0" w:color="auto"/>
              <w:bottom w:val="single" w:sz="4" w:space="0" w:color="auto"/>
            </w:tcBorders>
            <w:tcW w:w="540" w:type="dxa"/>
          </w:tcPr>
          <w:p>
            <w:pPr>
              <w:jc w:val="center"/>
              <w:spacing w:before="10" w:after="10"/>
            </w:pPr>
            <w:r/>
            <w:r>
              <w:rPr>
                <w:rFonts w:ascii="Times New Roman" w:hAnsi="Times New Roman"/>
                <w:sz w:val="16"/>
              </w:rPr>
            </w:r>
          </w:p>
        </w:tc>
      </w:tr>
      <w:tr>
        <w:tc>
          <w:tcPr>
            <w:tcBorders>
              <w:top w:val="single" w:sz="4" w:space="0" w:color="auto"/>
              <w:bottom w:val="single" w:sz="4" w:space="0" w:color="auto"/>
            </w:tcBorders>
            <w:tcW w:w="18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cⱼ</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Rank</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cⱼ</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Rank</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cⱼ/ξⱼᵉᶠᶠ</w:t>
            </w:r>
          </w:p>
        </w:tc>
        <w:tc>
          <w:tcPr>
            <w:tcBorders>
              <w:top w:val="single" w:sz="4" w:space="0" w:color="auto"/>
              <w:bottom w:val="single" w:sz="4" w:space="0" w:color="auto"/>
            </w:tcBorders>
            <w:tcW w:w="450" w:type="dxa"/>
          </w:tcPr>
          <w:p>
            <w:pPr>
              <w:jc w:val="center"/>
              <w:spacing w:before="10" w:after="10"/>
            </w:pPr>
            <w:r/>
            <w:r>
              <w:rPr>
                <w:rFonts w:ascii="Times New Roman" w:hAnsi="Times New Roman"/>
                <w:b/>
                <w:sz w:val="16"/>
              </w:rPr>
              <w:t>ξⱼᵉᶠᶠ</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Rank</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cⱼ/ξⱼᵉᶠᶠ</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Rank</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Δ</w:t>
            </w:r>
          </w:p>
        </w:tc>
      </w:tr>
      <w:tr>
        <w:tc>
          <w:tcPr>
            <w:tcW w:w="1800" w:type="dxa"/>
          </w:tcPr>
          <w:p>
            <w:pPr>
              <w:jc w:val="left"/>
              <w:spacing w:before="10" w:after="10"/>
            </w:pPr>
            <w:r/>
            <w:r>
              <w:rPr>
                <w:rFonts w:ascii="Times New Roman" w:hAnsi="Times New Roman"/>
                <w:sz w:val="16"/>
              </w:rPr>
              <w:t>Canada</w:t>
            </w:r>
          </w:p>
        </w:tc>
        <w:tc>
          <w:tcPr>
            <w:tcW w:w="900" w:type="dxa"/>
          </w:tcPr>
          <w:p>
            <w:pPr>
              <w:jc w:val="center"/>
              <w:spacing w:before="10" w:after="10"/>
            </w:pPr>
            <w:r/>
            <w:r>
              <w:rPr>
                <w:rFonts w:ascii="Times New Roman" w:hAnsi="Times New Roman"/>
                <w:sz w:val="16"/>
              </w:rPr>
              <w:t>$1.44</w:t>
            </w:r>
          </w:p>
        </w:tc>
        <w:tc>
          <w:tcPr>
            <w:tcW w:w="540" w:type="dxa"/>
          </w:tcPr>
          <w:p>
            <w:pPr>
              <w:jc w:val="center"/>
              <w:spacing w:before="10" w:after="10"/>
            </w:pPr>
            <w:r/>
            <w:r>
              <w:rPr>
                <w:rFonts w:ascii="Times New Roman" w:hAnsi="Times New Roman"/>
                <w:sz w:val="16"/>
              </w:rPr>
              <w:t>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$1.44</w:t>
            </w:r>
          </w:p>
        </w:tc>
        <w:tc>
          <w:tcPr>
            <w:tcW w:w="540" w:type="dxa"/>
          </w:tcPr>
          <w:p>
            <w:pPr>
              <w:jc w:val="center"/>
              <w:spacing w:before="10" w:after="10"/>
            </w:pPr>
            <w:r/>
            <w:r>
              <w:rPr>
                <w:rFonts w:ascii="Times New Roman" w:hAnsi="Times New Roman"/>
                <w:sz w:val="16"/>
              </w:rPr>
              <w:t>3</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$1.46</w:t>
            </w:r>
          </w:p>
        </w:tc>
        <w:tc>
          <w:tcPr>
            <w:tcW w:w="450" w:type="dxa"/>
          </w:tcPr>
          <w:p>
            <w:pPr>
              <w:jc w:val="center"/>
              <w:spacing w:before="10" w:after="10"/>
            </w:pPr>
            <w:r/>
            <w:r>
              <w:rPr>
                <w:rFonts w:ascii="Times New Roman" w:hAnsi="Times New Roman"/>
                <w:sz w:val="16"/>
              </w:rPr>
              <w:t>0.99</w:t>
            </w:r>
          </w:p>
        </w:tc>
        <w:tc>
          <w:tcPr>
            <w:tcW w:w="540" w:type="dxa"/>
          </w:tcPr>
          <w:p>
            <w:pPr>
              <w:jc w:val="center"/>
              <w:spacing w:before="10" w:after="10"/>
            </w:pPr>
            <w:r/>
            <w:r>
              <w:rPr>
                <w:rFonts w:ascii="Times New Roman" w:hAnsi="Times New Roman"/>
                <w:sz w:val="16"/>
              </w:rPr>
              <w:t>1</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b/>
                <w:sz w:val="16"/>
              </w:rPr>
              <w:t>1</w:t>
            </w:r>
          </w:p>
        </w:tc>
        <w:tc>
          <w:tcPr>
            <w:tcW w:w="540" w:type="dxa"/>
          </w:tcPr>
          <w:p>
            <w:pPr>
              <w:jc w:val="center"/>
              <w:spacing w:before="10" w:after="10"/>
            </w:pPr>
            <w:r/>
            <w:r>
              <w:rPr>
                <w:rFonts w:ascii="Times New Roman" w:hAnsi="Times New Roman"/>
                <w:sz w:val="16"/>
              </w:rPr>
              <w:t>EE</w:t>
            </w:r>
          </w:p>
        </w:tc>
        <w:tc>
          <w:tcPr>
            <w:tcW w:w="540" w:type="dxa"/>
          </w:tcPr>
          <w:p>
            <w:pPr>
              <w:jc w:val="center"/>
              <w:spacing w:before="10" w:after="10"/>
            </w:pPr>
            <w:r/>
            <w:r>
              <w:rPr>
                <w:rFonts w:ascii="Times New Roman" w:hAnsi="Times New Roman"/>
                <w:sz w:val="16"/>
              </w:rPr>
              <w:t>+6</w:t>
            </w:r>
          </w:p>
        </w:tc>
      </w:tr>
      <w:tr>
        <w:tc>
          <w:tcPr>
            <w:tcW w:w="1800" w:type="dxa"/>
          </w:tcPr>
          <w:p>
            <w:pPr>
              <w:jc w:val="left"/>
              <w:spacing w:before="10" w:after="10"/>
            </w:pPr>
            <w:r/>
            <w:r>
              <w:rPr>
                <w:rFonts w:ascii="Times New Roman" w:hAnsi="Times New Roman"/>
                <w:sz w:val="16"/>
              </w:rPr>
              <w:t>Norway</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17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450" w:type="dxa"/>
          </w:tcPr>
          <w:p>
            <w:pPr>
              <w:jc w:val="center"/>
              <w:spacing w:before="10" w:after="10"/>
            </w:pPr>
            <w:r/>
            <w:r>
              <w:rPr>
                <w:rFonts w:ascii="Times New Roman" w:hAnsi="Times New Roman"/>
                <w:sz w:val="16"/>
              </w:rPr>
              <w:t>1.00</w:t>
            </w:r>
          </w:p>
        </w:tc>
        <w:tc>
          <w:tcPr>
            <w:tcW w:w="540" w:type="dxa"/>
          </w:tcPr>
          <w:p>
            <w:pPr>
              <w:jc w:val="center"/>
              <w:spacing w:before="10" w:after="10"/>
            </w:pPr>
            <w:r/>
            <w:r>
              <w:rPr>
                <w:rFonts w:ascii="Times New Roman" w:hAnsi="Times New Roman"/>
                <w:sz w:val="16"/>
              </w:rPr>
              <w:t>2</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b/>
                <w:sz w:val="16"/>
              </w:rPr>
              <w:t>2</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+23</w:t>
            </w:r>
          </w:p>
        </w:tc>
      </w:tr>
      <w:tr>
        <w:tc>
          <w:tcPr>
            <w:tcW w:w="1800" w:type="dxa"/>
          </w:tcPr>
          <w:p>
            <w:pPr>
              <w:jc w:val="left"/>
              <w:spacing w:before="10" w:after="10"/>
            </w:pPr>
            <w:r/>
            <w:r>
              <w:rPr>
                <w:rFonts w:ascii="Times New Roman" w:hAnsi="Times New Roman"/>
                <w:sz w:val="16"/>
              </w:rPr>
              <w:t>Finland</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19</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450" w:type="dxa"/>
          </w:tcPr>
          <w:p>
            <w:pPr>
              <w:jc w:val="center"/>
              <w:spacing w:before="10" w:after="10"/>
            </w:pPr>
            <w:r/>
            <w:r>
              <w:rPr>
                <w:rFonts w:ascii="Times New Roman" w:hAnsi="Times New Roman"/>
                <w:sz w:val="16"/>
              </w:rPr>
              <w:t>1.00</w:t>
            </w:r>
          </w:p>
        </w:tc>
        <w:tc>
          <w:tcPr>
            <w:tcW w:w="540" w:type="dxa"/>
          </w:tcPr>
          <w:p>
            <w:pPr>
              <w:jc w:val="center"/>
              <w:spacing w:before="10" w:after="10"/>
            </w:pPr>
            <w:r/>
            <w:r>
              <w:rPr>
                <w:rFonts w:ascii="Times New Roman" w:hAnsi="Times New Roman"/>
                <w:sz w:val="16"/>
              </w:rPr>
              <w:t>3</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b/>
                <w:sz w:val="16"/>
              </w:rPr>
              <w:t>3</w:t>
            </w:r>
          </w:p>
        </w:tc>
        <w:tc>
          <w:tcPr>
            <w:tcW w:w="540" w:type="dxa"/>
          </w:tcPr>
          <w:p>
            <w:pPr>
              <w:jc w:val="center"/>
              <w:spacing w:before="10" w:after="10"/>
            </w:pPr>
            <w:r/>
            <w:r>
              <w:rPr>
                <w:rFonts w:ascii="Times New Roman" w:hAnsi="Times New Roman"/>
                <w:sz w:val="16"/>
              </w:rPr>
              <w:t>IE</w:t>
            </w:r>
          </w:p>
        </w:tc>
        <w:tc>
          <w:tcPr>
            <w:tcW w:w="540" w:type="dxa"/>
          </w:tcPr>
          <w:p>
            <w:pPr>
              <w:jc w:val="center"/>
              <w:spacing w:before="10" w:after="10"/>
            </w:pPr>
            <w:r/>
            <w:r>
              <w:rPr>
                <w:rFonts w:ascii="Times New Roman" w:hAnsi="Times New Roman"/>
                <w:sz w:val="16"/>
              </w:rPr>
              <w:t>+23</w:t>
            </w:r>
          </w:p>
        </w:tc>
      </w:tr>
      <w:tr>
        <w:tc>
          <w:tcPr>
            <w:tcW w:w="1800" w:type="dxa"/>
          </w:tcPr>
          <w:p>
            <w:pPr>
              <w:jc w:val="left"/>
              <w:spacing w:before="10" w:after="10"/>
            </w:pPr>
            <w:r/>
            <w:r>
              <w:rPr>
                <w:rFonts w:ascii="Times New Roman" w:hAnsi="Times New Roman"/>
                <w:sz w:val="16"/>
              </w:rPr>
              <w:t>Sweden</w:t>
            </w:r>
          </w:p>
        </w:tc>
        <w:tc>
          <w:tcPr>
            <w:tcW w:w="900" w:type="dxa"/>
          </w:tcPr>
          <w:p>
            <w:pPr>
              <w:jc w:val="center"/>
              <w:spacing w:before="10" w:after="10"/>
            </w:pPr>
            <w:r/>
            <w:r>
              <w:rPr>
                <w:rFonts w:ascii="Times New Roman" w:hAnsi="Times New Roman"/>
                <w:sz w:val="16"/>
              </w:rPr>
              <w:t>$1.48</w:t>
            </w:r>
          </w:p>
        </w:tc>
        <w:tc>
          <w:tcPr>
            <w:tcW w:w="540" w:type="dxa"/>
          </w:tcPr>
          <w:p>
            <w:pPr>
              <w:jc w:val="center"/>
              <w:spacing w:before="10" w:after="10"/>
            </w:pPr>
            <w:r/>
            <w:r>
              <w:rPr>
                <w:rFonts w:ascii="Times New Roman" w:hAnsi="Times New Roman"/>
                <w:sz w:val="16"/>
              </w:rPr>
              <w:t>30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$1.48</w:t>
            </w:r>
          </w:p>
        </w:tc>
        <w:tc>
          <w:tcPr>
            <w:tcW w:w="540" w:type="dxa"/>
          </w:tcPr>
          <w:p>
            <w:pPr>
              <w:jc w:val="center"/>
              <w:spacing w:before="10" w:after="10"/>
            </w:pPr>
            <w:r/>
            <w:r>
              <w:rPr>
                <w:rFonts w:ascii="Times New Roman" w:hAnsi="Times New Roman"/>
                <w:sz w:val="16"/>
              </w:rPr>
              <w:t>23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$1.49</w:t>
            </w:r>
          </w:p>
        </w:tc>
        <w:tc>
          <w:tcPr>
            <w:tcW w:w="450" w:type="dxa"/>
          </w:tcPr>
          <w:p>
            <w:pPr>
              <w:jc w:val="center"/>
              <w:spacing w:before="10" w:after="10"/>
            </w:pPr>
            <w:r/>
            <w:r>
              <w:rPr>
                <w:rFonts w:ascii="Times New Roman" w:hAnsi="Times New Roman"/>
                <w:sz w:val="16"/>
              </w:rPr>
              <w:t>1.00</w:t>
            </w:r>
          </w:p>
        </w:tc>
        <w:tc>
          <w:tcPr>
            <w:tcW w:w="540" w:type="dxa"/>
          </w:tcPr>
          <w:p>
            <w:pPr>
              <w:jc w:val="center"/>
              <w:spacing w:before="10" w:after="10"/>
            </w:pPr>
            <w:r/>
            <w:r>
              <w:rPr>
                <w:rFonts w:ascii="Times New Roman" w:hAnsi="Times New Roman"/>
                <w:sz w:val="16"/>
              </w:rPr>
              <w:t>4</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b/>
                <w:sz w:val="16"/>
              </w:rPr>
              <w:t>4</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+26</w:t>
            </w:r>
          </w:p>
        </w:tc>
      </w:tr>
      <w:tr>
        <w:tc>
          <w:tcPr>
            <w:tcW w:w="1800" w:type="dxa"/>
          </w:tcPr>
          <w:p>
            <w:pPr>
              <w:jc w:val="left"/>
              <w:spacing w:before="10" w:after="10"/>
            </w:pPr>
            <w:r/>
            <w:r>
              <w:rPr>
                <w:rFonts w:ascii="Times New Roman" w:hAnsi="Times New Roman"/>
                <w:sz w:val="16"/>
              </w:rPr>
              <w:t>South Africa</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11</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sz w:val="16"/>
              </w:rPr>
              <w:t>33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$1.49</w:t>
            </w:r>
          </w:p>
        </w:tc>
        <w:tc>
          <w:tcPr>
            <w:tcW w:w="450" w:type="dxa"/>
          </w:tcPr>
          <w:p>
            <w:pPr>
              <w:jc w:val="center"/>
              <w:spacing w:before="10" w:after="10"/>
            </w:pPr>
            <w:r/>
            <w:r>
              <w:rPr>
                <w:rFonts w:ascii="Times New Roman" w:hAnsi="Times New Roman"/>
                <w:sz w:val="16"/>
              </w:rPr>
              <w:t>1.00</w:t>
            </w:r>
          </w:p>
        </w:tc>
        <w:tc>
          <w:tcPr>
            <w:tcW w:w="540" w:type="dxa"/>
          </w:tcPr>
          <w:p>
            <w:pPr>
              <w:jc w:val="center"/>
              <w:spacing w:before="10" w:after="10"/>
            </w:pPr>
            <w:r/>
            <w:r>
              <w:rPr>
                <w:rFonts w:ascii="Times New Roman" w:hAnsi="Times New Roman"/>
                <w:sz w:val="16"/>
              </w:rPr>
              <w:t>5</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b/>
                <w:sz w:val="16"/>
              </w:rPr>
              <w:t>5</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+6</w:t>
            </w:r>
          </w:p>
        </w:tc>
      </w:tr>
      <w:tr>
        <w:tc>
          <w:tcPr>
            <w:tcW w:w="1800" w:type="dxa"/>
          </w:tcPr>
          <w:p>
            <w:pPr>
              <w:jc w:val="left"/>
              <w:spacing w:before="10" w:after="10"/>
            </w:pPr>
            <w:r/>
            <w:r>
              <w:rPr>
                <w:rFonts w:ascii="Times New Roman" w:hAnsi="Times New Roman"/>
                <w:sz w:val="16"/>
              </w:rPr>
              <w:t>Australia</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37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34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450" w:type="dxa"/>
          </w:tcPr>
          <w:p>
            <w:pPr>
              <w:jc w:val="center"/>
              <w:spacing w:before="10" w:after="10"/>
            </w:pPr>
            <w:r/>
            <w:r>
              <w:rPr>
                <w:rFonts w:ascii="Times New Roman" w:hAnsi="Times New Roman"/>
                <w:sz w:val="16"/>
              </w:rPr>
              <w:t>0.99</w:t>
            </w:r>
          </w:p>
        </w:tc>
        <w:tc>
          <w:tcPr>
            <w:tcW w:w="540" w:type="dxa"/>
          </w:tcPr>
          <w:p>
            <w:pPr>
              <w:jc w:val="center"/>
              <w:spacing w:before="10" w:after="10"/>
            </w:pPr>
            <w:r/>
            <w:r>
              <w:rPr>
                <w:rFonts w:ascii="Times New Roman" w:hAnsi="Times New Roman"/>
                <w:sz w:val="16"/>
              </w:rPr>
              <w:t>9</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540" w:type="dxa"/>
          </w:tcPr>
          <w:p>
            <w:pPr>
              <w:jc w:val="center"/>
              <w:spacing w:before="10" w:after="10"/>
            </w:pPr>
            <w:r/>
            <w:r>
              <w:rPr>
                <w:rFonts w:ascii="Times New Roman" w:hAnsi="Times New Roman"/>
                <w:b/>
                <w:sz w:val="16"/>
              </w:rPr>
              <w:t>9</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+28</w:t>
            </w:r>
          </w:p>
        </w:tc>
      </w:tr>
      <w:tr>
        <w:tc>
          <w:tcPr>
            <w:tcW w:w="1800" w:type="dxa"/>
          </w:tcPr>
          <w:p>
            <w:pPr>
              <w:jc w:val="left"/>
              <w:spacing w:before="10" w:after="10"/>
            </w:pPr>
            <w:r/>
            <w:r>
              <w:rPr>
                <w:rFonts w:ascii="Times New Roman" w:hAnsi="Times New Roman"/>
                <w:sz w:val="16"/>
              </w:rPr>
              <w:t>France</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38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$1.53</w:t>
            </w:r>
          </w:p>
        </w:tc>
        <w:tc>
          <w:tcPr>
            <w:tcW w:w="450" w:type="dxa"/>
          </w:tcPr>
          <w:p>
            <w:pPr>
              <w:jc w:val="center"/>
              <w:spacing w:before="10" w:after="10"/>
            </w:pPr>
            <w:r/>
            <w:r>
              <w:rPr>
                <w:rFonts w:ascii="Times New Roman" w:hAnsi="Times New Roman"/>
                <w:sz w:val="16"/>
              </w:rPr>
              <w:t>0.98</w:t>
            </w:r>
          </w:p>
        </w:tc>
        <w:tc>
          <w:tcPr>
            <w:tcW w:w="540" w:type="dxa"/>
          </w:tcPr>
          <w:p>
            <w:pPr>
              <w:jc w:val="center"/>
              <w:spacing w:before="10" w:after="10"/>
            </w:pPr>
            <w:r/>
            <w:r>
              <w:rPr>
                <w:rFonts w:ascii="Times New Roman" w:hAnsi="Times New Roman"/>
                <w:sz w:val="16"/>
              </w:rPr>
              <w:t>13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$1.53</w:t>
            </w:r>
          </w:p>
        </w:tc>
        <w:tc>
          <w:tcPr>
            <w:tcW w:w="540" w:type="dxa"/>
          </w:tcPr>
          <w:p>
            <w:pPr>
              <w:jc w:val="center"/>
              <w:spacing w:before="10" w:after="10"/>
            </w:pPr>
            <w:r/>
            <w:r>
              <w:rPr>
                <w:rFonts w:ascii="Times New Roman" w:hAnsi="Times New Roman"/>
                <w:b/>
                <w:sz w:val="16"/>
              </w:rPr>
              <w:t>13</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+28</w:t>
            </w:r>
          </w:p>
        </w:tc>
      </w:tr>
      <w:tr>
        <w:tc>
          <w:tcPr>
            <w:tcW w:w="1800" w:type="dxa"/>
          </w:tcPr>
          <w:p>
            <w:pPr>
              <w:jc w:val="left"/>
              <w:spacing w:before="10" w:after="10"/>
            </w:pPr>
            <w:r/>
            <w:r>
              <w:rPr>
                <w:rFonts w:ascii="Times New Roman" w:hAnsi="Times New Roman"/>
                <w:sz w:val="16"/>
              </w:rPr>
              <w:t>UK</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$1.53</w:t>
            </w:r>
          </w:p>
        </w:tc>
        <w:tc>
          <w:tcPr>
            <w:tcW w:w="450" w:type="dxa"/>
          </w:tcPr>
          <w:p>
            <w:pPr>
              <w:jc w:val="center"/>
              <w:spacing w:before="10" w:after="10"/>
            </w:pPr>
            <w:r/>
            <w:r>
              <w:rPr>
                <w:rFonts w:ascii="Times New Roman" w:hAnsi="Times New Roman"/>
                <w:sz w:val="16"/>
              </w:rPr>
              <w:t>0.98</w:t>
            </w:r>
          </w:p>
        </w:tc>
        <w:tc>
          <w:tcPr>
            <w:tcW w:w="540" w:type="dxa"/>
          </w:tcPr>
          <w:p>
            <w:pPr>
              <w:jc w:val="center"/>
              <w:spacing w:before="10" w:after="10"/>
            </w:pPr>
            <w:r/>
            <w:r>
              <w:rPr>
                <w:rFonts w:ascii="Times New Roman" w:hAnsi="Times New Roman"/>
                <w:sz w:val="16"/>
              </w:rPr>
              <w:t>15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$1.53</w:t>
            </w:r>
          </w:p>
        </w:tc>
        <w:tc>
          <w:tcPr>
            <w:tcW w:w="540" w:type="dxa"/>
          </w:tcPr>
          <w:p>
            <w:pPr>
              <w:jc w:val="center"/>
              <w:spacing w:before="10" w:after="10"/>
            </w:pPr>
            <w:r/>
            <w:r>
              <w:rPr>
                <w:rFonts w:ascii="Times New Roman" w:hAnsi="Times New Roman"/>
                <w:b/>
                <w:sz w:val="16"/>
              </w:rPr>
              <w:t>15</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+29</w:t>
            </w:r>
          </w:p>
        </w:tc>
      </w:tr>
      <w:tr>
        <w:tc>
          <w:tcPr>
            <w:tcW w:w="1800" w:type="dxa"/>
          </w:tcPr>
          <w:p>
            <w:pPr>
              <w:jc w:val="left"/>
              <w:spacing w:before="10" w:after="10"/>
            </w:pPr>
            <w:r/>
            <w:r>
              <w:rPr>
                <w:rFonts w:ascii="Times New Roman" w:hAnsi="Times New Roman"/>
                <w:sz w:val="16"/>
              </w:rPr>
              <w:t>USA</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sz w:val="16"/>
              </w:rPr>
              <w:t>32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sz w:val="16"/>
              </w:rPr>
              <w:t>27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$1.54</w:t>
            </w:r>
          </w:p>
        </w:tc>
        <w:tc>
          <w:tcPr>
            <w:tcW w:w="450" w:type="dxa"/>
          </w:tcPr>
          <w:p>
            <w:pPr>
              <w:jc w:val="center"/>
              <w:spacing w:before="10" w:after="10"/>
            </w:pPr>
            <w:r/>
            <w:r>
              <w:rPr>
                <w:rFonts w:ascii="Times New Roman" w:hAnsi="Times New Roman"/>
                <w:sz w:val="16"/>
              </w:rPr>
              <w:t>0.97</w:t>
            </w:r>
          </w:p>
        </w:tc>
        <w:tc>
          <w:tcPr>
            <w:tcW w:w="540" w:type="dxa"/>
          </w:tcPr>
          <w:p>
            <w:pPr>
              <w:jc w:val="center"/>
              <w:spacing w:before="10" w:after="10"/>
            </w:pPr>
            <w:r/>
            <w:r>
              <w:rPr>
                <w:rFonts w:ascii="Times New Roman" w:hAnsi="Times New Roman"/>
                <w:sz w:val="16"/>
              </w:rPr>
              <w:t>16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$1.54</w:t>
            </w:r>
          </w:p>
        </w:tc>
        <w:tc>
          <w:tcPr>
            <w:tcW w:w="540" w:type="dxa"/>
          </w:tcPr>
          <w:p>
            <w:pPr>
              <w:jc w:val="center"/>
              <w:spacing w:before="10" w:after="10"/>
            </w:pPr>
            <w:r/>
            <w:r>
              <w:rPr>
                <w:rFonts w:ascii="Times New Roman" w:hAnsi="Times New Roman"/>
                <w:b/>
                <w:sz w:val="16"/>
              </w:rPr>
              <w:t>16</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+16</w:t>
            </w:r>
          </w:p>
        </w:tc>
      </w:tr>
      <w:tr>
        <w:tc>
          <w:tcPr>
            <w:tcW w:w="1800" w:type="dxa"/>
          </w:tcPr>
          <w:p>
            <w:pPr>
              <w:jc w:val="left"/>
              <w:spacing w:before="10" w:after="10"/>
            </w:pPr>
            <w:r/>
            <w:r>
              <w:rPr>
                <w:rFonts w:ascii="Times New Roman" w:hAnsi="Times New Roman"/>
                <w:sz w:val="16"/>
              </w:rPr>
              <w:t>Germany</w:t>
            </w:r>
          </w:p>
        </w:tc>
        <w:tc>
          <w:tcPr>
            <w:tcW w:w="900" w:type="dxa"/>
          </w:tcPr>
          <w:p>
            <w:pPr>
              <w:jc w:val="center"/>
              <w:spacing w:before="10" w:after="10"/>
            </w:pPr>
            <w:r/>
            <w:r>
              <w:rPr>
                <w:rFonts w:ascii="Times New Roman" w:hAnsi="Times New Roman"/>
                <w:sz w:val="16"/>
              </w:rPr>
              <w:t>$1.55</w:t>
            </w:r>
          </w:p>
        </w:tc>
        <w:tc>
          <w:tcPr>
            <w:tcW w:w="540" w:type="dxa"/>
          </w:tcPr>
          <w:p>
            <w:pPr>
              <w:jc w:val="center"/>
              <w:spacing w:before="10" w:after="10"/>
            </w:pPr>
            <w:r/>
            <w:r>
              <w:rPr>
                <w:rFonts w:ascii="Times New Roman" w:hAnsi="Times New Roman"/>
                <w:sz w:val="16"/>
              </w:rPr>
              <w:t>73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$1.55</w:t>
            </w:r>
          </w:p>
        </w:tc>
        <w:tc>
          <w:tcPr>
            <w:tcW w:w="540" w:type="dxa"/>
          </w:tcPr>
          <w:p>
            <w:pPr>
              <w:jc w:val="center"/>
              <w:spacing w:before="10" w:after="10"/>
            </w:pPr>
            <w:r/>
            <w:r>
              <w:rPr>
                <w:rFonts w:ascii="Times New Roman" w:hAnsi="Times New Roman"/>
                <w:sz w:val="16"/>
              </w:rPr>
              <w:t>73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$1.57</w:t>
            </w:r>
          </w:p>
        </w:tc>
        <w:tc>
          <w:tcPr>
            <w:tcW w:w="450" w:type="dxa"/>
          </w:tcPr>
          <w:p>
            <w:pPr>
              <w:jc w:val="center"/>
              <w:spacing w:before="10" w:after="10"/>
            </w:pPr>
            <w:r/>
            <w:r>
              <w:rPr>
                <w:rFonts w:ascii="Times New Roman" w:hAnsi="Times New Roman"/>
                <w:sz w:val="16"/>
              </w:rPr>
              <w:t>0.98</w:t>
            </w:r>
          </w:p>
        </w:tc>
        <w:tc>
          <w:tcPr>
            <w:tcW w:w="540" w:type="dxa"/>
          </w:tcPr>
          <w:p>
            <w:pPr>
              <w:jc w:val="center"/>
              <w:spacing w:before="10" w:after="10"/>
            </w:pPr>
            <w:r/>
            <w:r>
              <w:rPr>
                <w:rFonts w:ascii="Times New Roman" w:hAnsi="Times New Roman"/>
                <w:sz w:val="16"/>
              </w:rPr>
              <w:t>22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$1.57</w:t>
            </w:r>
          </w:p>
        </w:tc>
        <w:tc>
          <w:tcPr>
            <w:tcW w:w="540" w:type="dxa"/>
          </w:tcPr>
          <w:p>
            <w:pPr>
              <w:jc w:val="center"/>
              <w:spacing w:before="10" w:after="10"/>
            </w:pPr>
            <w:r/>
            <w:r>
              <w:rPr>
                <w:rFonts w:ascii="Times New Roman" w:hAnsi="Times New Roman"/>
                <w:b/>
                <w:sz w:val="16"/>
              </w:rPr>
              <w:t>22</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+51</w:t>
            </w:r>
          </w:p>
        </w:tc>
      </w:tr>
      <w:tr>
        <w:tc>
          <w:tcPr>
            <w:tcW w:w="1800" w:type="dxa"/>
          </w:tcPr>
          <w:p>
            <w:pPr>
              <w:jc w:val="left"/>
              <w:spacing w:before="10" w:after="10"/>
            </w:pPr>
            <w:r/>
            <w:r>
              <w:rPr>
                <w:rFonts w:ascii="Times New Roman" w:hAnsi="Times New Roman"/>
                <w:sz w:val="16"/>
              </w:rPr>
              <w:t>Japan</w:t>
            </w:r>
          </w:p>
        </w:tc>
        <w:tc>
          <w:tcPr>
            <w:tcW w:w="900" w:type="dxa"/>
          </w:tcPr>
          <w:p>
            <w:pPr>
              <w:jc w:val="center"/>
              <w:spacing w:before="10" w:after="10"/>
            </w:pPr>
            <w:r/>
            <w:r>
              <w:rPr>
                <w:rFonts w:ascii="Times New Roman" w:hAnsi="Times New Roman"/>
                <w:sz w:val="16"/>
              </w:rPr>
              <w:t>$1.56</w:t>
            </w:r>
          </w:p>
        </w:tc>
        <w:tc>
          <w:tcPr>
            <w:tcW w:w="540" w:type="dxa"/>
          </w:tcPr>
          <w:p>
            <w:pPr>
              <w:jc w:val="center"/>
              <w:spacing w:before="10" w:after="10"/>
            </w:pPr>
            <w:r/>
            <w:r>
              <w:rPr>
                <w:rFonts w:ascii="Times New Roman" w:hAnsi="Times New Roman"/>
                <w:sz w:val="16"/>
              </w:rPr>
              <w:t>77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$1.56</w:t>
            </w:r>
          </w:p>
        </w:tc>
        <w:tc>
          <w:tcPr>
            <w:tcW w:w="540" w:type="dxa"/>
          </w:tcPr>
          <w:p>
            <w:pPr>
              <w:jc w:val="center"/>
              <w:spacing w:before="10" w:after="10"/>
            </w:pPr>
            <w:r/>
            <w:r>
              <w:rPr>
                <w:rFonts w:ascii="Times New Roman" w:hAnsi="Times New Roman"/>
                <w:sz w:val="16"/>
              </w:rPr>
              <w:t>77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$1.58</w:t>
            </w:r>
          </w:p>
        </w:tc>
        <w:tc>
          <w:tcPr>
            <w:tcW w:w="450" w:type="dxa"/>
          </w:tcPr>
          <w:p>
            <w:pPr>
              <w:jc w:val="center"/>
              <w:spacing w:before="10" w:after="10"/>
            </w:pPr>
            <w:r/>
            <w:r>
              <w:rPr>
                <w:rFonts w:ascii="Times New Roman" w:hAnsi="Times New Roman"/>
                <w:sz w:val="16"/>
              </w:rPr>
              <w:t>0.99</w:t>
            </w:r>
          </w:p>
        </w:tc>
        <w:tc>
          <w:tcPr>
            <w:tcW w:w="540" w:type="dxa"/>
          </w:tcPr>
          <w:p>
            <w:pPr>
              <w:jc w:val="center"/>
              <w:spacing w:before="10" w:after="10"/>
            </w:pPr>
            <w:r/>
            <w:r>
              <w:rPr>
                <w:rFonts w:ascii="Times New Roman" w:hAnsi="Times New Roman"/>
                <w:sz w:val="16"/>
              </w:rPr>
              <w:t>27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$1.58</w:t>
            </w:r>
          </w:p>
        </w:tc>
        <w:tc>
          <w:tcPr>
            <w:tcW w:w="540" w:type="dxa"/>
          </w:tcPr>
          <w:p>
            <w:pPr>
              <w:jc w:val="center"/>
              <w:spacing w:before="10" w:after="10"/>
            </w:pPr>
            <w:r/>
            <w:r>
              <w:rPr>
                <w:rFonts w:ascii="Times New Roman" w:hAnsi="Times New Roman"/>
                <w:b/>
                <w:sz w:val="16"/>
              </w:rPr>
              <w:t>27</w:t>
            </w:r>
          </w:p>
        </w:tc>
        <w:tc>
          <w:tcPr>
            <w:tcW w:w="540" w:type="dxa"/>
          </w:tcPr>
          <w:p>
            <w:pPr>
              <w:jc w:val="center"/>
              <w:spacing w:before="10" w:after="10"/>
            </w:pPr>
            <w:r/>
            <w:r>
              <w:rPr>
                <w:rFonts w:ascii="Times New Roman" w:hAnsi="Times New Roman"/>
                <w:sz w:val="16"/>
              </w:rPr>
              <w:t>IE</w:t>
            </w:r>
          </w:p>
        </w:tc>
        <w:tc>
          <w:tcPr>
            <w:tcW w:w="540" w:type="dxa"/>
          </w:tcPr>
          <w:p>
            <w:pPr>
              <w:jc w:val="center"/>
              <w:spacing w:before="10" w:after="10"/>
            </w:pPr>
            <w:r/>
            <w:r>
              <w:rPr>
                <w:rFonts w:ascii="Times New Roman" w:hAnsi="Times New Roman"/>
                <w:sz w:val="16"/>
              </w:rPr>
              <w:t>+50</w:t>
            </w:r>
          </w:p>
        </w:tc>
      </w:tr>
      <w:tr>
        <w:tc>
          <w:tcPr>
            <w:tcW w:w="1800" w:type="dxa"/>
          </w:tcPr>
          <w:p>
            <w:pPr>
              <w:jc w:val="left"/>
              <w:spacing w:before="10" w:after="10"/>
            </w:pPr>
            <w:r/>
            <w:r>
              <w:rPr>
                <w:rFonts w:ascii="Times New Roman" w:hAnsi="Times New Roman"/>
                <w:sz w:val="16"/>
              </w:rPr>
              <w:t>Qatar</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$1.52</w:t>
            </w:r>
          </w:p>
        </w:tc>
        <w:tc>
          <w:tcPr>
            <w:tcW w:w="540" w:type="dxa"/>
          </w:tcPr>
          <w:p>
            <w:pPr>
              <w:jc w:val="center"/>
              <w:spacing w:before="10" w:after="10"/>
            </w:pPr>
            <w:r/>
            <w:r>
              <w:rPr>
                <w:rFonts w:ascii="Times New Roman" w:hAnsi="Times New Roman"/>
                <w:sz w:val="16"/>
              </w:rPr>
              <w:t>62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$1.66</w:t>
            </w:r>
          </w:p>
        </w:tc>
        <w:tc>
          <w:tcPr>
            <w:tcW w:w="450" w:type="dxa"/>
          </w:tcPr>
          <w:p>
            <w:pPr>
              <w:jc w:val="center"/>
              <w:spacing w:before="10" w:after="10"/>
            </w:pPr>
            <w:r/>
            <w:r>
              <w:rPr>
                <w:rFonts w:ascii="Times New Roman" w:hAnsi="Times New Roman"/>
                <w:sz w:val="16"/>
              </w:rPr>
              <w:t>0.92</w:t>
            </w:r>
          </w:p>
        </w:tc>
        <w:tc>
          <w:tcPr>
            <w:tcW w:w="540" w:type="dxa"/>
          </w:tcPr>
          <w:p>
            <w:pPr>
              <w:jc w:val="center"/>
              <w:spacing w:before="10" w:after="10"/>
            </w:pPr>
            <w:r/>
            <w:r>
              <w:rPr>
                <w:rFonts w:ascii="Times New Roman" w:hAnsi="Times New Roman"/>
                <w:sz w:val="16"/>
              </w:rPr>
              <w:t>38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$1.66</w:t>
            </w:r>
          </w:p>
        </w:tc>
        <w:tc>
          <w:tcPr>
            <w:tcW w:w="540" w:type="dxa"/>
          </w:tcPr>
          <w:p>
            <w:pPr>
              <w:jc w:val="center"/>
              <w:spacing w:before="10" w:after="10"/>
            </w:pPr>
            <w:r/>
            <w:r>
              <w:rPr>
                <w:rFonts w:ascii="Times New Roman" w:hAnsi="Times New Roman"/>
                <w:b/>
                <w:sz w:val="16"/>
              </w:rPr>
              <w:t>38</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-21</w:t>
            </w:r>
          </w:p>
        </w:tc>
      </w:tr>
      <w:tr>
        <w:tc>
          <w:tcPr>
            <w:tcW w:w="1800" w:type="dxa"/>
          </w:tcPr>
          <w:p>
            <w:pPr>
              <w:jc w:val="left"/>
              <w:spacing w:before="10" w:after="10"/>
            </w:pPr>
            <w:r/>
            <w:r>
              <w:rPr>
                <w:rFonts w:ascii="Times New Roman" w:hAnsi="Times New Roman"/>
                <w:sz w:val="16"/>
              </w:rPr>
              <w:t>Saudi Arabia</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$1.52</w:t>
            </w:r>
          </w:p>
        </w:tc>
        <w:tc>
          <w:tcPr>
            <w:tcW w:w="540" w:type="dxa"/>
          </w:tcPr>
          <w:p>
            <w:pPr>
              <w:jc w:val="center"/>
              <w:spacing w:before="10" w:after="10"/>
            </w:pPr>
            <w:r/>
            <w:r>
              <w:rPr>
                <w:rFonts w:ascii="Times New Roman" w:hAnsi="Times New Roman"/>
                <w:sz w:val="16"/>
              </w:rPr>
              <w:t>56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$1.71</w:t>
            </w:r>
          </w:p>
        </w:tc>
        <w:tc>
          <w:tcPr>
            <w:tcW w:w="450" w:type="dxa"/>
          </w:tcPr>
          <w:p>
            <w:pPr>
              <w:jc w:val="center"/>
              <w:spacing w:before="10" w:after="10"/>
            </w:pPr>
            <w:r/>
            <w:r>
              <w:rPr>
                <w:rFonts w:ascii="Times New Roman" w:hAnsi="Times New Roman"/>
                <w:sz w:val="16"/>
              </w:rPr>
              <w:t>0.89</w:t>
            </w:r>
          </w:p>
        </w:tc>
        <w:tc>
          <w:tcPr>
            <w:tcW w:w="540" w:type="dxa"/>
          </w:tcPr>
          <w:p>
            <w:pPr>
              <w:jc w:val="center"/>
              <w:spacing w:before="10" w:after="10"/>
            </w:pPr>
            <w:r/>
            <w:r>
              <w:rPr>
                <w:rFonts w:ascii="Times New Roman" w:hAnsi="Times New Roman"/>
                <w:sz w:val="16"/>
              </w:rPr>
              <w:t>44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$1.71</w:t>
            </w:r>
          </w:p>
        </w:tc>
        <w:tc>
          <w:tcPr>
            <w:tcW w:w="540" w:type="dxa"/>
          </w:tcPr>
          <w:p>
            <w:pPr>
              <w:jc w:val="center"/>
              <w:spacing w:before="10" w:after="10"/>
            </w:pPr>
            <w:r/>
            <w:r>
              <w:rPr>
                <w:rFonts w:ascii="Times New Roman" w:hAnsi="Times New Roman"/>
                <w:b/>
                <w:sz w:val="16"/>
              </w:rPr>
              <w:t>44</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-16</w:t>
            </w:r>
          </w:p>
        </w:tc>
      </w:tr>
      <w:tr>
        <w:tc>
          <w:tcPr>
            <w:tcW w:w="1800" w:type="dxa"/>
          </w:tcPr>
          <w:p>
            <w:pPr>
              <w:jc w:val="left"/>
              <w:spacing w:before="10" w:after="10"/>
            </w:pPr>
            <w:r/>
            <w:r>
              <w:rPr>
                <w:rFonts w:ascii="Times New Roman" w:hAnsi="Times New Roman"/>
                <w:sz w:val="16"/>
              </w:rPr>
              <w:t>China</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10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5</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$1.76</w:t>
            </w:r>
          </w:p>
        </w:tc>
        <w:tc>
          <w:tcPr>
            <w:tcW w:w="450" w:type="dxa"/>
          </w:tcPr>
          <w:p>
            <w:pPr>
              <w:jc w:val="center"/>
              <w:spacing w:before="10" w:after="10"/>
            </w:pPr>
            <w:r/>
            <w:r>
              <w:rPr>
                <w:rFonts w:ascii="Times New Roman" w:hAnsi="Times New Roman"/>
                <w:sz w:val="16"/>
              </w:rPr>
              <w:t>0.82</w:t>
            </w:r>
          </w:p>
        </w:tc>
        <w:tc>
          <w:tcPr>
            <w:tcW w:w="540" w:type="dxa"/>
          </w:tcPr>
          <w:p>
            <w:pPr>
              <w:jc w:val="center"/>
              <w:spacing w:before="10" w:after="10"/>
            </w:pPr>
            <w:r/>
            <w:r>
              <w:rPr>
                <w:rFonts w:ascii="Times New Roman" w:hAnsi="Times New Roman"/>
                <w:sz w:val="16"/>
              </w:rPr>
              <w:t>50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$1.76</w:t>
            </w:r>
          </w:p>
        </w:tc>
        <w:tc>
          <w:tcPr>
            <w:tcW w:w="540" w:type="dxa"/>
          </w:tcPr>
          <w:p>
            <w:pPr>
              <w:jc w:val="center"/>
              <w:spacing w:before="10" w:after="10"/>
            </w:pPr>
            <w:r/>
            <w:r>
              <w:rPr>
                <w:rFonts w:ascii="Times New Roman" w:hAnsi="Times New Roman"/>
                <w:b/>
                <w:sz w:val="16"/>
              </w:rPr>
              <w:t>50</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-40</w:t>
            </w:r>
          </w:p>
        </w:tc>
      </w:tr>
      <w:tr>
        <w:tc>
          <w:tcPr>
            <w:tcW w:w="1800" w:type="dxa"/>
          </w:tcPr>
          <w:p>
            <w:pPr>
              <w:jc w:val="left"/>
              <w:spacing w:before="10" w:after="10"/>
            </w:pPr>
            <w:r/>
            <w:r>
              <w:rPr>
                <w:rFonts w:ascii="Times New Roman" w:hAnsi="Times New Roman"/>
                <w:sz w:val="16"/>
              </w:rPr>
              <w:t>Kosovo</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9</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4</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$1.79</w:t>
            </w:r>
          </w:p>
        </w:tc>
        <w:tc>
          <w:tcPr>
            <w:tcW w:w="450" w:type="dxa"/>
          </w:tcPr>
          <w:p>
            <w:pPr>
              <w:jc w:val="center"/>
              <w:spacing w:before="10" w:after="10"/>
            </w:pPr>
            <w:r/>
            <w:r>
              <w:rPr>
                <w:rFonts w:ascii="Times New Roman" w:hAnsi="Times New Roman"/>
                <w:sz w:val="16"/>
              </w:rPr>
              <w:t>0.81</w:t>
            </w:r>
          </w:p>
        </w:tc>
        <w:tc>
          <w:tcPr>
            <w:tcW w:w="540" w:type="dxa"/>
          </w:tcPr>
          <w:p>
            <w:pPr>
              <w:jc w:val="center"/>
              <w:spacing w:before="10" w:after="10"/>
            </w:pPr>
            <w:r/>
            <w:r>
              <w:rPr>
                <w:rFonts w:ascii="Times New Roman" w:hAnsi="Times New Roman"/>
                <w:sz w:val="16"/>
              </w:rPr>
              <w:t>55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$1.79</w:t>
            </w:r>
          </w:p>
        </w:tc>
        <w:tc>
          <w:tcPr>
            <w:tcW w:w="540" w:type="dxa"/>
          </w:tcPr>
          <w:p>
            <w:pPr>
              <w:jc w:val="center"/>
              <w:spacing w:before="10" w:after="10"/>
            </w:pPr>
            <w:r/>
            <w:r>
              <w:rPr>
                <w:rFonts w:ascii="Times New Roman" w:hAnsi="Times New Roman"/>
                <w:b/>
                <w:sz w:val="16"/>
              </w:rPr>
              <w:t>55</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-46</w:t>
            </w:r>
          </w:p>
        </w:tc>
      </w:tr>
      <w:tr>
        <w:tc>
          <w:tcPr>
            <w:tcW w:w="1800" w:type="dxa"/>
          </w:tcPr>
          <w:p>
            <w:pPr>
              <w:jc w:val="left"/>
              <w:spacing w:before="10" w:after="10"/>
            </w:pPr>
            <w:r/>
            <w:r>
              <w:rPr>
                <w:rFonts w:ascii="Times New Roman" w:hAnsi="Times New Roman"/>
                <w:sz w:val="16"/>
              </w:rPr>
              <w:t>Vietnam</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14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$1.80</w:t>
            </w:r>
          </w:p>
        </w:tc>
        <w:tc>
          <w:tcPr>
            <w:tcW w:w="450" w:type="dxa"/>
          </w:tcPr>
          <w:p>
            <w:pPr>
              <w:jc w:val="center"/>
              <w:spacing w:before="10" w:after="10"/>
            </w:pPr>
            <w:r/>
            <w:r>
              <w:rPr>
                <w:rFonts w:ascii="Times New Roman" w:hAnsi="Times New Roman"/>
                <w:sz w:val="16"/>
              </w:rPr>
              <w:t>0.82</w:t>
            </w:r>
          </w:p>
        </w:tc>
        <w:tc>
          <w:tcPr>
            <w:tcW w:w="540" w:type="dxa"/>
          </w:tcPr>
          <w:p>
            <w:pPr>
              <w:jc w:val="center"/>
              <w:spacing w:before="10" w:after="10"/>
            </w:pPr>
            <w:r/>
            <w:r>
              <w:rPr>
                <w:rFonts w:ascii="Times New Roman" w:hAnsi="Times New Roman"/>
                <w:sz w:val="16"/>
              </w:rPr>
              <w:t>57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$1.80</w:t>
            </w:r>
          </w:p>
        </w:tc>
        <w:tc>
          <w:tcPr>
            <w:tcW w:w="540" w:type="dxa"/>
          </w:tcPr>
          <w:p>
            <w:pPr>
              <w:jc w:val="center"/>
              <w:spacing w:before="10" w:after="10"/>
            </w:pPr>
            <w:r/>
            <w:r>
              <w:rPr>
                <w:rFonts w:ascii="Times New Roman" w:hAnsi="Times New Roman"/>
                <w:b/>
                <w:sz w:val="16"/>
              </w:rPr>
              <w:t>57</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-35</w:t>
            </w:r>
          </w:p>
        </w:tc>
      </w:tr>
      <w:tr>
        <w:tc>
          <w:tcPr>
            <w:tcW w:w="1800" w:type="dxa"/>
          </w:tcPr>
          <w:p>
            <w:pPr>
              <w:jc w:val="left"/>
              <w:spacing w:before="10" w:after="10"/>
            </w:pPr>
            <w:r/>
            <w:r>
              <w:rPr>
                <w:rFonts w:ascii="Times New Roman" w:hAnsi="Times New Roman"/>
                <w:sz w:val="16"/>
              </w:rPr>
              <w:t>Argentina</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10</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$1.80</w:t>
            </w:r>
          </w:p>
        </w:tc>
        <w:tc>
          <w:tcPr>
            <w:tcW w:w="450" w:type="dxa"/>
          </w:tcPr>
          <w:p>
            <w:pPr>
              <w:jc w:val="center"/>
              <w:spacing w:before="10" w:after="10"/>
            </w:pPr>
            <w:r/>
            <w:r>
              <w:rPr>
                <w:rFonts w:ascii="Times New Roman" w:hAnsi="Times New Roman"/>
                <w:sz w:val="16"/>
              </w:rPr>
              <w:t>0.81</w:t>
            </w:r>
          </w:p>
        </w:tc>
        <w:tc>
          <w:tcPr>
            <w:tcW w:w="540" w:type="dxa"/>
          </w:tcPr>
          <w:p>
            <w:pPr>
              <w:jc w:val="center"/>
              <w:spacing w:before="10" w:after="10"/>
            </w:pPr>
            <w:r/>
            <w:r>
              <w:rPr>
                <w:rFonts w:ascii="Times New Roman" w:hAnsi="Times New Roman"/>
                <w:sz w:val="16"/>
              </w:rPr>
              <w:t>60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$1.80</w:t>
            </w:r>
          </w:p>
        </w:tc>
        <w:tc>
          <w:tcPr>
            <w:tcW w:w="540" w:type="dxa"/>
          </w:tcPr>
          <w:p>
            <w:pPr>
              <w:jc w:val="center"/>
              <w:spacing w:before="10" w:after="10"/>
            </w:pPr>
            <w:r/>
            <w:r>
              <w:rPr>
                <w:rFonts w:ascii="Times New Roman" w:hAnsi="Times New Roman"/>
                <w:b/>
                <w:sz w:val="16"/>
              </w:rPr>
              <w:t>60</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-42</w:t>
            </w:r>
          </w:p>
        </w:tc>
      </w:tr>
      <w:tr>
        <w:tc>
          <w:tcPr>
            <w:tcW w:w="1800" w:type="dxa"/>
          </w:tcPr>
          <w:p>
            <w:pPr>
              <w:jc w:val="left"/>
              <w:spacing w:before="10" w:after="10"/>
            </w:pPr>
            <w:r/>
            <w:r>
              <w:rPr>
                <w:rFonts w:ascii="Times New Roman" w:hAnsi="Times New Roman"/>
                <w:sz w:val="16"/>
              </w:rPr>
              <w:t>Ukraine</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9</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$1.85</w:t>
            </w:r>
          </w:p>
        </w:tc>
        <w:tc>
          <w:tcPr>
            <w:tcW w:w="450" w:type="dxa"/>
          </w:tcPr>
          <w:p>
            <w:pPr>
              <w:jc w:val="center"/>
              <w:spacing w:before="10" w:after="10"/>
            </w:pPr>
            <w:r/>
            <w:r>
              <w:rPr>
                <w:rFonts w:ascii="Times New Roman" w:hAnsi="Times New Roman"/>
                <w:sz w:val="16"/>
              </w:rPr>
              <w:t>0.79</w:t>
            </w:r>
          </w:p>
        </w:tc>
        <w:tc>
          <w:tcPr>
            <w:tcW w:w="540" w:type="dxa"/>
          </w:tcPr>
          <w:p>
            <w:pPr>
              <w:jc w:val="center"/>
              <w:spacing w:before="10" w:after="10"/>
            </w:pPr>
            <w:r/>
            <w:r>
              <w:rPr>
                <w:rFonts w:ascii="Times New Roman" w:hAnsi="Times New Roman"/>
                <w:sz w:val="16"/>
              </w:rPr>
              <w:t>63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$1.85</w:t>
            </w:r>
          </w:p>
        </w:tc>
        <w:tc>
          <w:tcPr>
            <w:tcW w:w="540" w:type="dxa"/>
          </w:tcPr>
          <w:p>
            <w:pPr>
              <w:jc w:val="center"/>
              <w:spacing w:before="10" w:after="10"/>
            </w:pPr>
            <w:r/>
            <w:r>
              <w:rPr>
                <w:rFonts w:ascii="Times New Roman" w:hAnsi="Times New Roman"/>
                <w:b/>
                <w:sz w:val="16"/>
              </w:rPr>
              <w:t>63</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-47</w:t>
            </w:r>
          </w:p>
        </w:tc>
      </w:tr>
      <w:tr>
        <w:tc>
          <w:tcPr>
            <w:tcW w:w="1800" w:type="dxa"/>
          </w:tcPr>
          <w:p>
            <w:pPr>
              <w:jc w:val="left"/>
              <w:spacing w:before="10" w:after="10"/>
            </w:pPr>
            <w:r/>
            <w:r>
              <w:rPr>
                <w:rFonts w:ascii="Times New Roman" w:hAnsi="Times New Roman"/>
                <w:sz w:val="16"/>
              </w:rPr>
              <w:t>Kyrgyzstan</w:t>
            </w:r>
          </w:p>
        </w:tc>
        <w:tc>
          <w:tcPr>
            <w:tcW w:w="900" w:type="dxa"/>
          </w:tcPr>
          <w:p>
            <w:pPr>
              <w:jc w:val="center"/>
              <w:spacing w:before="10" w:after="10"/>
            </w:pPr>
            <w:r/>
            <w:r>
              <w:rPr>
                <w:rFonts w:ascii="Times New Roman" w:hAnsi="Times New Roman"/>
                <w:sz w:val="16"/>
              </w:rPr>
              <w:t>$1.42</w:t>
            </w:r>
          </w:p>
        </w:tc>
        <w:tc>
          <w:tcPr>
            <w:tcW w:w="540" w:type="dxa"/>
          </w:tcPr>
          <w:p>
            <w:pPr>
              <w:jc w:val="center"/>
              <w:spacing w:before="10" w:after="10"/>
            </w:pPr>
            <w:r/>
            <w:r>
              <w:rPr>
                <w:rFonts w:ascii="Times New Roman" w:hAnsi="Times New Roman"/>
                <w:sz w:val="16"/>
              </w:rPr>
              <w:t>4</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$1.42</w:t>
            </w:r>
          </w:p>
        </w:tc>
        <w:tc>
          <w:tcPr>
            <w:tcW w:w="540" w:type="dxa"/>
          </w:tcPr>
          <w:p>
            <w:pPr>
              <w:jc w:val="center"/>
              <w:spacing w:before="10" w:after="10"/>
            </w:pPr>
            <w:r/>
            <w:r>
              <w:rPr>
                <w:rFonts w:ascii="Times New Roman" w:hAnsi="Times New Roman"/>
                <w:sz w:val="16"/>
              </w:rPr>
              <w:t>1</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$1.87</w:t>
            </w:r>
          </w:p>
        </w:tc>
        <w:tc>
          <w:tcPr>
            <w:tcW w:w="450" w:type="dxa"/>
          </w:tcPr>
          <w:p>
            <w:pPr>
              <w:jc w:val="center"/>
              <w:spacing w:before="10" w:after="10"/>
            </w:pPr>
            <w:r/>
            <w:r>
              <w:rPr>
                <w:rFonts w:ascii="Times New Roman" w:hAnsi="Times New Roman"/>
                <w:sz w:val="16"/>
              </w:rPr>
              <w:t>0.76</w:t>
            </w:r>
          </w:p>
        </w:tc>
        <w:tc>
          <w:tcPr>
            <w:tcW w:w="540" w:type="dxa"/>
          </w:tcPr>
          <w:p>
            <w:pPr>
              <w:jc w:val="center"/>
              <w:spacing w:before="10" w:after="10"/>
            </w:pPr>
            <w:r/>
            <w:r>
              <w:rPr>
                <w:rFonts w:ascii="Times New Roman" w:hAnsi="Times New Roman"/>
                <w:sz w:val="16"/>
              </w:rPr>
              <w:t>67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$1.87</w:t>
            </w:r>
          </w:p>
        </w:tc>
        <w:tc>
          <w:tcPr>
            <w:tcW w:w="540" w:type="dxa"/>
          </w:tcPr>
          <w:p>
            <w:pPr>
              <w:jc w:val="center"/>
              <w:spacing w:before="10" w:after="10"/>
            </w:pPr>
            <w:r/>
            <w:r>
              <w:rPr>
                <w:rFonts w:ascii="Times New Roman" w:hAnsi="Times New Roman"/>
                <w:b/>
                <w:sz w:val="16"/>
              </w:rPr>
              <w:t>67</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-63</w:t>
            </w:r>
          </w:p>
        </w:tc>
      </w:tr>
      <w:tr>
        <w:tc>
          <w:tcPr>
            <w:tcW w:w="1800" w:type="dxa"/>
          </w:tcPr>
          <w:p>
            <w:pPr>
              <w:jc w:val="left"/>
              <w:spacing w:before="10" w:after="10"/>
            </w:pPr>
            <w:r/>
            <w:r>
              <w:rPr>
                <w:rFonts w:ascii="Times New Roman" w:hAnsi="Times New Roman"/>
                <w:sz w:val="16"/>
              </w:rPr>
              <w:t>Egypt</w:t>
            </w:r>
          </w:p>
        </w:tc>
        <w:tc>
          <w:tcPr>
            <w:tcW w:w="900" w:type="dxa"/>
          </w:tcPr>
          <w:p>
            <w:pPr>
              <w:jc w:val="center"/>
              <w:spacing w:before="10" w:after="10"/>
            </w:pPr>
            <w:r/>
            <w:r>
              <w:rPr>
                <w:rFonts w:ascii="Times New Roman" w:hAnsi="Times New Roman"/>
                <w:sz w:val="16"/>
              </w:rPr>
              <w:t>$1.43</w:t>
            </w:r>
          </w:p>
        </w:tc>
        <w:tc>
          <w:tcPr>
            <w:tcW w:w="540" w:type="dxa"/>
          </w:tcPr>
          <w:p>
            <w:pPr>
              <w:jc w:val="center"/>
              <w:spacing w:before="10" w:after="10"/>
            </w:pPr>
            <w:r/>
            <w:r>
              <w:rPr>
                <w:rFonts w:ascii="Times New Roman" w:hAnsi="Times New Roman"/>
                <w:sz w:val="16"/>
              </w:rPr>
              <w:t>5</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15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$1.92</w:t>
            </w:r>
          </w:p>
        </w:tc>
        <w:tc>
          <w:tcPr>
            <w:tcW w:w="450" w:type="dxa"/>
          </w:tcPr>
          <w:p>
            <w:pPr>
              <w:jc w:val="center"/>
              <w:spacing w:before="10" w:after="10"/>
            </w:pPr>
            <w:r/>
            <w:r>
              <w:rPr>
                <w:rFonts w:ascii="Times New Roman" w:hAnsi="Times New Roman"/>
                <w:sz w:val="16"/>
              </w:rPr>
              <w:t>0.76</w:t>
            </w:r>
          </w:p>
        </w:tc>
        <w:tc>
          <w:tcPr>
            <w:tcW w:w="540" w:type="dxa"/>
          </w:tcPr>
          <w:p>
            <w:pPr>
              <w:jc w:val="center"/>
              <w:spacing w:before="10" w:after="10"/>
            </w:pPr>
            <w:r/>
            <w:r>
              <w:rPr>
                <w:rFonts w:ascii="Times New Roman" w:hAnsi="Times New Roman"/>
                <w:sz w:val="16"/>
              </w:rPr>
              <w:t>71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$1.92</w:t>
            </w:r>
          </w:p>
        </w:tc>
        <w:tc>
          <w:tcPr>
            <w:tcW w:w="540" w:type="dxa"/>
          </w:tcPr>
          <w:p>
            <w:pPr>
              <w:jc w:val="center"/>
              <w:spacing w:before="10" w:after="10"/>
            </w:pPr>
            <w:r/>
            <w:r>
              <w:rPr>
                <w:rFonts w:ascii="Times New Roman" w:hAnsi="Times New Roman"/>
                <w:b/>
                <w:sz w:val="16"/>
              </w:rPr>
              <w:t>71</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-66</w:t>
            </w:r>
          </w:p>
        </w:tc>
      </w:tr>
      <w:tr>
        <w:tc>
          <w:tcPr>
            <w:tcW w:w="1800" w:type="dxa"/>
          </w:tcPr>
          <w:p>
            <w:pPr>
              <w:jc w:val="left"/>
              <w:spacing w:before="10" w:after="10"/>
            </w:pPr>
            <w:r/>
            <w:r>
              <w:rPr>
                <w:rFonts w:ascii="Times New Roman" w:hAnsi="Times New Roman"/>
                <w:sz w:val="16"/>
              </w:rPr>
              <w:t>Russia</w:t>
            </w:r>
          </w:p>
        </w:tc>
        <w:tc>
          <w:tcPr>
            <w:tcW w:w="900" w:type="dxa"/>
          </w:tcPr>
          <w:p>
            <w:pPr>
              <w:jc w:val="center"/>
              <w:spacing w:before="10" w:after="10"/>
            </w:pPr>
            <w:r/>
            <w:r>
              <w:rPr>
                <w:rFonts w:ascii="Times New Roman" w:hAnsi="Times New Roman"/>
                <w:sz w:val="16"/>
              </w:rPr>
              <w:t>$1.44</w:t>
            </w:r>
          </w:p>
        </w:tc>
        <w:tc>
          <w:tcPr>
            <w:tcW w:w="540" w:type="dxa"/>
          </w:tcPr>
          <w:p>
            <w:pPr>
              <w:jc w:val="center"/>
              <w:spacing w:before="10" w:after="10"/>
            </w:pPr>
            <w:r/>
            <w:r>
              <w:rPr>
                <w:rFonts w:ascii="Times New Roman" w:hAnsi="Times New Roman"/>
                <w:sz w:val="16"/>
              </w:rPr>
              <w:t>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$2.02</w:t>
            </w:r>
          </w:p>
        </w:tc>
        <w:tc>
          <w:tcPr>
            <w:tcW w:w="450" w:type="dxa"/>
          </w:tcPr>
          <w:p>
            <w:pPr>
              <w:jc w:val="center"/>
              <w:spacing w:before="10" w:after="10"/>
            </w:pPr>
            <w:r/>
            <w:r>
              <w:rPr>
                <w:rFonts w:ascii="Times New Roman" w:hAnsi="Times New Roman"/>
                <w:sz w:val="16"/>
              </w:rPr>
              <w:t>0.72</w:t>
            </w:r>
          </w:p>
        </w:tc>
        <w:tc>
          <w:tcPr>
            <w:tcW w:w="540" w:type="dxa"/>
          </w:tcPr>
          <w:p>
            <w:pPr>
              <w:jc w:val="center"/>
              <w:spacing w:before="10" w:after="10"/>
            </w:pPr>
            <w:r/>
            <w:r>
              <w:rPr>
                <w:rFonts w:ascii="Times New Roman" w:hAnsi="Times New Roman"/>
                <w:sz w:val="16"/>
              </w:rPr>
              <w:t>78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$2.02</w:t>
            </w:r>
          </w:p>
        </w:tc>
        <w:tc>
          <w:tcPr>
            <w:tcW w:w="540" w:type="dxa"/>
          </w:tcPr>
          <w:p>
            <w:pPr>
              <w:jc w:val="center"/>
              <w:spacing w:before="10" w:after="10"/>
            </w:pPr>
            <w:r/>
            <w:r>
              <w:rPr>
                <w:rFonts w:ascii="Times New Roman" w:hAnsi="Times New Roman"/>
                <w:b/>
                <w:sz w:val="16"/>
              </w:rPr>
              <w:t>78</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-70</w:t>
            </w:r>
          </w:p>
        </w:tc>
      </w:tr>
      <w:tr>
        <w:tc>
          <w:tcPr>
            <w:tcW w:w="1800" w:type="dxa"/>
          </w:tcPr>
          <w:p>
            <w:pPr>
              <w:jc w:val="left"/>
              <w:spacing w:before="10" w:after="10"/>
            </w:pPr>
            <w:r/>
            <w:r>
              <w:rPr>
                <w:rFonts w:ascii="Times New Roman" w:hAnsi="Times New Roman"/>
                <w:sz w:val="16"/>
              </w:rPr>
              <w:t>Tajikistan</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12</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6</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$2.02</w:t>
            </w:r>
          </w:p>
        </w:tc>
        <w:tc>
          <w:tcPr>
            <w:tcW w:w="450" w:type="dxa"/>
          </w:tcPr>
          <w:p>
            <w:pPr>
              <w:jc w:val="center"/>
              <w:spacing w:before="10" w:after="10"/>
            </w:pPr>
            <w:r/>
            <w:r>
              <w:rPr>
                <w:rFonts w:ascii="Times New Roman" w:hAnsi="Times New Roman"/>
                <w:sz w:val="16"/>
              </w:rPr>
              <w:t>0.72</w:t>
            </w:r>
          </w:p>
        </w:tc>
        <w:tc>
          <w:tcPr>
            <w:tcW w:w="540" w:type="dxa"/>
          </w:tcPr>
          <w:p>
            <w:pPr>
              <w:jc w:val="center"/>
              <w:spacing w:before="10" w:after="10"/>
            </w:pPr>
            <w:r/>
            <w:r>
              <w:rPr>
                <w:rFonts w:ascii="Times New Roman" w:hAnsi="Times New Roman"/>
                <w:sz w:val="16"/>
              </w:rPr>
              <w:t>79</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$2.02</w:t>
            </w:r>
          </w:p>
        </w:tc>
        <w:tc>
          <w:tcPr>
            <w:tcW w:w="540" w:type="dxa"/>
          </w:tcPr>
          <w:p>
            <w:pPr>
              <w:jc w:val="center"/>
              <w:spacing w:before="10" w:after="10"/>
            </w:pPr>
            <w:r/>
            <w:r>
              <w:rPr>
                <w:rFonts w:ascii="Times New Roman" w:hAnsi="Times New Roman"/>
                <w:b/>
                <w:sz w:val="16"/>
              </w:rPr>
              <w:t>79</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-67</w:t>
            </w:r>
          </w:p>
        </w:tc>
      </w:tr>
      <w:tr>
        <w:tc>
          <w:tcPr>
            <w:tcW w:w="1800" w:type="dxa"/>
          </w:tcPr>
          <w:p>
            <w:pPr>
              <w:jc w:val="left"/>
              <w:spacing w:before="10" w:after="10"/>
            </w:pPr>
            <w:r/>
            <w:r>
              <w:rPr>
                <w:rFonts w:ascii="Times New Roman" w:hAnsi="Times New Roman"/>
                <w:sz w:val="16"/>
              </w:rPr>
              <w:t>Ethiopia</w:t>
            </w:r>
          </w:p>
        </w:tc>
        <w:tc>
          <w:tcPr>
            <w:tcW w:w="900" w:type="dxa"/>
          </w:tcPr>
          <w:p>
            <w:pPr>
              <w:jc w:val="center"/>
              <w:spacing w:before="10" w:after="10"/>
            </w:pPr>
            <w:r/>
            <w:r>
              <w:rPr>
                <w:rFonts w:ascii="Times New Roman" w:hAnsi="Times New Roman"/>
                <w:sz w:val="16"/>
              </w:rPr>
              <w:t>$1.42</w:t>
            </w:r>
          </w:p>
        </w:tc>
        <w:tc>
          <w:tcPr>
            <w:tcW w:w="540" w:type="dxa"/>
          </w:tcPr>
          <w:p>
            <w:pPr>
              <w:jc w:val="center"/>
              <w:spacing w:before="10" w:after="10"/>
            </w:pPr>
            <w:r/>
            <w:r>
              <w:rPr>
                <w:rFonts w:ascii="Times New Roman" w:hAnsi="Times New Roman"/>
                <w:sz w:val="16"/>
              </w:rPr>
              <w:t>3</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$1.44</w:t>
            </w:r>
          </w:p>
        </w:tc>
        <w:tc>
          <w:tcPr>
            <w:tcW w:w="540" w:type="dxa"/>
          </w:tcPr>
          <w:p>
            <w:pPr>
              <w:jc w:val="center"/>
              <w:spacing w:before="10" w:after="10"/>
            </w:pPr>
            <w:r/>
            <w:r>
              <w:rPr>
                <w:rFonts w:ascii="Times New Roman" w:hAnsi="Times New Roman"/>
                <w:sz w:val="16"/>
              </w:rPr>
              <w:t>2</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$2.03</w:t>
            </w:r>
          </w:p>
        </w:tc>
        <w:tc>
          <w:tcPr>
            <w:tcW w:w="450" w:type="dxa"/>
          </w:tcPr>
          <w:p>
            <w:pPr>
              <w:jc w:val="center"/>
              <w:spacing w:before="10" w:after="10"/>
            </w:pPr>
            <w:r/>
            <w:r>
              <w:rPr>
                <w:rFonts w:ascii="Times New Roman" w:hAnsi="Times New Roman"/>
                <w:sz w:val="16"/>
              </w:rPr>
              <w:t>0.71</w:t>
            </w:r>
          </w:p>
        </w:tc>
        <w:tc>
          <w:tcPr>
            <w:tcW w:w="540" w:type="dxa"/>
          </w:tcPr>
          <w:p>
            <w:pPr>
              <w:jc w:val="center"/>
              <w:spacing w:before="10" w:after="10"/>
            </w:pPr>
            <w:r/>
            <w:r>
              <w:rPr>
                <w:rFonts w:ascii="Times New Roman" w:hAnsi="Times New Roman"/>
                <w:sz w:val="16"/>
              </w:rPr>
              <w:t>80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$2.03</w:t>
            </w:r>
          </w:p>
        </w:tc>
        <w:tc>
          <w:tcPr>
            <w:tcW w:w="540" w:type="dxa"/>
          </w:tcPr>
          <w:p>
            <w:pPr>
              <w:jc w:val="center"/>
              <w:spacing w:before="10" w:after="10"/>
            </w:pPr>
            <w:r/>
            <w:r>
              <w:rPr>
                <w:rFonts w:ascii="Times New Roman" w:hAnsi="Times New Roman"/>
                <w:b/>
                <w:sz w:val="16"/>
              </w:rPr>
              <w:t>80</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-77</w:t>
            </w:r>
          </w:p>
        </w:tc>
      </w:tr>
      <w:tr>
        <w:tc>
          <w:tcPr>
            <w:tcW w:w="1800" w:type="dxa"/>
          </w:tcPr>
          <w:p>
            <w:pPr>
              <w:jc w:val="left"/>
              <w:spacing w:before="10" w:after="10"/>
            </w:pPr>
            <w:r/>
            <w:r>
              <w:rPr>
                <w:rFonts w:ascii="Times New Roman" w:hAnsi="Times New Roman"/>
                <w:sz w:val="16"/>
              </w:rPr>
              <w:t>Iran</w:t>
            </w:r>
          </w:p>
        </w:tc>
        <w:tc>
          <w:tcPr>
            <w:tcW w:w="900" w:type="dxa"/>
          </w:tcPr>
          <w:p>
            <w:pPr>
              <w:jc w:val="center"/>
              <w:spacing w:before="10" w:after="10"/>
            </w:pPr>
            <w:r/>
            <w:r>
              <w:rPr>
                <w:rFonts w:ascii="Times New Roman" w:hAnsi="Times New Roman"/>
                <w:sz w:val="16"/>
              </w:rPr>
              <w:t>$1.40</w:t>
            </w:r>
          </w:p>
        </w:tc>
        <w:tc>
          <w:tcPr>
            <w:tcW w:w="540" w:type="dxa"/>
          </w:tcPr>
          <w:p>
            <w:pPr>
              <w:jc w:val="center"/>
              <w:spacing w:before="10" w:after="10"/>
            </w:pPr>
            <w:r/>
            <w:r>
              <w:rPr>
                <w:rFonts w:ascii="Times New Roman" w:hAnsi="Times New Roman"/>
                <w:sz w:val="16"/>
              </w:rPr>
              <w:t>1</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$1.48</w:t>
            </w:r>
          </w:p>
        </w:tc>
        <w:tc>
          <w:tcPr>
            <w:tcW w:w="540" w:type="dxa"/>
          </w:tcPr>
          <w:p>
            <w:pPr>
              <w:jc w:val="center"/>
              <w:spacing w:before="10" w:after="10"/>
            </w:pPr>
            <w:r/>
            <w:r>
              <w:rPr>
                <w:rFonts w:ascii="Times New Roman" w:hAnsi="Times New Roman"/>
                <w:sz w:val="16"/>
              </w:rPr>
              <w:t>21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$2.12</w:t>
            </w:r>
          </w:p>
        </w:tc>
        <w:tc>
          <w:tcPr>
            <w:tcW w:w="450" w:type="dxa"/>
          </w:tcPr>
          <w:p>
            <w:pPr>
              <w:jc w:val="center"/>
              <w:spacing w:before="10" w:after="10"/>
            </w:pPr>
            <w:r/>
            <w:r>
              <w:rPr>
                <w:rFonts w:ascii="Times New Roman" w:hAnsi="Times New Roman"/>
                <w:sz w:val="16"/>
              </w:rPr>
              <w:t>0.70</w:t>
            </w:r>
          </w:p>
        </w:tc>
        <w:tc>
          <w:tcPr>
            <w:tcW w:w="540" w:type="dxa"/>
          </w:tcPr>
          <w:p>
            <w:pPr>
              <w:jc w:val="center"/>
              <w:spacing w:before="10" w:after="10"/>
            </w:pPr>
            <w:r/>
            <w:r>
              <w:rPr>
                <w:rFonts w:ascii="Times New Roman" w:hAnsi="Times New Roman"/>
                <w:sz w:val="16"/>
              </w:rPr>
              <w:t>83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$2.12</w:t>
            </w:r>
          </w:p>
        </w:tc>
        <w:tc>
          <w:tcPr>
            <w:tcW w:w="540" w:type="dxa"/>
          </w:tcPr>
          <w:p>
            <w:pPr>
              <w:jc w:val="center"/>
              <w:spacing w:before="10" w:after="10"/>
            </w:pPr>
            <w:r/>
            <w:r>
              <w:rPr>
                <w:rFonts w:ascii="Times New Roman" w:hAnsi="Times New Roman"/>
                <w:b/>
                <w:sz w:val="16"/>
              </w:rPr>
              <w:t>83</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-82</w:t>
            </w:r>
          </w:p>
        </w:tc>
      </w:tr>
      <w:tr>
        <w:tc>
          <w:tcPr>
            <w:tcBorders>
              <w:bottom w:val="double" w:sz="4" w:space="0" w:color="auto"/>
            </w:tcBorders>
            <w:tcW w:w="1800" w:type="dxa"/>
          </w:tcPr>
          <w:p>
            <w:pPr>
              <w:jc w:val="left"/>
              <w:spacing w:before="10" w:after="10"/>
            </w:pPr>
            <w:r/>
            <w:r>
              <w:rPr>
                <w:rFonts w:ascii="Times New Roman" w:hAnsi="Times New Roman"/>
                <w:sz w:val="16"/>
              </w:rPr>
              <w:t>Turkmenistan</w:t>
            </w:r>
          </w:p>
        </w:tc>
        <w:tc>
          <w:tcPr>
            <w:tcBorders>
              <w:bottom w:val="double" w:sz="4" w:space="0" w:color="auto"/>
            </w:tcBorders>
            <w:tcW w:w="900" w:type="dxa"/>
          </w:tcPr>
          <w:p>
            <w:pPr>
              <w:jc w:val="center"/>
              <w:spacing w:before="10" w:after="10"/>
            </w:pPr>
            <w:r/>
            <w:r>
              <w:rPr>
                <w:rFonts w:ascii="Times New Roman" w:hAnsi="Times New Roman"/>
                <w:sz w:val="16"/>
              </w:rPr>
              <w:t>$1.41</w:t>
            </w:r>
          </w:p>
        </w:tc>
        <w:tc>
          <w:tcPr>
            <w:tcBorders>
              <w:bottom w:val="double" w:sz="4" w:space="0" w:color="auto"/>
            </w:tcBorders>
            <w:tcW w:w="540" w:type="dxa"/>
          </w:tcPr>
          <w:p>
            <w:pPr>
              <w:jc w:val="center"/>
              <w:spacing w:before="10" w:after="10"/>
            </w:pPr>
            <w:r/>
            <w:r>
              <w:rPr>
                <w:rFonts w:ascii="Times New Roman" w:hAnsi="Times New Roman"/>
                <w:sz w:val="16"/>
              </w:rPr>
              <w:t>2</w:t>
            </w:r>
          </w:p>
        </w:tc>
        <w:tc>
          <w:tcPr>
            <w:tcBorders>
              <w:bottom w:val="double" w:sz="4" w:space="0" w:color="auto"/>
            </w:tcBorders>
            <w:tcW w:w="540" w:type="dxa"/>
          </w:tcPr>
          <w:p>
            <w:pPr>
              <w:jc w:val="center"/>
              <w:spacing w:before="10" w:after="10"/>
            </w:pPr>
            <w:r/>
            <w:r>
              <w:rPr>
                <w:rFonts w:ascii="Times New Roman" w:hAnsi="Times New Roman"/>
                <w:sz w:val="16"/>
              </w:rPr>
              <w:t>EE</w:t>
            </w:r>
          </w:p>
        </w:tc>
        <w:tc>
          <w:tcPr>
            <w:tcBorders>
              <w:bottom w:val="double" w:sz="4" w:space="0" w:color="auto"/>
            </w:tcBorders>
            <w:tcW w:w="900" w:type="dxa"/>
          </w:tcPr>
          <w:p>
            <w:pPr>
              <w:jc w:val="center"/>
              <w:spacing w:before="10" w:after="10"/>
            </w:pPr>
            <w:r/>
            <w:r>
              <w:rPr>
                <w:rFonts w:ascii="Times New Roman" w:hAnsi="Times New Roman"/>
                <w:sz w:val="16"/>
              </w:rPr>
              <w:t>$1.47</w:t>
            </w:r>
          </w:p>
        </w:tc>
        <w:tc>
          <w:tcPr>
            <w:tcBorders>
              <w:bottom w:val="double" w:sz="4" w:space="0" w:color="auto"/>
            </w:tcBorders>
            <w:tcW w:w="540" w:type="dxa"/>
          </w:tcPr>
          <w:p>
            <w:pPr>
              <w:jc w:val="center"/>
              <w:spacing w:before="10" w:after="10"/>
            </w:pPr>
            <w:r/>
            <w:r>
              <w:rPr>
                <w:rFonts w:ascii="Times New Roman" w:hAnsi="Times New Roman"/>
                <w:sz w:val="16"/>
              </w:rPr>
              <w:t>18</w:t>
            </w:r>
          </w:p>
        </w:tc>
        <w:tc>
          <w:tcPr>
            <w:tcBorders>
              <w:bottom w:val="double" w:sz="4" w:space="0" w:color="auto"/>
            </w:tcBorders>
            <w:tcW w:w="540" w:type="dxa"/>
          </w:tcPr>
          <w:p>
            <w:pPr>
              <w:jc w:val="center"/>
              <w:spacing w:before="10" w:after="10"/>
            </w:pPr>
            <w:r/>
            <w:r>
              <w:rPr>
                <w:rFonts w:ascii="Times New Roman" w:hAnsi="Times New Roman"/>
                <w:sz w:val="16"/>
              </w:rPr>
              <w:t>II</w:t>
            </w:r>
          </w:p>
        </w:tc>
        <w:tc>
          <w:tcPr>
            <w:tcBorders>
              <w:bottom w:val="double" w:sz="4" w:space="0" w:color="auto"/>
            </w:tcBorders>
            <w:tcW w:w="900" w:type="dxa"/>
          </w:tcPr>
          <w:p>
            <w:pPr>
              <w:jc w:val="center"/>
              <w:spacing w:before="10" w:after="10"/>
            </w:pPr>
            <w:r/>
            <w:r>
              <w:rPr>
                <w:rFonts w:ascii="Times New Roman" w:hAnsi="Times New Roman"/>
                <w:sz w:val="16"/>
              </w:rPr>
              <w:t>$2.19</w:t>
            </w:r>
          </w:p>
        </w:tc>
        <w:tc>
          <w:tcPr>
            <w:tcBorders>
              <w:bottom w:val="double" w:sz="4" w:space="0" w:color="auto"/>
            </w:tcBorders>
            <w:tcW w:w="450" w:type="dxa"/>
          </w:tcPr>
          <w:p>
            <w:pPr>
              <w:jc w:val="center"/>
              <w:spacing w:before="10" w:after="10"/>
            </w:pPr>
            <w:r/>
            <w:r>
              <w:rPr>
                <w:rFonts w:ascii="Times New Roman" w:hAnsi="Times New Roman"/>
                <w:sz w:val="16"/>
              </w:rPr>
              <w:t>0.67</w:t>
            </w:r>
          </w:p>
        </w:tc>
        <w:tc>
          <w:tcPr>
            <w:tcBorders>
              <w:bottom w:val="double" w:sz="4" w:space="0" w:color="auto"/>
            </w:tcBorders>
            <w:tcW w:w="540" w:type="dxa"/>
          </w:tcPr>
          <w:p>
            <w:pPr>
              <w:jc w:val="center"/>
              <w:spacing w:before="10" w:after="10"/>
            </w:pPr>
            <w:r/>
            <w:r>
              <w:rPr>
                <w:rFonts w:ascii="Times New Roman" w:hAnsi="Times New Roman"/>
                <w:sz w:val="16"/>
              </w:rPr>
              <w:t>85</w:t>
            </w:r>
          </w:p>
        </w:tc>
        <w:tc>
          <w:tcPr>
            <w:tcBorders>
              <w:bottom w:val="double" w:sz="4" w:space="0" w:color="auto"/>
            </w:tcBorders>
            <w:tcW w:w="540" w:type="dxa"/>
          </w:tcPr>
          <w:p>
            <w:pPr>
              <w:jc w:val="center"/>
              <w:spacing w:before="10" w:after="10"/>
            </w:pPr>
            <w:r/>
            <w:r>
              <w:rPr>
                <w:rFonts w:ascii="Times New Roman" w:hAnsi="Times New Roman"/>
                <w:sz w:val="16"/>
              </w:rPr>
              <w:t>II</w:t>
            </w:r>
          </w:p>
        </w:tc>
        <w:tc>
          <w:tcPr>
            <w:tcBorders>
              <w:bottom w:val="double" w:sz="4" w:space="0" w:color="auto"/>
            </w:tcBorders>
            <w:tcW w:w="900" w:type="dxa"/>
          </w:tcPr>
          <w:p>
            <w:pPr>
              <w:jc w:val="center"/>
              <w:spacing w:before="10" w:after="10"/>
            </w:pPr>
            <w:r/>
            <w:r>
              <w:rPr>
                <w:rFonts w:ascii="Times New Roman" w:hAnsi="Times New Roman"/>
                <w:sz w:val="16"/>
              </w:rPr>
              <w:t>$2.19</w:t>
            </w:r>
          </w:p>
        </w:tc>
        <w:tc>
          <w:tcPr>
            <w:tcBorders>
              <w:bottom w:val="double" w:sz="4" w:space="0" w:color="auto"/>
            </w:tcBorders>
            <w:tcW w:w="540" w:type="dxa"/>
          </w:tcPr>
          <w:p>
            <w:pPr>
              <w:jc w:val="center"/>
              <w:spacing w:before="10" w:after="10"/>
            </w:pPr>
            <w:r/>
            <w:r>
              <w:rPr>
                <w:rFonts w:ascii="Times New Roman" w:hAnsi="Times New Roman"/>
                <w:b/>
                <w:sz w:val="16"/>
              </w:rPr>
              <w:t>85</w:t>
            </w:r>
          </w:p>
        </w:tc>
        <w:tc>
          <w:tcPr>
            <w:tcBorders>
              <w:bottom w:val="double" w:sz="4" w:space="0" w:color="auto"/>
            </w:tcBorders>
            <w:tcW w:w="540" w:type="dxa"/>
          </w:tcPr>
          <w:p>
            <w:pPr>
              <w:jc w:val="center"/>
              <w:spacing w:before="10" w:after="10"/>
            </w:pPr>
            <w:r/>
            <w:r>
              <w:rPr>
                <w:rFonts w:ascii="Times New Roman" w:hAnsi="Times New Roman"/>
                <w:sz w:val="16"/>
              </w:rPr>
              <w:t>II</w:t>
            </w:r>
          </w:p>
        </w:tc>
        <w:tc>
          <w:tcPr>
            <w:tcBorders>
              <w:bottom w:val="double" w:sz="4" w:space="0" w:color="auto"/>
            </w:tcBorders>
            <w:tcW w:w="540" w:type="dxa"/>
          </w:tcPr>
          <w:p>
            <w:pPr>
              <w:jc w:val="center"/>
              <w:spacing w:before="10" w:after="10"/>
            </w:pPr>
            <w:r/>
            <w:r>
              <w:rPr>
                <w:rFonts w:ascii="Times New Roman" w:hAnsi="Times New Roman"/>
                <w:sz w:val="16"/>
              </w:rPr>
              <w:t>-83</w:t>
            </w:r>
          </w:p>
        </w:tc>
      </w:tr>
    </w:tbl>
    <w:p>
      <w:pPr>
        <w:spacing w:before="0" w:after="120" w:line="240" w:lineRule="auto"/>
        <w:ind w:firstLine="0"/>
        <w:jc w:val="left"/>
      </w:pPr>
      <w:r>
        <w:rPr>
          <w:rFonts w:ascii="Times New Roman" w:hAnsi="Times New Roman"/>
          <w:b/>
          <w:sz w:val="20"/>
        </w:rPr>
        <w:t xml:space="preserve">Notes: </w:t>
      </w:r>
      <w:r>
        <w:rPr>
          <w:rFonts w:ascii="Times New Roman" w:hAnsi="Times New Roman"/>
          <w:sz w:val="20"/>
        </w:rPr>
        <w:t xml:space="preserve">Columns show unit cost ($/GPU-hr), rank among 85 countries, and regime type (EE = training + inference exporter; IE = inference exporter; DD = domestic producer; II = full importer). (1) Raw: observed electricity tariffs. (2) Cost-recovery: subsidized tariffs replaced with LRMC. (3) Efficiency-adjusted: cost-recovery price divided by production-efficiency index ξⱼᵉᶠᶠ; the ξ column reports each country’s efficiency index (preferred specification). (4) Bilateral: efficiency-adjusted cost with bilateral sovereignty premium λᵢⱼ from </w:t>
      </w:r>
      <w:bookmarkStart w:id="906" w:name="Eq2txt906"/>
      <w:hyperlink w:anchor="Eq2" w:history="1">
        <w:r>
          <w:rPr>
            <w:rFonts w:ascii="Times New Roman" w:hAnsi="Times New Roman"/>
            <w:sz w:val="20"/>
            <w:color w:val="1F3864"/>
            <w:u w:val="single"/>
          </w:rPr>
          <w:t xml:space="preserve">equation (2)</w:t>
        </w:r>
      </w:hyperlink>
      <w:bookmarkEnd w:id="906"/>
      <w:r>
        <w:rPr>
          <w:rFonts w:ascii="Times New Roman" w:hAnsi="Times New Roman"/>
          <w:sz w:val="20"/>
        </w:rPr>
        <w:t xml:space="preserve">. Ranks in columns (3) and (4) are the same, because the sovereignty premium does not affect production costs or cost rankings; it reshapes regime assignments. Δ = rank change from (1) to (3); positive values indicate improvement. 25 selected countries; see </w:t>
      </w:r>
      <w:hyperlink w:anchor="TableA2" w:history="1">
        <w:r>
          <w:rPr>
            <w:sz w:val="20"/>
            <w:color w:val="1F3864"/>
            <w:u w:val="single"/>
          </w:rPr>
          <w:t xml:space="preserve">Table A2</w:t>
        </w:r>
      </w:hyperlink>
      <w:r>
        <w:rPr>
          <w:rFonts w:ascii="Times New Roman" w:hAnsi="Times New Roman"/>
          <w:sz w:val="20"/>
        </w:rPr>
        <w:t xml:space="preserve"> for all 85 countries.</w:t>
      </w:r>
    </w:p>
    <w:p>
      <w:pPr>
        <w:pageBreakBefore/>
        <w:spacing w:before="0" w:after="60"/>
        <w:ind w:firstLine="0"/>
        <w:jc w:val="both"/>
      </w:pPr>
      <w:bookmarkStart w:id="114" w:name="Table3b"/>
      <w:hyperlink w:anchor="Table3btxt" w:history="1">
        <w:r>
          <w:rPr>
            <w:b/>
            <w:sz w:val="20"/>
            <w:color w:val="1F3864"/>
            <w:u w:val="single"/>
          </w:rPr>
          <w:t>Table 3b</w:t>
        </w:r>
      </w:hyperlink>
      <w:r>
        <w:rPr>
          <w:b/>
          <w:sz w:val="20"/>
        </w:rPr>
        <w:t>. Country rankings under alternative sovereignty specifications</w:t>
      </w:r>
      <w:bookmarkEnd w:id="114"/>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40"/>
        <w:gridCol w:w="1440"/>
        <w:gridCol w:w="1440"/>
        <w:gridCol w:w="1440"/>
        <w:gridCol w:w="1440"/>
        <w:gridCol w:w="1440"/>
      </w:tblGrid>
      <w:tr>
        <w:tc>
          <w:tcPr>
            <w:tcBorders>
              <w:top w:val="single" w:sz="4" w:space="0" w:color="auto"/>
              <w:bottom w:val="single" w:sz="4" w:space="0" w:color="auto"/>
            </w:tcBorders>
            <w:tcW w:w="2400" w:type="dxa"/>
          </w:tcPr>
          <w:p>
            <w:pPr>
              <w:jc w:val="center"/>
              <w:spacing w:before="10" w:after="10"/>
            </w:pPr>
            <w:r/>
            <w:r>
              <w:rPr>
                <w:rFonts w:ascii="Times New Roman" w:hAnsi="Times New Roman"/>
                <w:sz w:val="16"/>
              </w:rPr>
            </w:r>
          </w:p>
        </w:tc>
        <w:tc>
          <w:tcPr>
            <w:gridSpan w:val="2"/>
            <w:tcBorders>
              <w:top w:val="single" w:sz="4" w:space="0" w:color="auto"/>
              <w:bottom w:val="single" w:sz="4" w:space="0" w:color="auto"/>
            </w:tcBorders>
            <w:tcBorders>
              <w:top w:val="single" w:sz="4" w:space="0" w:color="auto"/>
              <w:bottom w:val="single" w:sz="4" w:space="0" w:color="auto"/>
            </w:tcBorders>
            <w:tcW w:w="1000" w:type="dxa"/>
          </w:tcPr>
          <w:p>
            <w:pPr>
              <w:jc w:val="center"/>
              <w:spacing w:before="10" w:after="10"/>
              <w:spacing w:before="10" w:after="10"/>
            </w:pPr>
            <w:r/>
            <w:r>
              <w:rPr>
                <w:rFonts w:ascii="Times New Roman" w:hAnsi="Times New Roman"/>
                <w:b/>
                <w:sz w:val="16"/>
              </w:rPr>
              <w:t>(4)/(5) Bilateral</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1100" w:type="dxa"/>
          </w:tcPr>
          <w:p>
            <w:pPr>
              <w:jc w:val="center"/>
              <w:spacing w:before="10" w:after="10"/>
              <w:spacing w:before="10" w:after="10"/>
              <w:spacing w:before="10" w:after="10"/>
            </w:pPr>
            <w:r/>
            <w:r>
              <w:rPr>
                <w:rFonts w:ascii="Times New Roman" w:hAnsi="Times New Roman"/>
                <w:b/>
                <w:sz w:val="16"/>
              </w:rPr>
              <w:t>(6) Uniform</w:t>
            </w:r>
          </w:p>
        </w:tc>
      </w:tr>
      <w:tr>
        <w:tc>
          <w:tcPr>
            <w:tcBorders>
              <w:top w:val="single" w:sz="4" w:space="0" w:color="auto"/>
              <w:bottom w:val="single" w:sz="4" w:space="0" w:color="auto"/>
            </w:tcBorders>
            <w:tcW w:w="24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1300" w:type="dxa"/>
          </w:tcPr>
          <w:p>
            <w:pPr>
              <w:jc w:val="center"/>
              <w:spacing w:before="10" w:after="10"/>
            </w:pPr>
            <w:r/>
            <w:r>
              <w:rPr>
                <w:rFonts w:ascii="Times New Roman" w:hAnsi="Times New Roman"/>
                <w:b/>
                <w:sz w:val="16"/>
              </w:rPr>
              <w:t>cⱼ/ξⱼᵉᶠᶠ</w:t>
            </w:r>
          </w:p>
        </w:tc>
        <w:tc>
          <w:tcPr>
            <w:tcBorders>
              <w:top w:val="single" w:sz="4" w:space="0" w:color="auto"/>
              <w:bottom w:val="single" w:sz="4" w:space="0" w:color="auto"/>
            </w:tcBorders>
            <w:tcW w:w="10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0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Rank₆</w:t>
            </w:r>
          </w:p>
        </w:tc>
        <w:tc>
          <w:tcPr>
            <w:tcBorders>
              <w:top w:val="single" w:sz="4" w:space="0" w:color="auto"/>
              <w:bottom w:val="single" w:sz="4" w:space="0" w:color="auto"/>
            </w:tcBorders>
            <w:tcW w:w="1100" w:type="dxa"/>
          </w:tcPr>
          <w:p>
            <w:pPr>
              <w:jc w:val="center"/>
              <w:spacing w:before="10" w:after="10"/>
            </w:pPr>
            <w:r/>
            <w:r>
              <w:rPr>
                <w:rFonts w:ascii="Times New Roman" w:hAnsi="Times New Roman"/>
                <w:b/>
                <w:sz w:val="16"/>
              </w:rPr>
              <w:t>λₖ*</w:t>
            </w:r>
          </w:p>
        </w:tc>
      </w:tr>
      <w:tr>
        <w:tc>
          <w:tcPr>
            <w:tcW w:w="2400" w:type="dxa"/>
          </w:tcPr>
          <w:p>
            <w:pPr>
              <w:jc w:val="left"/>
              <w:spacing w:before="10" w:after="10"/>
            </w:pPr>
            <w:r/>
            <w:r>
              <w:rPr>
                <w:rFonts w:ascii="Times New Roman" w:hAnsi="Times New Roman"/>
                <w:sz w:val="16"/>
              </w:rPr>
              <w:t>Canada</w:t>
            </w:r>
          </w:p>
        </w:tc>
        <w:tc>
          <w:tcPr>
            <w:tcW w:w="1300" w:type="dxa"/>
          </w:tcPr>
          <w:p>
            <w:pPr>
              <w:jc w:val="center"/>
              <w:spacing w:before="10" w:after="10"/>
            </w:pPr>
            <w:r/>
            <w:r>
              <w:rPr>
                <w:rFonts w:ascii="Times New Roman" w:hAnsi="Times New Roman"/>
                <w:sz w:val="16"/>
              </w:rPr>
              <w:t>$1.46</w:t>
            </w:r>
          </w:p>
        </w:tc>
        <w:tc>
          <w:tcPr>
            <w:tcW w:w="1000" w:type="dxa"/>
          </w:tcPr>
          <w:p>
            <w:pPr>
              <w:jc w:val="center"/>
              <w:spacing w:before="10" w:after="10"/>
            </w:pPr>
            <w:r/>
            <w:r>
              <w:rPr>
                <w:rFonts w:ascii="Times New Roman" w:hAnsi="Times New Roman"/>
                <w:sz w:val="16"/>
              </w:rPr>
              <w:t>EE</w:t>
            </w:r>
          </w:p>
        </w:tc>
        <w:tc>
          <w:tcPr>
            <w:tcW w:w="10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w:t>
            </w:r>
          </w:p>
        </w:tc>
        <w:tc>
          <w:tcPr>
            <w:tcW w:w="1100" w:type="dxa"/>
          </w:tcPr>
          <w:p>
            <w:pPr>
              <w:jc w:val="center"/>
              <w:spacing w:before="10" w:after="10"/>
            </w:pPr>
            <w:r/>
            <w:r>
              <w:rPr>
                <w:rFonts w:ascii="Times New Roman" w:hAnsi="Times New Roman"/>
                <w:sz w:val="16"/>
              </w:rPr>
              <w:t>−9.5%</w:t>
            </w:r>
          </w:p>
        </w:tc>
      </w:tr>
      <w:tr>
        <w:tc>
          <w:tcPr>
            <w:tcW w:w="2400" w:type="dxa"/>
          </w:tcPr>
          <w:p>
            <w:pPr>
              <w:jc w:val="left"/>
              <w:spacing w:before="10" w:after="10"/>
            </w:pPr>
            <w:r/>
            <w:r>
              <w:rPr>
                <w:rFonts w:ascii="Times New Roman" w:hAnsi="Times New Roman"/>
                <w:sz w:val="16"/>
              </w:rPr>
              <w:t>Norway</w:t>
            </w:r>
          </w:p>
        </w:tc>
        <w:tc>
          <w:tcPr>
            <w:tcW w:w="1300" w:type="dxa"/>
          </w:tcPr>
          <w:p>
            <w:pPr>
              <w:jc w:val="center"/>
              <w:spacing w:before="10" w:after="10"/>
            </w:pPr>
            <w:r/>
            <w:r>
              <w:rPr>
                <w:rFonts w:ascii="Times New Roman" w:hAnsi="Times New Roman"/>
                <w:sz w:val="16"/>
              </w:rPr>
              <w:t>$1.47</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2</w:t>
            </w:r>
          </w:p>
        </w:tc>
        <w:tc>
          <w:tcPr>
            <w:tcW w:w="1100" w:type="dxa"/>
          </w:tcPr>
          <w:p>
            <w:pPr>
              <w:jc w:val="center"/>
              <w:spacing w:before="10" w:after="10"/>
            </w:pPr>
            <w:r/>
            <w:r>
              <w:rPr>
                <w:rFonts w:ascii="Times New Roman" w:hAnsi="Times New Roman"/>
                <w:sz w:val="16"/>
              </w:rPr>
              <w:t>−8.8%</w:t>
            </w:r>
          </w:p>
        </w:tc>
      </w:tr>
      <w:tr>
        <w:tc>
          <w:tcPr>
            <w:tcW w:w="2400" w:type="dxa"/>
          </w:tcPr>
          <w:p>
            <w:pPr>
              <w:jc w:val="left"/>
              <w:spacing w:before="10" w:after="10"/>
            </w:pPr>
            <w:r/>
            <w:r>
              <w:rPr>
                <w:rFonts w:ascii="Times New Roman" w:hAnsi="Times New Roman"/>
                <w:sz w:val="16"/>
              </w:rPr>
              <w:t>Finland</w:t>
            </w:r>
          </w:p>
        </w:tc>
        <w:tc>
          <w:tcPr>
            <w:tcW w:w="1300" w:type="dxa"/>
          </w:tcPr>
          <w:p>
            <w:pPr>
              <w:jc w:val="center"/>
              <w:spacing w:before="10" w:after="10"/>
            </w:pPr>
            <w:r/>
            <w:r>
              <w:rPr>
                <w:rFonts w:ascii="Times New Roman" w:hAnsi="Times New Roman"/>
                <w:sz w:val="16"/>
              </w:rPr>
              <w:t>$1.47</w:t>
            </w:r>
          </w:p>
        </w:tc>
        <w:tc>
          <w:tcPr>
            <w:tcW w:w="1000" w:type="dxa"/>
          </w:tcPr>
          <w:p>
            <w:pPr>
              <w:jc w:val="center"/>
              <w:spacing w:before="10" w:after="10"/>
            </w:pPr>
            <w:r/>
            <w:r>
              <w:rPr>
                <w:rFonts w:ascii="Times New Roman" w:hAnsi="Times New Roman"/>
                <w:sz w:val="16"/>
              </w:rPr>
              <w:t>IE</w:t>
            </w:r>
          </w:p>
        </w:tc>
        <w:tc>
          <w:tcPr>
            <w:tcW w:w="10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3</w:t>
            </w:r>
          </w:p>
        </w:tc>
        <w:tc>
          <w:tcPr>
            <w:tcW w:w="1100" w:type="dxa"/>
          </w:tcPr>
          <w:p>
            <w:pPr>
              <w:jc w:val="center"/>
              <w:spacing w:before="10" w:after="10"/>
            </w:pPr>
            <w:r/>
            <w:r>
              <w:rPr>
                <w:rFonts w:ascii="Times New Roman" w:hAnsi="Times New Roman"/>
                <w:sz w:val="16"/>
              </w:rPr>
              <w:t>−8.7%</w:t>
            </w:r>
          </w:p>
        </w:tc>
      </w:tr>
      <w:tr>
        <w:tc>
          <w:tcPr>
            <w:tcW w:w="2400" w:type="dxa"/>
          </w:tcPr>
          <w:p>
            <w:pPr>
              <w:jc w:val="left"/>
              <w:spacing w:before="10" w:after="10"/>
            </w:pPr>
            <w:r/>
            <w:r>
              <w:rPr>
                <w:rFonts w:ascii="Times New Roman" w:hAnsi="Times New Roman"/>
                <w:sz w:val="16"/>
              </w:rPr>
              <w:t>Sweden</w:t>
            </w:r>
          </w:p>
        </w:tc>
        <w:tc>
          <w:tcPr>
            <w:tcW w:w="1300" w:type="dxa"/>
          </w:tcPr>
          <w:p>
            <w:pPr>
              <w:jc w:val="center"/>
              <w:spacing w:before="10" w:after="10"/>
            </w:pPr>
            <w:r/>
            <w:r>
              <w:rPr>
                <w:rFonts w:ascii="Times New Roman" w:hAnsi="Times New Roman"/>
                <w:sz w:val="16"/>
              </w:rPr>
              <w:t>$1.49</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4</w:t>
            </w:r>
          </w:p>
        </w:tc>
        <w:tc>
          <w:tcPr>
            <w:tcW w:w="1100" w:type="dxa"/>
          </w:tcPr>
          <w:p>
            <w:pPr>
              <w:jc w:val="center"/>
              <w:spacing w:before="10" w:after="10"/>
            </w:pPr>
            <w:r/>
            <w:r>
              <w:rPr>
                <w:rFonts w:ascii="Times New Roman" w:hAnsi="Times New Roman"/>
                <w:sz w:val="16"/>
              </w:rPr>
              <w:t>−7.8%</w:t>
            </w:r>
          </w:p>
        </w:tc>
      </w:tr>
      <w:tr>
        <w:tc>
          <w:tcPr>
            <w:tcW w:w="2400" w:type="dxa"/>
          </w:tcPr>
          <w:p>
            <w:pPr>
              <w:jc w:val="left"/>
              <w:spacing w:before="10" w:after="10"/>
            </w:pPr>
            <w:r/>
            <w:r>
              <w:rPr>
                <w:rFonts w:ascii="Times New Roman" w:hAnsi="Times New Roman"/>
                <w:sz w:val="16"/>
              </w:rPr>
              <w:t>South Africa</w:t>
            </w:r>
          </w:p>
        </w:tc>
        <w:tc>
          <w:tcPr>
            <w:tcW w:w="1300" w:type="dxa"/>
          </w:tcPr>
          <w:p>
            <w:pPr>
              <w:jc w:val="center"/>
              <w:spacing w:before="10" w:after="10"/>
            </w:pPr>
            <w:r/>
            <w:r>
              <w:rPr>
                <w:rFonts w:ascii="Times New Roman" w:hAnsi="Times New Roman"/>
                <w:sz w:val="16"/>
              </w:rPr>
              <w:t>$1.49</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5</w:t>
            </w:r>
          </w:p>
        </w:tc>
        <w:tc>
          <w:tcPr>
            <w:tcW w:w="1100" w:type="dxa"/>
          </w:tcPr>
          <w:p>
            <w:pPr>
              <w:jc w:val="center"/>
              <w:spacing w:before="10" w:after="10"/>
            </w:pPr>
            <w:r/>
            <w:r>
              <w:rPr>
                <w:rFonts w:ascii="Times New Roman" w:hAnsi="Times New Roman"/>
                <w:sz w:val="16"/>
              </w:rPr>
              <w:t>−7.4%</w:t>
            </w:r>
          </w:p>
        </w:tc>
      </w:tr>
      <w:tr>
        <w:tc>
          <w:tcPr>
            <w:tcW w:w="2400" w:type="dxa"/>
          </w:tcPr>
          <w:p>
            <w:pPr>
              <w:jc w:val="left"/>
              <w:spacing w:before="10" w:after="10"/>
            </w:pPr>
            <w:r/>
            <w:r>
              <w:rPr>
                <w:rFonts w:ascii="Times New Roman" w:hAnsi="Times New Roman"/>
                <w:sz w:val="16"/>
              </w:rPr>
              <w:t>Australia</w:t>
            </w:r>
          </w:p>
        </w:tc>
        <w:tc>
          <w:tcPr>
            <w:tcW w:w="1300" w:type="dxa"/>
          </w:tcPr>
          <w:p>
            <w:pPr>
              <w:jc w:val="center"/>
              <w:spacing w:before="10" w:after="10"/>
            </w:pPr>
            <w:r/>
            <w:r>
              <w:rPr>
                <w:rFonts w:ascii="Times New Roman" w:hAnsi="Times New Roman"/>
                <w:sz w:val="16"/>
              </w:rPr>
              <w:t>$1.51</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9</w:t>
            </w:r>
          </w:p>
        </w:tc>
        <w:tc>
          <w:tcPr>
            <w:tcW w:w="1100" w:type="dxa"/>
          </w:tcPr>
          <w:p>
            <w:pPr>
              <w:jc w:val="center"/>
              <w:spacing w:before="10" w:after="10"/>
            </w:pPr>
            <w:r/>
            <w:r>
              <w:rPr>
                <w:rFonts w:ascii="Times New Roman" w:hAnsi="Times New Roman"/>
                <w:sz w:val="16"/>
              </w:rPr>
              <w:t>−6.4%</w:t>
            </w:r>
          </w:p>
        </w:tc>
      </w:tr>
      <w:tr>
        <w:tc>
          <w:tcPr>
            <w:tcW w:w="2400" w:type="dxa"/>
          </w:tcPr>
          <w:p>
            <w:pPr>
              <w:jc w:val="left"/>
              <w:spacing w:before="10" w:after="10"/>
            </w:pPr>
            <w:r/>
            <w:r>
              <w:rPr>
                <w:rFonts w:ascii="Times New Roman" w:hAnsi="Times New Roman"/>
                <w:sz w:val="16"/>
              </w:rPr>
              <w:t>France</w:t>
            </w:r>
          </w:p>
        </w:tc>
        <w:tc>
          <w:tcPr>
            <w:tcW w:w="1300" w:type="dxa"/>
          </w:tcPr>
          <w:p>
            <w:pPr>
              <w:jc w:val="center"/>
              <w:spacing w:before="10" w:after="10"/>
            </w:pPr>
            <w:r/>
            <w:r>
              <w:rPr>
                <w:rFonts w:ascii="Times New Roman" w:hAnsi="Times New Roman"/>
                <w:sz w:val="16"/>
              </w:rPr>
              <w:t>$1.53</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13</w:t>
            </w:r>
          </w:p>
        </w:tc>
        <w:tc>
          <w:tcPr>
            <w:tcW w:w="1100" w:type="dxa"/>
          </w:tcPr>
          <w:p>
            <w:pPr>
              <w:jc w:val="center"/>
              <w:spacing w:before="10" w:after="10"/>
            </w:pPr>
            <w:r/>
            <w:r>
              <w:rPr>
                <w:rFonts w:ascii="Times New Roman" w:hAnsi="Times New Roman"/>
                <w:sz w:val="16"/>
              </w:rPr>
              <w:t>−4.9%</w:t>
            </w:r>
          </w:p>
        </w:tc>
      </w:tr>
      <w:tr>
        <w:tc>
          <w:tcPr>
            <w:tcW w:w="2400" w:type="dxa"/>
          </w:tcPr>
          <w:p>
            <w:pPr>
              <w:jc w:val="left"/>
              <w:spacing w:before="10" w:after="10"/>
            </w:pPr>
            <w:r/>
            <w:r>
              <w:rPr>
                <w:rFonts w:ascii="Times New Roman" w:hAnsi="Times New Roman"/>
                <w:sz w:val="16"/>
              </w:rPr>
              <w:t>UK</w:t>
            </w:r>
          </w:p>
        </w:tc>
        <w:tc>
          <w:tcPr>
            <w:tcW w:w="1300" w:type="dxa"/>
          </w:tcPr>
          <w:p>
            <w:pPr>
              <w:jc w:val="center"/>
              <w:spacing w:before="10" w:after="10"/>
            </w:pPr>
            <w:r/>
            <w:r>
              <w:rPr>
                <w:rFonts w:ascii="Times New Roman" w:hAnsi="Times New Roman"/>
                <w:sz w:val="16"/>
              </w:rPr>
              <w:t>$1.53</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15</w:t>
            </w:r>
          </w:p>
        </w:tc>
        <w:tc>
          <w:tcPr>
            <w:tcW w:w="1100" w:type="dxa"/>
          </w:tcPr>
          <w:p>
            <w:pPr>
              <w:jc w:val="center"/>
              <w:spacing w:before="10" w:after="10"/>
            </w:pPr>
            <w:r/>
            <w:r>
              <w:rPr>
                <w:rFonts w:ascii="Times New Roman" w:hAnsi="Times New Roman"/>
                <w:sz w:val="16"/>
              </w:rPr>
              <w:t>−4.8%</w:t>
            </w:r>
          </w:p>
        </w:tc>
      </w:tr>
      <w:tr>
        <w:tc>
          <w:tcPr>
            <w:tcW w:w="2400" w:type="dxa"/>
          </w:tcPr>
          <w:p>
            <w:pPr>
              <w:jc w:val="left"/>
              <w:spacing w:before="10" w:after="10"/>
            </w:pPr>
            <w:r/>
            <w:r>
              <w:rPr>
                <w:rFonts w:ascii="Times New Roman" w:hAnsi="Times New Roman"/>
                <w:sz w:val="16"/>
              </w:rPr>
              <w:t>USA</w:t>
            </w:r>
          </w:p>
        </w:tc>
        <w:tc>
          <w:tcPr>
            <w:tcW w:w="1300" w:type="dxa"/>
          </w:tcPr>
          <w:p>
            <w:pPr>
              <w:jc w:val="center"/>
              <w:spacing w:before="10" w:after="10"/>
            </w:pPr>
            <w:r/>
            <w:r>
              <w:rPr>
                <w:rFonts w:ascii="Times New Roman" w:hAnsi="Times New Roman"/>
                <w:sz w:val="16"/>
              </w:rPr>
              <w:t>$1.54</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16</w:t>
            </w:r>
          </w:p>
        </w:tc>
        <w:tc>
          <w:tcPr>
            <w:tcW w:w="1100" w:type="dxa"/>
          </w:tcPr>
          <w:p>
            <w:pPr>
              <w:jc w:val="center"/>
              <w:spacing w:before="10" w:after="10"/>
            </w:pPr>
            <w:r/>
            <w:r>
              <w:rPr>
                <w:rFonts w:ascii="Times New Roman" w:hAnsi="Times New Roman"/>
                <w:sz w:val="16"/>
              </w:rPr>
              <w:t>−4.7%</w:t>
            </w:r>
          </w:p>
        </w:tc>
      </w:tr>
      <w:tr>
        <w:tc>
          <w:tcPr>
            <w:tcW w:w="2400" w:type="dxa"/>
          </w:tcPr>
          <w:p>
            <w:pPr>
              <w:jc w:val="left"/>
              <w:spacing w:before="10" w:after="10"/>
            </w:pPr>
            <w:r/>
            <w:r>
              <w:rPr>
                <w:rFonts w:ascii="Times New Roman" w:hAnsi="Times New Roman"/>
                <w:sz w:val="16"/>
              </w:rPr>
              <w:t>Germany</w:t>
            </w:r>
          </w:p>
        </w:tc>
        <w:tc>
          <w:tcPr>
            <w:tcW w:w="1300" w:type="dxa"/>
          </w:tcPr>
          <w:p>
            <w:pPr>
              <w:jc w:val="center"/>
              <w:spacing w:before="10" w:after="10"/>
            </w:pPr>
            <w:r/>
            <w:r>
              <w:rPr>
                <w:rFonts w:ascii="Times New Roman" w:hAnsi="Times New Roman"/>
                <w:sz w:val="16"/>
              </w:rPr>
              <w:t>$1.57</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22</w:t>
            </w:r>
          </w:p>
        </w:tc>
        <w:tc>
          <w:tcPr>
            <w:tcW w:w="1100" w:type="dxa"/>
          </w:tcPr>
          <w:p>
            <w:pPr>
              <w:jc w:val="center"/>
              <w:spacing w:before="10" w:after="10"/>
            </w:pPr>
            <w:r/>
            <w:r>
              <w:rPr>
                <w:rFonts w:ascii="Times New Roman" w:hAnsi="Times New Roman"/>
                <w:sz w:val="16"/>
              </w:rPr>
              <w:t>−2.4%</w:t>
            </w:r>
          </w:p>
        </w:tc>
      </w:tr>
      <w:tr>
        <w:tc>
          <w:tcPr>
            <w:tcW w:w="2400" w:type="dxa"/>
          </w:tcPr>
          <w:p>
            <w:pPr>
              <w:jc w:val="left"/>
              <w:spacing w:before="10" w:after="10"/>
            </w:pPr>
            <w:r/>
            <w:r>
              <w:rPr>
                <w:rFonts w:ascii="Times New Roman" w:hAnsi="Times New Roman"/>
                <w:sz w:val="16"/>
              </w:rPr>
              <w:t>Japan</w:t>
            </w:r>
          </w:p>
        </w:tc>
        <w:tc>
          <w:tcPr>
            <w:tcW w:w="1300" w:type="dxa"/>
          </w:tcPr>
          <w:p>
            <w:pPr>
              <w:jc w:val="center"/>
              <w:spacing w:before="10" w:after="10"/>
            </w:pPr>
            <w:r/>
            <w:r>
              <w:rPr>
                <w:rFonts w:ascii="Times New Roman" w:hAnsi="Times New Roman"/>
                <w:sz w:val="16"/>
              </w:rPr>
              <w:t>$1.58</w:t>
            </w:r>
          </w:p>
        </w:tc>
        <w:tc>
          <w:tcPr>
            <w:tcW w:w="1000" w:type="dxa"/>
          </w:tcPr>
          <w:p>
            <w:pPr>
              <w:jc w:val="center"/>
              <w:spacing w:before="10" w:after="10"/>
            </w:pPr>
            <w:r/>
            <w:r>
              <w:rPr>
                <w:rFonts w:ascii="Times New Roman" w:hAnsi="Times New Roman"/>
                <w:sz w:val="16"/>
              </w:rPr>
              <w:t>IE</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27</w:t>
            </w:r>
          </w:p>
        </w:tc>
        <w:tc>
          <w:tcPr>
            <w:tcW w:w="1100" w:type="dxa"/>
          </w:tcPr>
          <w:p>
            <w:pPr>
              <w:jc w:val="center"/>
              <w:spacing w:before="10" w:after="10"/>
            </w:pPr>
            <w:r/>
            <w:r>
              <w:rPr>
                <w:rFonts w:ascii="Times New Roman" w:hAnsi="Times New Roman"/>
                <w:sz w:val="16"/>
              </w:rPr>
              <w:t>−2.1%</w:t>
            </w:r>
          </w:p>
        </w:tc>
      </w:tr>
      <w:tr>
        <w:tc>
          <w:tcPr>
            <w:tcW w:w="2400" w:type="dxa"/>
          </w:tcPr>
          <w:p>
            <w:pPr>
              <w:jc w:val="left"/>
              <w:spacing w:before="10" w:after="10"/>
            </w:pPr>
            <w:r/>
            <w:r>
              <w:rPr>
                <w:rFonts w:ascii="Times New Roman" w:hAnsi="Times New Roman"/>
                <w:sz w:val="16"/>
              </w:rPr>
              <w:t>Qatar</w:t>
            </w:r>
          </w:p>
        </w:tc>
        <w:tc>
          <w:tcPr>
            <w:tcW w:w="1300" w:type="dxa"/>
          </w:tcPr>
          <w:p>
            <w:pPr>
              <w:jc w:val="center"/>
              <w:spacing w:before="10" w:after="10"/>
            </w:pPr>
            <w:r/>
            <w:r>
              <w:rPr>
                <w:rFonts w:ascii="Times New Roman" w:hAnsi="Times New Roman"/>
                <w:sz w:val="16"/>
              </w:rPr>
              <w:t>$1.66</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38</w:t>
            </w:r>
          </w:p>
        </w:tc>
        <w:tc>
          <w:tcPr>
            <w:tcW w:w="1100" w:type="dxa"/>
          </w:tcPr>
          <w:p>
            <w:pPr>
              <w:jc w:val="center"/>
              <w:spacing w:before="10" w:after="10"/>
            </w:pPr>
            <w:r/>
            <w:r>
              <w:rPr>
                <w:rFonts w:ascii="Times New Roman" w:hAnsi="Times New Roman"/>
                <w:sz w:val="16"/>
              </w:rPr>
              <w:t>2.7%</w:t>
            </w:r>
          </w:p>
        </w:tc>
      </w:tr>
      <w:tr>
        <w:tc>
          <w:tcPr>
            <w:tcW w:w="2400" w:type="dxa"/>
          </w:tcPr>
          <w:p>
            <w:pPr>
              <w:jc w:val="left"/>
              <w:spacing w:before="10" w:after="10"/>
            </w:pPr>
            <w:r/>
            <w:r>
              <w:rPr>
                <w:rFonts w:ascii="Times New Roman" w:hAnsi="Times New Roman"/>
                <w:sz w:val="16"/>
              </w:rPr>
              <w:t>Saudi Arabia</w:t>
            </w:r>
          </w:p>
        </w:tc>
        <w:tc>
          <w:tcPr>
            <w:tcW w:w="1300" w:type="dxa"/>
          </w:tcPr>
          <w:p>
            <w:pPr>
              <w:jc w:val="center"/>
              <w:spacing w:before="10" w:after="10"/>
            </w:pPr>
            <w:r/>
            <w:r>
              <w:rPr>
                <w:rFonts w:ascii="Times New Roman" w:hAnsi="Times New Roman"/>
                <w:sz w:val="16"/>
              </w:rPr>
              <w:t>$1.71</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44</w:t>
            </w:r>
          </w:p>
        </w:tc>
        <w:tc>
          <w:tcPr>
            <w:tcW w:w="1100" w:type="dxa"/>
          </w:tcPr>
          <w:p>
            <w:pPr>
              <w:jc w:val="center"/>
              <w:spacing w:before="10" w:after="10"/>
            </w:pPr>
            <w:r/>
            <w:r>
              <w:rPr>
                <w:rFonts w:ascii="Times New Roman" w:hAnsi="Times New Roman"/>
                <w:sz w:val="16"/>
              </w:rPr>
              <w:t>6.0%</w:t>
            </w:r>
          </w:p>
        </w:tc>
      </w:tr>
      <w:tr>
        <w:tc>
          <w:tcPr>
            <w:tcW w:w="2400" w:type="dxa"/>
          </w:tcPr>
          <w:p>
            <w:pPr>
              <w:jc w:val="left"/>
              <w:spacing w:before="10" w:after="10"/>
            </w:pPr>
            <w:r/>
            <w:r>
              <w:rPr>
                <w:rFonts w:ascii="Times New Roman" w:hAnsi="Times New Roman"/>
                <w:sz w:val="16"/>
              </w:rPr>
              <w:t>China</w:t>
            </w:r>
          </w:p>
        </w:tc>
        <w:tc>
          <w:tcPr>
            <w:tcW w:w="1300" w:type="dxa"/>
          </w:tcPr>
          <w:p>
            <w:pPr>
              <w:jc w:val="center"/>
              <w:spacing w:before="10" w:after="10"/>
            </w:pPr>
            <w:r/>
            <w:r>
              <w:rPr>
                <w:rFonts w:ascii="Times New Roman" w:hAnsi="Times New Roman"/>
                <w:sz w:val="16"/>
              </w:rPr>
              <w:t>$1.76</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50</w:t>
            </w:r>
          </w:p>
        </w:tc>
        <w:tc>
          <w:tcPr>
            <w:tcW w:w="1100" w:type="dxa"/>
          </w:tcPr>
          <w:p>
            <w:pPr>
              <w:jc w:val="center"/>
              <w:spacing w:before="10" w:after="10"/>
            </w:pPr>
            <w:r/>
            <w:r>
              <w:rPr>
                <w:rFonts w:ascii="Times New Roman" w:hAnsi="Times New Roman"/>
                <w:sz w:val="16"/>
              </w:rPr>
              <w:t>9.2%</w:t>
            </w:r>
          </w:p>
        </w:tc>
      </w:tr>
      <w:tr>
        <w:tc>
          <w:tcPr>
            <w:tcW w:w="2400" w:type="dxa"/>
          </w:tcPr>
          <w:p>
            <w:pPr>
              <w:jc w:val="left"/>
              <w:spacing w:before="10" w:after="10"/>
            </w:pPr>
            <w:r/>
            <w:r>
              <w:rPr>
                <w:rFonts w:ascii="Times New Roman" w:hAnsi="Times New Roman"/>
                <w:sz w:val="16"/>
              </w:rPr>
              <w:t>Kosovo</w:t>
            </w:r>
          </w:p>
        </w:tc>
        <w:tc>
          <w:tcPr>
            <w:tcW w:w="1300" w:type="dxa"/>
          </w:tcPr>
          <w:p>
            <w:pPr>
              <w:jc w:val="center"/>
              <w:spacing w:before="10" w:after="10"/>
            </w:pPr>
            <w:r/>
            <w:r>
              <w:rPr>
                <w:rFonts w:ascii="Times New Roman" w:hAnsi="Times New Roman"/>
                <w:sz w:val="16"/>
              </w:rPr>
              <w:t>$1.79</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55</w:t>
            </w:r>
          </w:p>
        </w:tc>
        <w:tc>
          <w:tcPr>
            <w:tcW w:w="1100" w:type="dxa"/>
          </w:tcPr>
          <w:p>
            <w:pPr>
              <w:jc w:val="center"/>
              <w:spacing w:before="10" w:after="10"/>
            </w:pPr>
            <w:r/>
            <w:r>
              <w:rPr>
                <w:rFonts w:ascii="Times New Roman" w:hAnsi="Times New Roman"/>
                <w:sz w:val="16"/>
              </w:rPr>
              <w:t>11.1%</w:t>
            </w:r>
          </w:p>
        </w:tc>
      </w:tr>
      <w:tr>
        <w:tc>
          <w:tcPr>
            <w:tcW w:w="2400" w:type="dxa"/>
          </w:tcPr>
          <w:p>
            <w:pPr>
              <w:jc w:val="left"/>
              <w:spacing w:before="10" w:after="10"/>
            </w:pPr>
            <w:r/>
            <w:r>
              <w:rPr>
                <w:rFonts w:ascii="Times New Roman" w:hAnsi="Times New Roman"/>
                <w:sz w:val="16"/>
              </w:rPr>
              <w:t>Vietnam</w:t>
            </w:r>
          </w:p>
        </w:tc>
        <w:tc>
          <w:tcPr>
            <w:tcW w:w="1300" w:type="dxa"/>
          </w:tcPr>
          <w:p>
            <w:pPr>
              <w:jc w:val="center"/>
              <w:spacing w:before="10" w:after="10"/>
            </w:pPr>
            <w:r/>
            <w:r>
              <w:rPr>
                <w:rFonts w:ascii="Times New Roman" w:hAnsi="Times New Roman"/>
                <w:sz w:val="16"/>
              </w:rPr>
              <w:t>$1.80</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57</w:t>
            </w:r>
          </w:p>
        </w:tc>
        <w:tc>
          <w:tcPr>
            <w:tcW w:w="1100" w:type="dxa"/>
          </w:tcPr>
          <w:p>
            <w:pPr>
              <w:jc w:val="center"/>
              <w:spacing w:before="10" w:after="10"/>
            </w:pPr>
            <w:r/>
            <w:r>
              <w:rPr>
                <w:rFonts w:ascii="Times New Roman" w:hAnsi="Times New Roman"/>
                <w:sz w:val="16"/>
              </w:rPr>
              <w:t>11.4%</w:t>
            </w:r>
          </w:p>
        </w:tc>
      </w:tr>
      <w:tr>
        <w:tc>
          <w:tcPr>
            <w:tcW w:w="2400" w:type="dxa"/>
          </w:tcPr>
          <w:p>
            <w:pPr>
              <w:jc w:val="left"/>
              <w:spacing w:before="10" w:after="10"/>
            </w:pPr>
            <w:r/>
            <w:r>
              <w:rPr>
                <w:rFonts w:ascii="Times New Roman" w:hAnsi="Times New Roman"/>
                <w:sz w:val="16"/>
              </w:rPr>
              <w:t>Argentina</w:t>
            </w:r>
          </w:p>
        </w:tc>
        <w:tc>
          <w:tcPr>
            <w:tcW w:w="1300" w:type="dxa"/>
          </w:tcPr>
          <w:p>
            <w:pPr>
              <w:jc w:val="center"/>
              <w:spacing w:before="10" w:after="10"/>
            </w:pPr>
            <w:r/>
            <w:r>
              <w:rPr>
                <w:rFonts w:ascii="Times New Roman" w:hAnsi="Times New Roman"/>
                <w:sz w:val="16"/>
              </w:rPr>
              <w:t>$1.80</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60</w:t>
            </w:r>
          </w:p>
        </w:tc>
        <w:tc>
          <w:tcPr>
            <w:tcW w:w="1100" w:type="dxa"/>
          </w:tcPr>
          <w:p>
            <w:pPr>
              <w:jc w:val="center"/>
              <w:spacing w:before="10" w:after="10"/>
            </w:pPr>
            <w:r/>
            <w:r>
              <w:rPr>
                <w:rFonts w:ascii="Times New Roman" w:hAnsi="Times New Roman"/>
                <w:sz w:val="16"/>
              </w:rPr>
              <w:t>11.9%</w:t>
            </w:r>
          </w:p>
        </w:tc>
      </w:tr>
      <w:tr>
        <w:tc>
          <w:tcPr>
            <w:tcW w:w="2400" w:type="dxa"/>
          </w:tcPr>
          <w:p>
            <w:pPr>
              <w:jc w:val="left"/>
              <w:spacing w:before="10" w:after="10"/>
            </w:pPr>
            <w:r/>
            <w:r>
              <w:rPr>
                <w:rFonts w:ascii="Times New Roman" w:hAnsi="Times New Roman"/>
                <w:sz w:val="16"/>
              </w:rPr>
              <w:t>Ukraine</w:t>
            </w:r>
          </w:p>
        </w:tc>
        <w:tc>
          <w:tcPr>
            <w:tcW w:w="1300" w:type="dxa"/>
          </w:tcPr>
          <w:p>
            <w:pPr>
              <w:jc w:val="center"/>
              <w:spacing w:before="10" w:after="10"/>
            </w:pPr>
            <w:r/>
            <w:r>
              <w:rPr>
                <w:rFonts w:ascii="Times New Roman" w:hAnsi="Times New Roman"/>
                <w:sz w:val="16"/>
              </w:rPr>
              <w:t>$1.85</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63</w:t>
            </w:r>
          </w:p>
        </w:tc>
        <w:tc>
          <w:tcPr>
            <w:tcW w:w="1100" w:type="dxa"/>
          </w:tcPr>
          <w:p>
            <w:pPr>
              <w:jc w:val="center"/>
              <w:spacing w:before="10" w:after="10"/>
            </w:pPr>
            <w:r/>
            <w:r>
              <w:rPr>
                <w:rFonts w:ascii="Times New Roman" w:hAnsi="Times New Roman"/>
                <w:sz w:val="16"/>
              </w:rPr>
              <w:t>14.7%</w:t>
            </w:r>
          </w:p>
        </w:tc>
      </w:tr>
      <w:tr>
        <w:tc>
          <w:tcPr>
            <w:tcW w:w="2400" w:type="dxa"/>
          </w:tcPr>
          <w:p>
            <w:pPr>
              <w:jc w:val="left"/>
              <w:spacing w:before="10" w:after="10"/>
            </w:pPr>
            <w:r/>
            <w:r>
              <w:rPr>
                <w:rFonts w:ascii="Times New Roman" w:hAnsi="Times New Roman"/>
                <w:sz w:val="16"/>
              </w:rPr>
              <w:t>Kyrgyzstan</w:t>
            </w:r>
          </w:p>
        </w:tc>
        <w:tc>
          <w:tcPr>
            <w:tcW w:w="1300" w:type="dxa"/>
          </w:tcPr>
          <w:p>
            <w:pPr>
              <w:jc w:val="center"/>
              <w:spacing w:before="10" w:after="10"/>
            </w:pPr>
            <w:r/>
            <w:r>
              <w:rPr>
                <w:rFonts w:ascii="Times New Roman" w:hAnsi="Times New Roman"/>
                <w:sz w:val="16"/>
              </w:rPr>
              <w:t>$1.87</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67</w:t>
            </w:r>
          </w:p>
        </w:tc>
        <w:tc>
          <w:tcPr>
            <w:tcW w:w="1100" w:type="dxa"/>
          </w:tcPr>
          <w:p>
            <w:pPr>
              <w:jc w:val="center"/>
              <w:spacing w:before="10" w:after="10"/>
            </w:pPr>
            <w:r/>
            <w:r>
              <w:rPr>
                <w:rFonts w:ascii="Times New Roman" w:hAnsi="Times New Roman"/>
                <w:sz w:val="16"/>
              </w:rPr>
              <w:t>16.1%</w:t>
            </w:r>
          </w:p>
        </w:tc>
      </w:tr>
      <w:tr>
        <w:tc>
          <w:tcPr>
            <w:tcW w:w="2400" w:type="dxa"/>
          </w:tcPr>
          <w:p>
            <w:pPr>
              <w:jc w:val="left"/>
              <w:spacing w:before="10" w:after="10"/>
            </w:pPr>
            <w:r/>
            <w:r>
              <w:rPr>
                <w:rFonts w:ascii="Times New Roman" w:hAnsi="Times New Roman"/>
                <w:sz w:val="16"/>
              </w:rPr>
              <w:t>Egypt</w:t>
            </w:r>
          </w:p>
        </w:tc>
        <w:tc>
          <w:tcPr>
            <w:tcW w:w="1300" w:type="dxa"/>
          </w:tcPr>
          <w:p>
            <w:pPr>
              <w:jc w:val="center"/>
              <w:spacing w:before="10" w:after="10"/>
            </w:pPr>
            <w:r/>
            <w:r>
              <w:rPr>
                <w:rFonts w:ascii="Times New Roman" w:hAnsi="Times New Roman"/>
                <w:sz w:val="16"/>
              </w:rPr>
              <w:t>$1.92</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71</w:t>
            </w:r>
          </w:p>
        </w:tc>
        <w:tc>
          <w:tcPr>
            <w:tcW w:w="1100" w:type="dxa"/>
          </w:tcPr>
          <w:p>
            <w:pPr>
              <w:jc w:val="center"/>
              <w:spacing w:before="10" w:after="10"/>
            </w:pPr>
            <w:r/>
            <w:r>
              <w:rPr>
                <w:rFonts w:ascii="Times New Roman" w:hAnsi="Times New Roman"/>
                <w:sz w:val="16"/>
              </w:rPr>
              <w:t>19.3%</w:t>
            </w:r>
          </w:p>
        </w:tc>
      </w:tr>
      <w:tr>
        <w:tc>
          <w:tcPr>
            <w:tcW w:w="2400" w:type="dxa"/>
          </w:tcPr>
          <w:p>
            <w:pPr>
              <w:jc w:val="left"/>
              <w:spacing w:before="10" w:after="10"/>
            </w:pPr>
            <w:r/>
            <w:r>
              <w:rPr>
                <w:rFonts w:ascii="Times New Roman" w:hAnsi="Times New Roman"/>
                <w:sz w:val="16"/>
              </w:rPr>
              <w:t>Russia</w:t>
            </w:r>
          </w:p>
        </w:tc>
        <w:tc>
          <w:tcPr>
            <w:tcW w:w="1300" w:type="dxa"/>
          </w:tcPr>
          <w:p>
            <w:pPr>
              <w:jc w:val="center"/>
              <w:spacing w:before="10" w:after="10"/>
            </w:pPr>
            <w:r/>
            <w:r>
              <w:rPr>
                <w:rFonts w:ascii="Times New Roman" w:hAnsi="Times New Roman"/>
                <w:sz w:val="16"/>
              </w:rPr>
              <w:t>$2.02</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78</w:t>
            </w:r>
          </w:p>
        </w:tc>
        <w:tc>
          <w:tcPr>
            <w:tcW w:w="1100" w:type="dxa"/>
          </w:tcPr>
          <w:p>
            <w:pPr>
              <w:jc w:val="center"/>
              <w:spacing w:before="10" w:after="10"/>
            </w:pPr>
            <w:r/>
            <w:r>
              <w:rPr>
                <w:rFonts w:ascii="Times New Roman" w:hAnsi="Times New Roman"/>
                <w:sz w:val="16"/>
              </w:rPr>
              <w:t>25.4%</w:t>
            </w:r>
          </w:p>
        </w:tc>
      </w:tr>
      <w:tr>
        <w:tc>
          <w:tcPr>
            <w:tcW w:w="2400" w:type="dxa"/>
          </w:tcPr>
          <w:p>
            <w:pPr>
              <w:jc w:val="left"/>
              <w:spacing w:before="10" w:after="10"/>
            </w:pPr>
            <w:r/>
            <w:r>
              <w:rPr>
                <w:rFonts w:ascii="Times New Roman" w:hAnsi="Times New Roman"/>
                <w:sz w:val="16"/>
              </w:rPr>
              <w:t>Tajikistan</w:t>
            </w:r>
          </w:p>
        </w:tc>
        <w:tc>
          <w:tcPr>
            <w:tcW w:w="1300" w:type="dxa"/>
          </w:tcPr>
          <w:p>
            <w:pPr>
              <w:jc w:val="center"/>
              <w:spacing w:before="10" w:after="10"/>
            </w:pPr>
            <w:r/>
            <w:r>
              <w:rPr>
                <w:rFonts w:ascii="Times New Roman" w:hAnsi="Times New Roman"/>
                <w:sz w:val="16"/>
              </w:rPr>
              <w:t>$2.02</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79</w:t>
            </w:r>
          </w:p>
        </w:tc>
        <w:tc>
          <w:tcPr>
            <w:tcW w:w="1100" w:type="dxa"/>
          </w:tcPr>
          <w:p>
            <w:pPr>
              <w:jc w:val="center"/>
              <w:spacing w:before="10" w:after="10"/>
            </w:pPr>
            <w:r/>
            <w:r>
              <w:rPr>
                <w:rFonts w:ascii="Times New Roman" w:hAnsi="Times New Roman"/>
                <w:sz w:val="16"/>
              </w:rPr>
              <w:t>25.6%</w:t>
            </w:r>
          </w:p>
        </w:tc>
      </w:tr>
      <w:tr>
        <w:tc>
          <w:tcPr>
            <w:tcW w:w="2400" w:type="dxa"/>
          </w:tcPr>
          <w:p>
            <w:pPr>
              <w:jc w:val="left"/>
              <w:spacing w:before="10" w:after="10"/>
            </w:pPr>
            <w:r/>
            <w:r>
              <w:rPr>
                <w:rFonts w:ascii="Times New Roman" w:hAnsi="Times New Roman"/>
                <w:sz w:val="16"/>
              </w:rPr>
              <w:t>Ethiopia</w:t>
            </w:r>
          </w:p>
        </w:tc>
        <w:tc>
          <w:tcPr>
            <w:tcW w:w="1300" w:type="dxa"/>
          </w:tcPr>
          <w:p>
            <w:pPr>
              <w:jc w:val="center"/>
              <w:spacing w:before="10" w:after="10"/>
            </w:pPr>
            <w:r/>
            <w:r>
              <w:rPr>
                <w:rFonts w:ascii="Times New Roman" w:hAnsi="Times New Roman"/>
                <w:sz w:val="16"/>
              </w:rPr>
              <w:t>$2.03</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80</w:t>
            </w:r>
          </w:p>
        </w:tc>
        <w:tc>
          <w:tcPr>
            <w:tcW w:w="1100" w:type="dxa"/>
          </w:tcPr>
          <w:p>
            <w:pPr>
              <w:jc w:val="center"/>
              <w:spacing w:before="10" w:after="10"/>
            </w:pPr>
            <w:r/>
            <w:r>
              <w:rPr>
                <w:rFonts w:ascii="Times New Roman" w:hAnsi="Times New Roman"/>
                <w:sz w:val="16"/>
              </w:rPr>
              <w:t>25.8%</w:t>
            </w:r>
          </w:p>
        </w:tc>
      </w:tr>
      <w:tr>
        <w:tc>
          <w:tcPr>
            <w:tcW w:w="2400" w:type="dxa"/>
          </w:tcPr>
          <w:p>
            <w:pPr>
              <w:jc w:val="left"/>
              <w:spacing w:before="10" w:after="10"/>
            </w:pPr>
            <w:r/>
            <w:r>
              <w:rPr>
                <w:rFonts w:ascii="Times New Roman" w:hAnsi="Times New Roman"/>
                <w:sz w:val="16"/>
              </w:rPr>
              <w:t>Iran</w:t>
            </w:r>
          </w:p>
        </w:tc>
        <w:tc>
          <w:tcPr>
            <w:tcW w:w="1300" w:type="dxa"/>
          </w:tcPr>
          <w:p>
            <w:pPr>
              <w:jc w:val="center"/>
              <w:spacing w:before="10" w:after="10"/>
            </w:pPr>
            <w:r/>
            <w:r>
              <w:rPr>
                <w:rFonts w:ascii="Times New Roman" w:hAnsi="Times New Roman"/>
                <w:sz w:val="16"/>
              </w:rPr>
              <w:t>$2.12</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83</w:t>
            </w:r>
          </w:p>
        </w:tc>
        <w:tc>
          <w:tcPr>
            <w:tcW w:w="1100" w:type="dxa"/>
          </w:tcPr>
          <w:p>
            <w:pPr>
              <w:jc w:val="center"/>
              <w:spacing w:before="10" w:after="10"/>
            </w:pPr>
            <w:r/>
            <w:r>
              <w:rPr>
                <w:rFonts w:ascii="Times New Roman" w:hAnsi="Times New Roman"/>
                <w:sz w:val="16"/>
              </w:rPr>
              <w:t>31.7%</w:t>
            </w:r>
          </w:p>
        </w:tc>
      </w:tr>
      <w:tr>
        <w:tc>
          <w:tcPr>
            <w:tcBorders>
              <w:bottom w:val="double" w:sz="4" w:space="0" w:color="auto"/>
            </w:tcBorders>
            <w:tcW w:w="2400" w:type="dxa"/>
          </w:tcPr>
          <w:p>
            <w:pPr>
              <w:jc w:val="left"/>
              <w:spacing w:before="10" w:after="10"/>
            </w:pPr>
            <w:r/>
            <w:r>
              <w:rPr>
                <w:rFonts w:ascii="Times New Roman" w:hAnsi="Times New Roman"/>
                <w:sz w:val="16"/>
              </w:rPr>
              <w:t>Turkmenistan</w:t>
            </w:r>
          </w:p>
        </w:tc>
        <w:tc>
          <w:tcPr>
            <w:tcBorders>
              <w:bottom w:val="double" w:sz="4" w:space="0" w:color="auto"/>
            </w:tcBorders>
            <w:tcW w:w="1300" w:type="dxa"/>
          </w:tcPr>
          <w:p>
            <w:pPr>
              <w:jc w:val="center"/>
              <w:spacing w:before="10" w:after="10"/>
            </w:pPr>
            <w:r/>
            <w:r>
              <w:rPr>
                <w:rFonts w:ascii="Times New Roman" w:hAnsi="Times New Roman"/>
                <w:sz w:val="16"/>
              </w:rPr>
              <w:t>$2.19</w:t>
            </w:r>
          </w:p>
        </w:tc>
        <w:tc>
          <w:tcPr>
            <w:tcBorders>
              <w:bottom w:val="double" w:sz="4" w:space="0" w:color="auto"/>
            </w:tcBorders>
            <w:tcW w:w="1000" w:type="dxa"/>
          </w:tcPr>
          <w:p>
            <w:pPr>
              <w:jc w:val="center"/>
              <w:spacing w:before="10" w:after="10"/>
            </w:pPr>
            <w:r/>
            <w:r>
              <w:rPr>
                <w:rFonts w:ascii="Times New Roman" w:hAnsi="Times New Roman"/>
                <w:sz w:val="16"/>
              </w:rPr>
              <w:t>II</w:t>
            </w:r>
          </w:p>
        </w:tc>
        <w:tc>
          <w:tcPr>
            <w:tcBorders>
              <w:bottom w:val="double" w:sz="4" w:space="0" w:color="auto"/>
            </w:tcBorders>
            <w:tcW w:w="1000" w:type="dxa"/>
          </w:tcPr>
          <w:p>
            <w:pPr>
              <w:jc w:val="center"/>
              <w:spacing w:before="10" w:after="10"/>
            </w:pPr>
            <w:r/>
            <w:r>
              <w:rPr>
                <w:rFonts w:ascii="Times New Roman" w:hAnsi="Times New Roman"/>
                <w:sz w:val="16"/>
              </w:rPr>
              <w:t>II</w:t>
            </w:r>
          </w:p>
        </w:tc>
        <w:tc>
          <w:tcPr>
            <w:tcBorders>
              <w:bottom w:val="double" w:sz="4" w:space="0" w:color="auto"/>
            </w:tcBorders>
            <w:tcW w:w="900" w:type="dxa"/>
          </w:tcPr>
          <w:p>
            <w:pPr>
              <w:jc w:val="center"/>
              <w:spacing w:before="10" w:after="10"/>
            </w:pPr>
            <w:r/>
            <w:r>
              <w:rPr>
                <w:rFonts w:ascii="Times New Roman" w:hAnsi="Times New Roman"/>
                <w:sz w:val="16"/>
              </w:rPr>
              <w:t>85</w:t>
            </w:r>
          </w:p>
        </w:tc>
        <w:tc>
          <w:tcPr>
            <w:tcBorders>
              <w:bottom w:val="double" w:sz="4" w:space="0" w:color="auto"/>
            </w:tcBorders>
            <w:tcW w:w="1100" w:type="dxa"/>
          </w:tcPr>
          <w:p>
            <w:pPr>
              <w:jc w:val="center"/>
              <w:spacing w:before="10" w:after="10"/>
            </w:pPr>
            <w:r/>
            <w:r>
              <w:rPr>
                <w:rFonts w:ascii="Times New Roman" w:hAnsi="Times New Roman"/>
                <w:sz w:val="16"/>
              </w:rPr>
              <w:t>35.7%</w:t>
            </w:r>
          </w:p>
        </w:tc>
      </w:tr>
    </w:tbl>
    <w:p>
      <w:pPr>
        <w:spacing w:before="0" w:after="120" w:line="240" w:lineRule="auto"/>
        <w:ind w:firstLine="0"/>
        <w:jc w:val="left"/>
        <w:sectPr>
          <w:pgSz w:w="15840" w:h="12240" w:orient="landscape"/>
          <w:pgMar w:top="1080" w:right="1080" w:bottom="1080" w:left="1080" w:header="720" w:footer="720"/>
        </w:sectPr>
      </w:pPr>
      <w:r>
        <w:rPr>
          <w:rFonts w:ascii="Times New Roman" w:hAnsi="Times New Roman"/>
          <w:b/>
          <w:sz w:val="20"/>
        </w:rPr>
        <w:t xml:space="preserve">Notes: </w:t>
      </w:r>
      <w:r>
        <w:rPr>
          <w:rFonts w:ascii="Times New Roman" w:hAnsi="Times New Roman"/>
          <w:sz w:val="20"/>
        </w:rPr>
        <w:t xml:space="preserve">Type codes: EE = training + inference exporter; IE = inference exporter; DD = domestic producer; II = full importer. (4)/(5) Bilateral: bilateral sovereignty premium λᵢⱼ from </w:t>
      </w:r>
      <w:bookmarkStart w:id="907" w:name="Eq2txt907"/>
      <w:hyperlink w:anchor="Eq2" w:history="1">
        <w:r>
          <w:rPr>
            <w:rFonts w:ascii="Times New Roman" w:hAnsi="Times New Roman"/>
            <w:sz w:val="20"/>
            <w:color w:val="1F3864"/>
            <w:u w:val="single"/>
          </w:rPr>
          <w:t xml:space="preserve">equation (2)</w:t>
        </w:r>
      </w:hyperlink>
      <w:bookmarkEnd w:id="907"/>
      <w:r>
        <w:rPr>
          <w:rFonts w:ascii="Times New Roman" w:hAnsi="Times New Roman"/>
          <w:sz w:val="20"/>
        </w:rPr>
        <w:t xml:space="preserve">, with geopolitical, regulatory, and sanctions components. Under the calibrated parameters, demand tiering (sovereign 10%, regulated 20%, commercial 70%) leaves regime type assignments unchanged for all countries; tiering affects within-country demand allocation across tiers but not the equilibrium set of exporters. (6) Uniform: uniform λ = 10% premium (robustness check). λₖ* = cₖ/pₜ − 1 is the minimum bilateral sovereignty premium at which country k switches from importing to domestic training production (Proposition 3); negative values indicate exporters.</w:t>
      </w:r>
    </w:p>
    <w:p>
      <w:pPr>
        <w:pStyle w:val="Heading1"/>
      </w:pPr>
      <w:r>
        <w:rPr>
          <w:rFonts w:ascii="Times New Roman" w:hAnsi="Times New Roman"/>
          <w:b/>
          <w:color w:val="2F5496"/>
          <w:sz w:val="28"/>
        </w:rPr>
        <w:t>Appendix</w:t>
      </w:r>
    </w:p>
    <w:p>
      <w:pPr>
        <w:spacing w:before="0" w:after="60"/>
        <w:ind w:firstLine="0"/>
        <w:jc w:val="both"/>
      </w:pPr>
      <w:bookmarkStart w:id="104" w:name="TableA1"/>
      <w:hyperlink w:anchor="TableA1txt" w:history="1">
        <w:r>
          <w:rPr>
            <w:b/>
            <w:sz w:val="20"/>
            <w:color w:val="1F3864"/>
            <w:u w:val="single"/>
          </w:rPr>
          <w:t>Table A1</w:t>
        </w:r>
      </w:hyperlink>
      <w:bookmarkEnd w:id="104"/>
      <w:r>
        <w:rPr>
          <w:b/>
          <w:sz w:val="20"/>
        </w:rPr>
        <w:t>. Country-specific calibration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
        <w:gridCol w:w="864"/>
        <w:gridCol w:w="864"/>
        <w:gridCol w:w="864"/>
        <w:gridCol w:w="864"/>
        <w:gridCol w:w="864"/>
        <w:gridCol w:w="864"/>
        <w:gridCol w:w="864"/>
        <w:gridCol w:w="864"/>
        <w:gridCol w:w="864"/>
      </w:tblGrid>
      <w:tr>
        <w:tc>
          <w:tcPr>
            <w:tcBorders>
              <w:top w:val="single" w:sz="4" w:space="0" w:color="auto"/>
              <w:bottom w:val="single" w:sz="4" w:space="0" w:color="auto"/>
            </w:tcBorders>
            <w:tcW w:w="1500" w:type="dxa"/>
          </w:tcPr>
          <w:p>
            <w:pPr>
              <w:jc w:val="center"/>
              <w:spacing w:before="10" w:after="10"/>
            </w:pPr>
            <w:r/>
            <w:r>
              <w:rPr>
                <w:b/>
                <w:sz w:val="16"/>
              </w:rPr>
              <w:t>Country</w:t>
            </w:r>
          </w:p>
        </w:tc>
        <w:tc>
          <w:tcPr>
            <w:tcBorders>
              <w:top w:val="single" w:sz="4" w:space="0" w:color="auto"/>
              <w:bottom w:val="single" w:sz="4" w:space="0" w:color="auto"/>
            </w:tcBorders>
            <w:tcW w:w="650" w:type="dxa"/>
          </w:tcPr>
          <w:p>
            <w:pPr>
              <w:jc w:val="center"/>
              <w:spacing w:before="10" w:after="10"/>
            </w:pPr>
            <w:r/>
            <w:r>
              <w:rPr>
                <w:b/>
                <w:sz w:val="16"/>
              </w:rPr>
              <w:t>pᴱ</w:t>
              <w:br/>
              <w:t>($/kWh)</w:t>
            </w:r>
          </w:p>
        </w:tc>
        <w:tc>
          <w:tcPr>
            <w:tcBorders>
              <w:top w:val="single" w:sz="4" w:space="0" w:color="auto"/>
              <w:bottom w:val="single" w:sz="4" w:space="0" w:color="auto"/>
            </w:tcBorders>
            <w:tcW w:w="550" w:type="dxa"/>
          </w:tcPr>
          <w:p>
            <w:pPr>
              <w:jc w:val="center"/>
              <w:spacing w:before="10" w:after="10"/>
            </w:pPr>
            <w:r/>
            <w:r>
              <w:rPr>
                <w:b/>
                <w:sz w:val="16"/>
              </w:rPr>
              <w:t>θⱼ</w:t>
              <w:br/>
              <w:t>(°C)</w:t>
            </w:r>
          </w:p>
        </w:tc>
        <w:tc>
          <w:tcPr>
            <w:tcBorders>
              <w:top w:val="single" w:sz="4" w:space="0" w:color="auto"/>
              <w:bottom w:val="single" w:sz="4" w:space="0" w:color="auto"/>
            </w:tcBorders>
            <w:tcW w:w="500" w:type="dxa"/>
          </w:tcPr>
          <w:p>
            <w:pPr>
              <w:jc w:val="center"/>
              <w:spacing w:before="10" w:after="10"/>
            </w:pPr>
            <w:r/>
            <w:r>
              <w:rPr>
                <w:b/>
                <w:sz w:val="16"/>
              </w:rPr>
              <w:t>PUE</w:t>
            </w:r>
          </w:p>
        </w:tc>
        <w:tc>
          <w:tcPr>
            <w:tcBorders>
              <w:top w:val="single" w:sz="4" w:space="0" w:color="auto"/>
              <w:bottom w:val="single" w:sz="4" w:space="0" w:color="auto"/>
            </w:tcBorders>
            <w:tcW w:w="600" w:type="dxa"/>
          </w:tcPr>
          <w:p>
            <w:pPr>
              <w:jc w:val="center"/>
              <w:spacing w:before="10" w:after="10"/>
            </w:pPr>
            <w:r/>
            <w:r>
              <w:rPr>
                <w:b/>
                <w:sz w:val="16"/>
              </w:rPr>
              <w:t>Constr.</w:t>
              <w:br/>
              <w:t>($/W)</w:t>
            </w:r>
          </w:p>
        </w:tc>
        <w:tc>
          <w:tcPr>
            <w:tcBorders>
              <w:top w:val="single" w:sz="4" w:space="0" w:color="auto"/>
              <w:bottom w:val="single" w:sz="4" w:space="0" w:color="auto"/>
            </w:tcBorders>
            <w:tcW w:w="650" w:type="dxa"/>
          </w:tcPr>
          <w:p>
            <w:pPr>
              <w:jc w:val="center"/>
              <w:spacing w:before="10" w:after="10"/>
            </w:pPr>
            <w:r/>
            <w:r>
              <w:rPr>
                <w:b/>
                <w:sz w:val="16"/>
              </w:rPr>
              <w:t>k̄ⱼ</w:t>
              <w:br/>
              <w:t>(MW)</w:t>
            </w:r>
          </w:p>
        </w:tc>
        <w:tc>
          <w:tcPr>
            <w:tcBorders>
              <w:top w:val="single" w:sz="4" w:space="0" w:color="auto"/>
              <w:bottom w:val="single" w:sz="4" w:space="0" w:color="auto"/>
            </w:tcBorders>
            <w:tcW w:w="550" w:type="dxa"/>
          </w:tcPr>
          <w:p>
            <w:pPr>
              <w:jc w:val="center"/>
              <w:spacing w:before="10" w:after="10"/>
            </w:pPr>
            <w:r/>
            <w:r>
              <w:rPr>
                <w:b/>
                <w:sz w:val="16"/>
              </w:rPr>
              <w:t>ωⱼ</w:t>
              <w:br/>
              <w:t>(%)</w:t>
            </w:r>
          </w:p>
        </w:tc>
        <w:tc>
          <w:tcPr>
            <w:tcBorders>
              <w:top w:val="single" w:sz="4" w:space="0" w:color="auto"/>
              <w:bottom w:val="single" w:sz="4" w:space="0" w:color="auto"/>
            </w:tcBorders>
            <w:tcW w:w="450" w:type="dxa"/>
          </w:tcPr>
          <w:p>
            <w:pPr>
              <w:jc w:val="center"/>
              <w:spacing w:before="10" w:after="10"/>
            </w:pPr>
            <w:r/>
            <w:r>
              <w:rPr>
                <w:b/>
                <w:sz w:val="16"/>
              </w:rPr>
              <w:t>ξⱼᵉᶠᶠ</w:t>
            </w:r>
          </w:p>
        </w:tc>
        <w:tc>
          <w:tcPr>
            <w:tcBorders>
              <w:top w:val="single" w:sz="4" w:space="0" w:color="auto"/>
              <w:bottom w:val="single" w:sz="4" w:space="0" w:color="auto"/>
            </w:tcBorders>
            <w:tcW w:w="650" w:type="dxa"/>
          </w:tcPr>
          <w:p>
            <w:pPr>
              <w:jc w:val="center"/>
              <w:spacing w:before="10" w:after="10"/>
            </w:pPr>
            <w:r/>
            <w:r>
              <w:rPr>
                <w:b/>
                <w:sz w:val="16"/>
              </w:rPr>
              <w:t>cⱼ</w:t>
              <w:br/>
              <w:t>($/hr)</w:t>
            </w:r>
          </w:p>
        </w:tc>
        <w:tc>
          <w:tcPr>
            <w:tcBorders>
              <w:top w:val="single" w:sz="4" w:space="0" w:color="auto"/>
              <w:bottom w:val="single" w:sz="4" w:space="0" w:color="auto"/>
            </w:tcBorders>
            <w:tcW w:w="700" w:type="dxa"/>
          </w:tcPr>
          <w:p>
            <w:pPr>
              <w:jc w:val="center"/>
              <w:spacing w:before="10" w:after="10"/>
            </w:pPr>
            <w:r/>
            <w:r>
              <w:rPr>
                <w:b/>
                <w:sz w:val="16"/>
              </w:rPr>
              <w:t>Cost-Rec.</w:t>
              <w:br/>
              <w:t>pᴱ ($/kWh)</w:t>
            </w:r>
          </w:p>
        </w:tc>
      </w:tr>
      <w:tr>
        <w:tc>
          <w:tcPr>
            <w:tcW w:w="1500" w:type="dxa"/>
          </w:tcPr>
          <w:p>
            <w:pPr>
              <w:spacing w:before="10" w:after="10"/>
            </w:pPr>
            <w:r/>
            <w:r>
              <w:rPr>
                <w:sz w:val="16"/>
              </w:rPr>
              <w:t>Kyrgyzstan</w:t>
            </w:r>
          </w:p>
        </w:tc>
        <w:tc>
          <w:tcPr>
            <w:tcW w:w="650" w:type="dxa"/>
          </w:tcPr>
          <w:p>
            <w:pPr>
              <w:spacing w:before="10" w:after="10"/>
            </w:pPr>
            <w:r/>
            <w:r>
              <w:rPr>
                <w:sz w:val="16"/>
              </w:rPr>
              <w:t>$0.038</w:t>
            </w:r>
          </w:p>
        </w:tc>
        <w:tc>
          <w:tcPr>
            <w:tcW w:w="550" w:type="dxa"/>
          </w:tcPr>
          <w:p>
            <w:pPr>
              <w:jc w:val="right"/>
              <w:spacing w:before="10" w:after="10"/>
            </w:pPr>
            <w:r/>
            <w:r>
              <w:rPr>
                <w:sz w:val="16"/>
              </w:rPr>
              <w:t>13.3</w:t>
            </w:r>
          </w:p>
        </w:tc>
        <w:tc>
          <w:tcPr>
            <w:tcW w:w="500" w:type="dxa"/>
          </w:tcPr>
          <w:p>
            <w:pPr>
              <w:jc w:val="right"/>
              <w:spacing w:before="10" w:after="10"/>
            </w:pPr>
            <w:r/>
            <w:r>
              <w:rPr>
                <w:sz w:val="16"/>
              </w:rPr>
              <w:t>1.08</w:t>
            </w:r>
          </w:p>
        </w:tc>
        <w:tc>
          <w:tcPr>
            <w:tcW w:w="600" w:type="dxa"/>
          </w:tcPr>
          <w:p>
            <w:pPr>
              <w:jc w:val="right"/>
              <w:spacing w:before="10" w:after="10"/>
            </w:pPr>
            <w:r/>
            <w:r>
              <w:rPr>
                <w:sz w:val="16"/>
              </w:rPr>
              <w:t>$7.83</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0.76</w:t>
            </w:r>
          </w:p>
        </w:tc>
        <w:tc>
          <w:tcPr>
            <w:tcW w:w="650" w:type="dxa"/>
          </w:tcPr>
          <w:p>
            <w:pPr>
              <w:jc w:val="right"/>
              <w:spacing w:before="10" w:after="10"/>
            </w:pPr>
            <w:r/>
            <w:r>
              <w:rPr>
                <w:sz w:val="16"/>
              </w:rPr>
              <w:t>$1.43</w:t>
            </w:r>
          </w:p>
        </w:tc>
        <w:tc>
          <w:tcPr>
            <w:tcW w:w="700" w:type="dxa"/>
          </w:tcPr>
          <w:p>
            <w:pPr>
              <w:jc w:val="right"/>
              <w:spacing w:before="10" w:after="10"/>
            </w:pPr>
            <w:r/>
            <w:r>
              <w:rPr>
                <w:sz w:val="16"/>
              </w:rPr>
              <w:t>$0.038</w:t>
            </w:r>
          </w:p>
        </w:tc>
      </w:tr>
      <w:tr>
        <w:tc>
          <w:tcPr>
            <w:tcW w:w="1500" w:type="dxa"/>
          </w:tcPr>
          <w:p>
            <w:pPr>
              <w:spacing w:before="10" w:after="10"/>
            </w:pPr>
            <w:r/>
            <w:r>
              <w:rPr>
                <w:sz w:val="16"/>
              </w:rPr>
              <w:t>Canada</w:t>
            </w:r>
          </w:p>
        </w:tc>
        <w:tc>
          <w:tcPr>
            <w:tcW w:w="650" w:type="dxa"/>
          </w:tcPr>
          <w:p>
            <w:pPr>
              <w:spacing w:before="10" w:after="10"/>
            </w:pPr>
            <w:r/>
            <w:r>
              <w:rPr>
                <w:sz w:val="16"/>
              </w:rPr>
              <w:t>$0.045</w:t>
            </w:r>
          </w:p>
        </w:tc>
        <w:tc>
          <w:tcPr>
            <w:tcW w:w="550" w:type="dxa"/>
          </w:tcPr>
          <w:p>
            <w:pPr>
              <w:jc w:val="right"/>
              <w:spacing w:before="10" w:after="10"/>
            </w:pPr>
            <w:r/>
            <w:r>
              <w:rPr>
                <w:sz w:val="16"/>
              </w:rPr>
              <w:t>14.6</w:t>
            </w:r>
          </w:p>
        </w:tc>
        <w:tc>
          <w:tcPr>
            <w:tcW w:w="500" w:type="dxa"/>
          </w:tcPr>
          <w:p>
            <w:pPr>
              <w:jc w:val="right"/>
              <w:spacing w:before="10" w:after="10"/>
            </w:pPr>
            <w:r/>
            <w:r>
              <w:rPr>
                <w:sz w:val="16"/>
              </w:rPr>
              <w:t>1.08</w:t>
            </w:r>
          </w:p>
        </w:tc>
        <w:tc>
          <w:tcPr>
            <w:tcW w:w="600" w:type="dxa"/>
          </w:tcPr>
          <w:p>
            <w:pPr>
              <w:jc w:val="right"/>
              <w:spacing w:before="10" w:after="10"/>
            </w:pPr>
            <w:r/>
            <w:r>
              <w:rPr>
                <w:sz w:val="16"/>
              </w:rPr>
              <w:t>$9.39</w:t>
            </w:r>
          </w:p>
        </w:tc>
        <w:tc>
          <w:tcPr>
            <w:tcW w:w="650" w:type="dxa"/>
          </w:tcPr>
          <w:p>
            <w:pPr>
              <w:jc w:val="right"/>
              <w:spacing w:before="10" w:after="10"/>
            </w:pPr>
            <w:r/>
            <w:r>
              <w:rPr>
                <w:sz w:val="16"/>
              </w:rPr>
              <w:t>3,200</w:t>
            </w:r>
          </w:p>
        </w:tc>
        <w:tc>
          <w:tcPr>
            <w:tcW w:w="550" w:type="dxa"/>
          </w:tcPr>
          <w:p>
            <w:pPr>
              <w:jc w:val="right"/>
              <w:spacing w:before="10" w:after="10"/>
            </w:pPr>
            <w:r/>
            <w:r>
              <w:rPr>
                <w:sz w:val="16"/>
              </w:rPr>
              <w:t>2.6</w:t>
            </w:r>
          </w:p>
        </w:tc>
        <w:tc>
          <w:tcPr>
            <w:tcW w:w="450" w:type="dxa"/>
          </w:tcPr>
          <w:p>
            <w:pPr>
              <w:jc w:val="right"/>
              <w:spacing w:before="10" w:after="10"/>
            </w:pPr>
            <w:r/>
            <w:r>
              <w:rPr>
                <w:sz w:val="16"/>
              </w:rPr>
              <w:t>0.99</w:t>
            </w:r>
          </w:p>
        </w:tc>
        <w:tc>
          <w:tcPr>
            <w:tcW w:w="650" w:type="dxa"/>
          </w:tcPr>
          <w:p>
            <w:pPr>
              <w:jc w:val="right"/>
              <w:spacing w:before="10" w:after="10"/>
            </w:pPr>
            <w:r/>
            <w:r>
              <w:rPr>
                <w:sz w:val="16"/>
              </w:rPr>
              <w:t>$1.44</w:t>
            </w:r>
          </w:p>
        </w:tc>
        <w:tc>
          <w:tcPr>
            <w:tcW w:w="700" w:type="dxa"/>
          </w:tcPr>
          <w:p>
            <w:pPr>
              <w:jc w:val="right"/>
              <w:spacing w:before="10" w:after="10"/>
            </w:pPr>
            <w:r/>
            <w:r>
              <w:rPr>
                <w:sz w:val="16"/>
              </w:rPr>
              <w:t>$0.045</w:t>
            </w:r>
          </w:p>
        </w:tc>
      </w:tr>
      <w:tr>
        <w:tc>
          <w:tcPr>
            <w:tcW w:w="1500" w:type="dxa"/>
          </w:tcPr>
          <w:p>
            <w:pPr>
              <w:spacing w:before="10" w:after="10"/>
            </w:pPr>
            <w:r/>
            <w:r>
              <w:rPr>
                <w:sz w:val="16"/>
              </w:rPr>
              <w:t>Ethiopia</w:t>
            </w:r>
          </w:p>
        </w:tc>
        <w:tc>
          <w:tcPr>
            <w:tcW w:w="650" w:type="dxa"/>
          </w:tcPr>
          <w:p>
            <w:pPr>
              <w:spacing w:before="10" w:after="10"/>
            </w:pPr>
            <w:r/>
            <w:r>
              <w:rPr>
                <w:sz w:val="16"/>
              </w:rPr>
              <w:t>$0.030</w:t>
            </w:r>
          </w:p>
        </w:tc>
        <w:tc>
          <w:tcPr>
            <w:tcW w:w="550" w:type="dxa"/>
          </w:tcPr>
          <w:p>
            <w:pPr>
              <w:jc w:val="right"/>
              <w:spacing w:before="10" w:after="10"/>
            </w:pPr>
            <w:r/>
            <w:r>
              <w:rPr>
                <w:sz w:val="16"/>
              </w:rPr>
              <w:t>26.5</w:t>
            </w:r>
          </w:p>
        </w:tc>
        <w:tc>
          <w:tcPr>
            <w:tcW w:w="500" w:type="dxa"/>
          </w:tcPr>
          <w:p>
            <w:pPr>
              <w:jc w:val="right"/>
              <w:spacing w:before="10" w:after="10"/>
            </w:pPr>
            <w:r/>
            <w:r>
              <w:rPr>
                <w:sz w:val="16"/>
              </w:rPr>
              <w:t>1.25</w:t>
            </w:r>
          </w:p>
        </w:tc>
        <w:tc>
          <w:tcPr>
            <w:tcW w:w="600" w:type="dxa"/>
          </w:tcPr>
          <w:p>
            <w:pPr>
              <w:jc w:val="right"/>
              <w:spacing w:before="10" w:after="10"/>
            </w:pPr>
            <w:r/>
            <w:r>
              <w:rPr>
                <w:sz w:val="16"/>
              </w:rPr>
              <w:t>$8.08</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0.71</w:t>
            </w:r>
          </w:p>
        </w:tc>
        <w:tc>
          <w:tcPr>
            <w:tcW w:w="650" w:type="dxa"/>
          </w:tcPr>
          <w:p>
            <w:pPr>
              <w:jc w:val="right"/>
              <w:spacing w:before="10" w:after="10"/>
            </w:pPr>
            <w:r/>
            <w:r>
              <w:rPr>
                <w:sz w:val="16"/>
              </w:rPr>
              <w:t>$1.43</w:t>
            </w:r>
          </w:p>
        </w:tc>
        <w:tc>
          <w:tcPr>
            <w:tcW w:w="700" w:type="dxa"/>
          </w:tcPr>
          <w:p>
            <w:pPr>
              <w:jc w:val="right"/>
              <w:spacing w:before="10" w:after="10"/>
            </w:pPr>
            <w:r>
              <w:rPr>
                <w:b/>
              </w:rPr>
            </w:r>
            <w:r>
              <w:rPr>
                <w:sz w:val="16"/>
                <w:b/>
              </w:rPr>
              <w:t>$0.050</w:t>
            </w:r>
          </w:p>
        </w:tc>
      </w:tr>
      <w:tr>
        <w:tc>
          <w:tcPr>
            <w:tcW w:w="1500" w:type="dxa"/>
          </w:tcPr>
          <w:p>
            <w:pPr>
              <w:spacing w:before="10" w:after="10"/>
            </w:pPr>
            <w:r/>
            <w:r>
              <w:rPr>
                <w:sz w:val="16"/>
              </w:rPr>
              <w:t>Kosovo</w:t>
            </w:r>
          </w:p>
        </w:tc>
        <w:tc>
          <w:tcPr>
            <w:tcW w:w="650" w:type="dxa"/>
          </w:tcPr>
          <w:p>
            <w:pPr>
              <w:spacing w:before="10" w:after="10"/>
            </w:pPr>
            <w:r/>
            <w:r>
              <w:rPr>
                <w:sz w:val="16"/>
              </w:rPr>
              <w:t>$0.047</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00" w:type="dxa"/>
          </w:tcPr>
          <w:p>
            <w:pPr>
              <w:jc w:val="right"/>
              <w:spacing w:before="10" w:after="10"/>
            </w:pPr>
            <w:r/>
            <w:r>
              <w:rPr>
                <w:sz w:val="16"/>
              </w:rPr>
              <w:t>$9.48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0.81</w:t>
            </w:r>
          </w:p>
        </w:tc>
        <w:tc>
          <w:tcPr>
            <w:tcW w:w="650" w:type="dxa"/>
          </w:tcPr>
          <w:p>
            <w:pPr>
              <w:jc w:val="right"/>
              <w:spacing w:before="10" w:after="10"/>
            </w:pPr>
            <w:r/>
            <w:r>
              <w:rPr>
                <w:sz w:val="16"/>
              </w:rPr>
              <w:t>$1.45</w:t>
            </w:r>
          </w:p>
        </w:tc>
        <w:tc>
          <w:tcPr>
            <w:tcW w:w="700" w:type="dxa"/>
          </w:tcPr>
          <w:p>
            <w:pPr>
              <w:jc w:val="right"/>
              <w:spacing w:before="10" w:after="10"/>
            </w:pPr>
            <w:r/>
            <w:r>
              <w:rPr>
                <w:sz w:val="16"/>
              </w:rPr>
              <w:t>$0.047</w:t>
            </w:r>
          </w:p>
        </w:tc>
      </w:tr>
      <w:tr>
        <w:tc>
          <w:tcPr>
            <w:tcW w:w="1500" w:type="dxa"/>
          </w:tcPr>
          <w:p>
            <w:pPr>
              <w:spacing w:before="10" w:after="10"/>
            </w:pPr>
            <w:r/>
            <w:r>
              <w:rPr>
                <w:sz w:val="16"/>
              </w:rPr>
              <w:t>Tajikistan</w:t>
            </w:r>
          </w:p>
        </w:tc>
        <w:tc>
          <w:tcPr>
            <w:tcW w:w="650" w:type="dxa"/>
          </w:tcPr>
          <w:p>
            <w:pPr>
              <w:spacing w:before="10" w:after="10"/>
            </w:pPr>
            <w:r/>
            <w:r>
              <w:rPr>
                <w:sz w:val="16"/>
              </w:rPr>
              <w:t>$0.074</w:t>
            </w:r>
          </w:p>
        </w:tc>
        <w:tc>
          <w:tcPr>
            <w:tcW w:w="550" w:type="dxa"/>
          </w:tcPr>
          <w:p>
            <w:pPr>
              <w:jc w:val="right"/>
              <w:spacing w:before="10" w:after="10"/>
            </w:pPr>
            <w:r/>
            <w:r>
              <w:rPr>
                <w:sz w:val="16"/>
              </w:rPr>
              <w:t>16.8</w:t>
            </w:r>
          </w:p>
        </w:tc>
        <w:tc>
          <w:tcPr>
            <w:tcW w:w="500" w:type="dxa"/>
          </w:tcPr>
          <w:p>
            <w:pPr>
              <w:jc w:val="right"/>
              <w:spacing w:before="10" w:after="10"/>
            </w:pPr>
            <w:r/>
            <w:r>
              <w:rPr>
                <w:sz w:val="16"/>
              </w:rPr>
              <w:t>1.11</w:t>
            </w:r>
          </w:p>
        </w:tc>
        <w:tc>
          <w:tcPr>
            <w:tcW w:w="600" w:type="dxa"/>
          </w:tcPr>
          <w:p>
            <w:pPr>
              <w:jc w:val="right"/>
              <w:spacing w:before="10" w:after="10"/>
            </w:pPr>
            <w:r/>
            <w:r>
              <w:rPr>
                <w:sz w:val="16"/>
              </w:rPr>
              <w:t>$7.32</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0.72</w:t>
            </w:r>
          </w:p>
        </w:tc>
        <w:tc>
          <w:tcPr>
            <w:tcW w:w="650" w:type="dxa"/>
          </w:tcPr>
          <w:p>
            <w:pPr>
              <w:jc w:val="right"/>
              <w:spacing w:before="10" w:after="10"/>
            </w:pPr>
            <w:r/>
            <w:r>
              <w:rPr>
                <w:sz w:val="16"/>
              </w:rPr>
              <w:t>$1.45</w:t>
            </w:r>
          </w:p>
        </w:tc>
        <w:tc>
          <w:tcPr>
            <w:tcW w:w="700" w:type="dxa"/>
          </w:tcPr>
          <w:p>
            <w:pPr>
              <w:jc w:val="right"/>
              <w:spacing w:before="10" w:after="10"/>
            </w:pPr>
            <w:r/>
            <w:r>
              <w:rPr>
                <w:sz w:val="16"/>
              </w:rPr>
              <w:t>$0.074</w:t>
            </w:r>
          </w:p>
        </w:tc>
      </w:tr>
      <w:tr>
        <w:tc>
          <w:tcPr>
            <w:tcW w:w="1500" w:type="dxa"/>
          </w:tcPr>
          <w:p>
            <w:pPr>
              <w:spacing w:before="10" w:after="10"/>
            </w:pPr>
            <w:r/>
            <w:r>
              <w:rPr>
                <w:sz w:val="16"/>
              </w:rPr>
              <w:t>Montenegro</w:t>
            </w:r>
          </w:p>
        </w:tc>
        <w:tc>
          <w:tcPr>
            <w:tcW w:w="650" w:type="dxa"/>
          </w:tcPr>
          <w:p>
            <w:pPr>
              <w:spacing w:before="10" w:after="10"/>
            </w:pPr>
            <w:r/>
            <w:r>
              <w:rPr>
                <w:sz w:val="16"/>
              </w:rPr>
              <w:t>$0.051</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00" w:type="dxa"/>
          </w:tcPr>
          <w:p>
            <w:pPr>
              <w:jc w:val="right"/>
              <w:spacing w:before="10" w:after="10"/>
            </w:pPr>
            <w:r/>
            <w:r>
              <w:rPr>
                <w:sz w:val="16"/>
              </w:rPr>
              <w:t>$10.28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0.86</w:t>
            </w:r>
          </w:p>
        </w:tc>
        <w:tc>
          <w:tcPr>
            <w:tcW w:w="650" w:type="dxa"/>
          </w:tcPr>
          <w:p>
            <w:pPr>
              <w:jc w:val="right"/>
              <w:spacing w:before="10" w:after="10"/>
            </w:pPr>
            <w:r/>
            <w:r>
              <w:rPr>
                <w:sz w:val="16"/>
              </w:rPr>
              <w:t>$1.45</w:t>
            </w:r>
          </w:p>
        </w:tc>
        <w:tc>
          <w:tcPr>
            <w:tcW w:w="700" w:type="dxa"/>
          </w:tcPr>
          <w:p>
            <w:pPr>
              <w:jc w:val="right"/>
              <w:spacing w:before="10" w:after="10"/>
            </w:pPr>
            <w:r/>
            <w:r>
              <w:rPr>
                <w:sz w:val="16"/>
              </w:rPr>
              <w:t>$0.051</w:t>
            </w:r>
          </w:p>
        </w:tc>
      </w:tr>
      <w:tr>
        <w:tc>
          <w:tcPr>
            <w:tcW w:w="1500" w:type="dxa"/>
          </w:tcPr>
          <w:p>
            <w:pPr>
              <w:spacing w:before="10" w:after="10"/>
            </w:pPr>
            <w:r/>
            <w:r>
              <w:rPr>
                <w:sz w:val="16"/>
              </w:rPr>
              <w:t>China</w:t>
            </w:r>
          </w:p>
        </w:tc>
        <w:tc>
          <w:tcPr>
            <w:tcW w:w="650" w:type="dxa"/>
          </w:tcPr>
          <w:p>
            <w:pPr>
              <w:spacing w:before="10" w:after="10"/>
            </w:pPr>
            <w:r/>
            <w:r>
              <w:rPr>
                <w:sz w:val="16"/>
              </w:rPr>
              <w:t>$0.079</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00" w:type="dxa"/>
          </w:tcPr>
          <w:p>
            <w:pPr>
              <w:jc w:val="right"/>
              <w:spacing w:before="10" w:after="10"/>
            </w:pPr>
            <w:r/>
            <w:r>
              <w:rPr>
                <w:sz w:val="16"/>
              </w:rPr>
              <w:t>$6.12</w:t>
            </w:r>
          </w:p>
        </w:tc>
        <w:tc>
          <w:tcPr>
            <w:tcW w:w="650" w:type="dxa"/>
          </w:tcPr>
          <w:p>
            <w:pPr>
              <w:jc w:val="right"/>
              <w:spacing w:before="10" w:after="10"/>
            </w:pPr>
            <w:r/>
            <w:r>
              <w:rPr>
                <w:sz w:val="16"/>
              </w:rPr>
              <w:t>31,900</w:t>
            </w:r>
          </w:p>
        </w:tc>
        <w:tc>
          <w:tcPr>
            <w:tcW w:w="550" w:type="dxa"/>
          </w:tcPr>
          <w:p>
            <w:pPr>
              <w:jc w:val="right"/>
              <w:spacing w:before="10" w:after="10"/>
            </w:pPr>
            <w:r/>
            <w:r>
              <w:rPr>
                <w:sz w:val="16"/>
              </w:rPr>
              <w:t>25.8</w:t>
            </w:r>
          </w:p>
        </w:tc>
        <w:tc>
          <w:tcPr>
            <w:tcW w:w="450" w:type="dxa"/>
          </w:tcPr>
          <w:p>
            <w:pPr>
              <w:jc w:val="right"/>
              <w:spacing w:before="10" w:after="10"/>
            </w:pPr>
            <w:r/>
            <w:r>
              <w:rPr>
                <w:sz w:val="16"/>
              </w:rPr>
              <w:t>0.82</w:t>
            </w:r>
          </w:p>
        </w:tc>
        <w:tc>
          <w:tcPr>
            <w:tcW w:w="650" w:type="dxa"/>
          </w:tcPr>
          <w:p>
            <w:pPr>
              <w:jc w:val="right"/>
              <w:spacing w:before="10" w:after="10"/>
            </w:pPr>
            <w:r/>
            <w:r>
              <w:rPr>
                <w:sz w:val="16"/>
              </w:rPr>
              <w:t>$1.46</w:t>
            </w:r>
          </w:p>
        </w:tc>
        <w:tc>
          <w:tcPr>
            <w:tcW w:w="700" w:type="dxa"/>
          </w:tcPr>
          <w:p>
            <w:pPr>
              <w:jc w:val="right"/>
              <w:spacing w:before="10" w:after="10"/>
            </w:pPr>
            <w:r/>
            <w:r>
              <w:rPr>
                <w:sz w:val="16"/>
              </w:rPr>
              <w:t>$0.079</w:t>
            </w:r>
          </w:p>
        </w:tc>
      </w:tr>
      <w:tr>
        <w:tc>
          <w:tcPr>
            <w:tcW w:w="1500" w:type="dxa"/>
          </w:tcPr>
          <w:p>
            <w:pPr>
              <w:spacing w:before="10" w:after="10"/>
            </w:pPr>
            <w:r/>
            <w:r>
              <w:rPr>
                <w:sz w:val="16"/>
              </w:rPr>
              <w:t>Ukraine</w:t>
            </w:r>
          </w:p>
        </w:tc>
        <w:tc>
          <w:tcPr>
            <w:tcW w:w="650" w:type="dxa"/>
          </w:tcPr>
          <w:p>
            <w:pPr>
              <w:spacing w:before="10" w:after="10"/>
            </w:pPr>
            <w:r/>
            <w:r>
              <w:rPr>
                <w:sz w:val="16"/>
              </w:rPr>
              <w:t>$0.057</w:t>
            </w:r>
          </w:p>
        </w:tc>
        <w:tc>
          <w:tcPr>
            <w:tcW w:w="550" w:type="dxa"/>
          </w:tcPr>
          <w:p>
            <w:pPr>
              <w:jc w:val="right"/>
              <w:spacing w:before="10" w:after="10"/>
            </w:pPr>
            <w:r/>
            <w:r>
              <w:rPr>
                <w:sz w:val="16"/>
              </w:rPr>
              <w:t>22.5</w:t>
            </w:r>
          </w:p>
        </w:tc>
        <w:tc>
          <w:tcPr>
            <w:tcW w:w="500" w:type="dxa"/>
          </w:tcPr>
          <w:p>
            <w:pPr>
              <w:jc w:val="right"/>
              <w:spacing w:before="10" w:after="10"/>
            </w:pPr>
            <w:r/>
            <w:r>
              <w:rPr>
                <w:sz w:val="16"/>
              </w:rPr>
              <w:t>1.19</w:t>
            </w:r>
          </w:p>
        </w:tc>
        <w:tc>
          <w:tcPr>
            <w:tcW w:w="600" w:type="dxa"/>
          </w:tcPr>
          <w:p>
            <w:pPr>
              <w:jc w:val="right"/>
              <w:spacing w:before="10" w:after="10"/>
            </w:pPr>
            <w:r/>
            <w:r>
              <w:rPr>
                <w:sz w:val="16"/>
              </w:rPr>
              <w:t>$9.86</w:t>
            </w:r>
          </w:p>
        </w:tc>
        <w:tc>
          <w:tcPr>
            <w:tcW w:w="650" w:type="dxa"/>
          </w:tcPr>
          <w:p>
            <w:pPr>
              <w:jc w:val="right"/>
              <w:spacing w:before="10" w:after="10"/>
            </w:pPr>
            <w:r/>
            <w:r>
              <w:rPr>
                <w:sz w:val="16"/>
              </w:rPr>
              <w:t>175</w:t>
            </w:r>
          </w:p>
        </w:tc>
        <w:tc>
          <w:tcPr>
            <w:tcW w:w="550" w:type="dxa"/>
          </w:tcPr>
          <w:p>
            <w:pPr>
              <w:jc w:val="right"/>
              <w:spacing w:before="10" w:after="10"/>
            </w:pPr>
            <w:r/>
            <w:r>
              <w:rPr>
                <w:sz w:val="16"/>
              </w:rPr>
              <w:t>0.1</w:t>
            </w:r>
          </w:p>
        </w:tc>
        <w:tc>
          <w:tcPr>
            <w:tcW w:w="450" w:type="dxa"/>
          </w:tcPr>
          <w:p>
            <w:pPr>
              <w:jc w:val="right"/>
              <w:spacing w:before="10" w:after="10"/>
            </w:pPr>
            <w:r/>
            <w:r>
              <w:rPr>
                <w:sz w:val="16"/>
              </w:rPr>
              <w:t>0.79</w:t>
            </w:r>
          </w:p>
        </w:tc>
        <w:tc>
          <w:tcPr>
            <w:tcW w:w="650" w:type="dxa"/>
          </w:tcPr>
          <w:p>
            <w:pPr>
              <w:jc w:val="right"/>
              <w:spacing w:before="10" w:after="10"/>
            </w:pPr>
            <w:r/>
            <w:r>
              <w:rPr>
                <w:sz w:val="16"/>
              </w:rPr>
              <w:t>$1.46</w:t>
            </w:r>
          </w:p>
        </w:tc>
        <w:tc>
          <w:tcPr>
            <w:tcW w:w="700" w:type="dxa"/>
          </w:tcPr>
          <w:p>
            <w:pPr>
              <w:jc w:val="right"/>
              <w:spacing w:before="10" w:after="10"/>
            </w:pPr>
            <w:r/>
            <w:r>
              <w:rPr>
                <w:sz w:val="16"/>
              </w:rPr>
              <w:t>$0.057</w:t>
            </w:r>
          </w:p>
        </w:tc>
      </w:tr>
      <w:tr>
        <w:tc>
          <w:tcPr>
            <w:tcW w:w="1500" w:type="dxa"/>
          </w:tcPr>
          <w:p>
            <w:pPr>
              <w:spacing w:before="10" w:after="10"/>
            </w:pPr>
            <w:r/>
            <w:r>
              <w:rPr>
                <w:sz w:val="16"/>
              </w:rPr>
              <w:t>Argentina</w:t>
            </w:r>
          </w:p>
        </w:tc>
        <w:tc>
          <w:tcPr>
            <w:tcW w:w="650" w:type="dxa"/>
          </w:tcPr>
          <w:p>
            <w:pPr>
              <w:spacing w:before="10" w:after="10"/>
            </w:pPr>
            <w:r/>
            <w:r>
              <w:rPr>
                <w:sz w:val="16"/>
              </w:rPr>
              <w:t>$0.060</w:t>
            </w:r>
          </w:p>
        </w:tc>
        <w:tc>
          <w:tcPr>
            <w:tcW w:w="550" w:type="dxa"/>
          </w:tcPr>
          <w:p>
            <w:pPr>
              <w:jc w:val="right"/>
              <w:spacing w:before="10" w:after="10"/>
            </w:pPr>
            <w:r/>
            <w:r>
              <w:rPr>
                <w:sz w:val="16"/>
              </w:rPr>
              <w:t>22.3</w:t>
            </w:r>
          </w:p>
        </w:tc>
        <w:tc>
          <w:tcPr>
            <w:tcW w:w="500" w:type="dxa"/>
          </w:tcPr>
          <w:p>
            <w:pPr>
              <w:jc w:val="right"/>
              <w:spacing w:before="10" w:after="10"/>
            </w:pPr>
            <w:r/>
            <w:r>
              <w:rPr>
                <w:sz w:val="16"/>
              </w:rPr>
              <w:t>1.19</w:t>
            </w:r>
          </w:p>
        </w:tc>
        <w:tc>
          <w:tcPr>
            <w:tcW w:w="600" w:type="dxa"/>
          </w:tcPr>
          <w:p>
            <w:pPr>
              <w:jc w:val="right"/>
              <w:spacing w:before="10" w:after="10"/>
            </w:pPr>
            <w:r/>
            <w:r>
              <w:rPr>
                <w:sz w:val="16"/>
              </w:rPr>
              <w:t>$10.10</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450" w:type="dxa"/>
          </w:tcPr>
          <w:p>
            <w:pPr>
              <w:jc w:val="right"/>
              <w:spacing w:before="10" w:after="10"/>
            </w:pPr>
            <w:r/>
            <w:r>
              <w:rPr>
                <w:sz w:val="16"/>
              </w:rPr>
              <w:t>0.81</w:t>
            </w:r>
          </w:p>
        </w:tc>
        <w:tc>
          <w:tcPr>
            <w:tcW w:w="650" w:type="dxa"/>
          </w:tcPr>
          <w:p>
            <w:pPr>
              <w:jc w:val="right"/>
              <w:spacing w:before="10" w:after="10"/>
            </w:pPr>
            <w:r/>
            <w:r>
              <w:rPr>
                <w:sz w:val="16"/>
              </w:rPr>
              <w:t>$1.46</w:t>
            </w:r>
          </w:p>
        </w:tc>
        <w:tc>
          <w:tcPr>
            <w:tcW w:w="700" w:type="dxa"/>
          </w:tcPr>
          <w:p>
            <w:pPr>
              <w:jc w:val="right"/>
              <w:spacing w:before="10" w:after="10"/>
            </w:pPr>
            <w:r/>
            <w:r>
              <w:rPr>
                <w:sz w:val="16"/>
              </w:rPr>
              <w:t>$0.060</w:t>
            </w:r>
          </w:p>
        </w:tc>
      </w:tr>
      <w:tr>
        <w:tc>
          <w:tcPr>
            <w:tcW w:w="1500" w:type="dxa"/>
          </w:tcPr>
          <w:p>
            <w:pPr>
              <w:spacing w:before="10" w:after="10"/>
            </w:pPr>
            <w:r/>
            <w:r>
              <w:rPr>
                <w:sz w:val="16"/>
              </w:rPr>
              <w:t>Colombia</w:t>
            </w:r>
          </w:p>
        </w:tc>
        <w:tc>
          <w:tcPr>
            <w:tcW w:w="650" w:type="dxa"/>
          </w:tcPr>
          <w:p>
            <w:pPr>
              <w:spacing w:before="10" w:after="10"/>
            </w:pPr>
            <w:r/>
            <w:r>
              <w:rPr>
                <w:sz w:val="16"/>
              </w:rPr>
              <w:t>$0.075</w:t>
            </w:r>
          </w:p>
        </w:tc>
        <w:tc>
          <w:tcPr>
            <w:tcW w:w="550" w:type="dxa"/>
          </w:tcPr>
          <w:p>
            <w:pPr>
              <w:jc w:val="right"/>
              <w:spacing w:before="10" w:after="10"/>
            </w:pPr>
            <w:r/>
            <w:r>
              <w:rPr>
                <w:sz w:val="16"/>
              </w:rPr>
              <w:t>25.5</w:t>
            </w:r>
          </w:p>
        </w:tc>
        <w:tc>
          <w:tcPr>
            <w:tcW w:w="500" w:type="dxa"/>
          </w:tcPr>
          <w:p>
            <w:pPr>
              <w:jc w:val="right"/>
              <w:spacing w:before="10" w:after="10"/>
            </w:pPr>
            <w:r/>
            <w:r>
              <w:rPr>
                <w:sz w:val="16"/>
              </w:rPr>
              <w:t>1.24</w:t>
            </w:r>
          </w:p>
        </w:tc>
        <w:tc>
          <w:tcPr>
            <w:tcW w:w="600" w:type="dxa"/>
          </w:tcPr>
          <w:p>
            <w:pPr>
              <w:jc w:val="right"/>
              <w:spacing w:before="10" w:after="10"/>
            </w:pPr>
            <w:r/>
            <w:r>
              <w:rPr>
                <w:sz w:val="16"/>
              </w:rPr>
              <w:t>$7.49</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450" w:type="dxa"/>
          </w:tcPr>
          <w:p>
            <w:pPr>
              <w:jc w:val="right"/>
              <w:spacing w:before="10" w:after="10"/>
            </w:pPr>
            <w:r/>
            <w:r>
              <w:rPr>
                <w:sz w:val="16"/>
              </w:rPr>
              <w:t>0.81</w:t>
            </w:r>
          </w:p>
        </w:tc>
        <w:tc>
          <w:tcPr>
            <w:tcW w:w="650" w:type="dxa"/>
          </w:tcPr>
          <w:p>
            <w:pPr>
              <w:jc w:val="right"/>
              <w:spacing w:before="10" w:after="10"/>
            </w:pPr>
            <w:r/>
            <w:r>
              <w:rPr>
                <w:sz w:val="16"/>
              </w:rPr>
              <w:t>$1.46</w:t>
            </w:r>
          </w:p>
        </w:tc>
        <w:tc>
          <w:tcPr>
            <w:tcW w:w="700" w:type="dxa"/>
          </w:tcPr>
          <w:p>
            <w:pPr>
              <w:jc w:val="right"/>
              <w:spacing w:before="10" w:after="10"/>
            </w:pPr>
            <w:r/>
            <w:r>
              <w:rPr>
                <w:sz w:val="16"/>
              </w:rPr>
              <w:t>$0.075</w:t>
            </w:r>
          </w:p>
        </w:tc>
      </w:tr>
      <w:tr>
        <w:tc>
          <w:tcPr>
            <w:tcW w:w="1500" w:type="dxa"/>
          </w:tcPr>
          <w:p>
            <w:pPr>
              <w:spacing w:before="10" w:after="10"/>
            </w:pPr>
            <w:r/>
            <w:r>
              <w:rPr>
                <w:sz w:val="16"/>
              </w:rPr>
              <w:t>Azerbaijan</w:t>
            </w:r>
          </w:p>
        </w:tc>
        <w:tc>
          <w:tcPr>
            <w:tcW w:w="650" w:type="dxa"/>
          </w:tcPr>
          <w:p>
            <w:pPr>
              <w:spacing w:before="10" w:after="10"/>
            </w:pPr>
            <w:r/>
            <w:r>
              <w:rPr>
                <w:sz w:val="16"/>
              </w:rPr>
              <w:t>$0.062</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00" w:type="dxa"/>
          </w:tcPr>
          <w:p>
            <w:pPr>
              <w:jc w:val="right"/>
              <w:spacing w:before="10" w:after="10"/>
            </w:pPr>
            <w:r/>
            <w:r>
              <w:rPr>
                <w:sz w:val="16"/>
              </w:rPr>
              <w:t>$9.77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0.74</w:t>
            </w:r>
          </w:p>
        </w:tc>
        <w:tc>
          <w:tcPr>
            <w:tcW w:w="650" w:type="dxa"/>
          </w:tcPr>
          <w:p>
            <w:pPr>
              <w:jc w:val="right"/>
              <w:spacing w:before="10" w:after="10"/>
            </w:pPr>
            <w:r/>
            <w:r>
              <w:rPr>
                <w:sz w:val="16"/>
              </w:rPr>
              <w:t>$1.46</w:t>
            </w:r>
          </w:p>
        </w:tc>
        <w:tc>
          <w:tcPr>
            <w:tcW w:w="700" w:type="dxa"/>
          </w:tcPr>
          <w:p>
            <w:pPr>
              <w:jc w:val="right"/>
              <w:spacing w:before="10" w:after="10"/>
            </w:pPr>
            <w:r/>
            <w:r>
              <w:rPr>
                <w:sz w:val="16"/>
              </w:rPr>
              <w:t>$0.062</w:t>
            </w:r>
          </w:p>
        </w:tc>
      </w:tr>
      <w:tr>
        <w:tc>
          <w:tcPr>
            <w:tcW w:w="1500" w:type="dxa"/>
          </w:tcPr>
          <w:p>
            <w:pPr>
              <w:spacing w:before="10" w:after="10"/>
            </w:pPr>
            <w:r/>
            <w:r>
              <w:rPr>
                <w:sz w:val="16"/>
              </w:rPr>
              <w:t>Russia</w:t>
            </w:r>
          </w:p>
        </w:tc>
        <w:tc>
          <w:tcPr>
            <w:tcW w:w="650" w:type="dxa"/>
          </w:tcPr>
          <w:p>
            <w:pPr>
              <w:spacing w:before="10" w:after="10"/>
            </w:pPr>
            <w:r/>
            <w:r>
              <w:rPr>
                <w:sz w:val="16"/>
              </w:rPr>
              <w:t>$0.040</w:t>
            </w:r>
          </w:p>
        </w:tc>
        <w:tc>
          <w:tcPr>
            <w:tcW w:w="550" w:type="dxa"/>
          </w:tcPr>
          <w:p>
            <w:pPr>
              <w:jc w:val="right"/>
              <w:spacing w:before="10" w:after="10"/>
            </w:pPr>
            <w:r/>
            <w:r>
              <w:rPr>
                <w:sz w:val="16"/>
              </w:rPr>
              <w:t>16.9</w:t>
            </w:r>
          </w:p>
        </w:tc>
        <w:tc>
          <w:tcPr>
            <w:tcW w:w="500" w:type="dxa"/>
          </w:tcPr>
          <w:p>
            <w:pPr>
              <w:jc w:val="right"/>
              <w:spacing w:before="10" w:after="10"/>
            </w:pPr>
            <w:r/>
            <w:r>
              <w:rPr>
                <w:sz w:val="16"/>
              </w:rPr>
              <w:t>1.11</w:t>
            </w:r>
          </w:p>
        </w:tc>
        <w:tc>
          <w:tcPr>
            <w:tcW w:w="600" w:type="dxa"/>
          </w:tcPr>
          <w:p>
            <w:pPr>
              <w:jc w:val="right"/>
              <w:spacing w:before="10" w:after="10"/>
            </w:pPr>
            <w:r/>
            <w:r>
              <w:rPr>
                <w:sz w:val="16"/>
              </w:rPr>
              <w:t>$10.36</w:t>
            </w:r>
          </w:p>
        </w:tc>
        <w:tc>
          <w:tcPr>
            <w:tcW w:w="650" w:type="dxa"/>
          </w:tcPr>
          <w:p>
            <w:pPr>
              <w:jc w:val="right"/>
              <w:spacing w:before="10" w:after="10"/>
            </w:pPr>
            <w:r/>
            <w:r>
              <w:rPr>
                <w:sz w:val="16"/>
              </w:rPr>
              <w:t>2,000</w:t>
            </w:r>
          </w:p>
        </w:tc>
        <w:tc>
          <w:tcPr>
            <w:tcW w:w="550" w:type="dxa"/>
          </w:tcPr>
          <w:p>
            <w:pPr>
              <w:jc w:val="right"/>
              <w:spacing w:before="10" w:after="10"/>
            </w:pPr>
            <w:r/>
            <w:r>
              <w:rPr>
                <w:sz w:val="16"/>
              </w:rPr>
              <w:t>1.6</w:t>
            </w:r>
          </w:p>
        </w:tc>
        <w:tc>
          <w:tcPr>
            <w:tcW w:w="450" w:type="dxa"/>
          </w:tcPr>
          <w:p>
            <w:pPr>
              <w:jc w:val="right"/>
              <w:spacing w:before="10" w:after="10"/>
            </w:pPr>
            <w:r/>
            <w:r>
              <w:rPr>
                <w:sz w:val="16"/>
              </w:rPr>
              <w:t>0.72</w:t>
            </w:r>
          </w:p>
        </w:tc>
        <w:tc>
          <w:tcPr>
            <w:tcW w:w="650" w:type="dxa"/>
          </w:tcPr>
          <w:p>
            <w:pPr>
              <w:jc w:val="right"/>
              <w:spacing w:before="10" w:after="10"/>
            </w:pPr>
            <w:r/>
            <w:r>
              <w:rPr>
                <w:sz w:val="16"/>
              </w:rPr>
              <w:t>$1.44</w:t>
            </w:r>
          </w:p>
        </w:tc>
        <w:tc>
          <w:tcPr>
            <w:tcW w:w="700" w:type="dxa"/>
          </w:tcPr>
          <w:p>
            <w:pPr>
              <w:jc w:val="right"/>
              <w:spacing w:before="10" w:after="10"/>
            </w:pPr>
            <w:r>
              <w:rPr>
                <w:b/>
              </w:rPr>
            </w:r>
            <w:r>
              <w:rPr>
                <w:sz w:val="16"/>
                <w:b/>
              </w:rPr>
              <w:t>$0.065</w:t>
            </w:r>
          </w:p>
        </w:tc>
      </w:tr>
      <w:tr>
        <w:tc>
          <w:tcPr>
            <w:tcW w:w="1500" w:type="dxa"/>
          </w:tcPr>
          <w:p>
            <w:pPr>
              <w:spacing w:before="10" w:after="10"/>
            </w:pPr>
            <w:r/>
            <w:r>
              <w:rPr>
                <w:sz w:val="16"/>
              </w:rPr>
              <w:t>Norway</w:t>
            </w:r>
          </w:p>
        </w:tc>
        <w:tc>
          <w:tcPr>
            <w:tcW w:w="650" w:type="dxa"/>
          </w:tcPr>
          <w:p>
            <w:pPr>
              <w:spacing w:before="10" w:after="10"/>
            </w:pPr>
            <w:r/>
            <w:r>
              <w:rPr>
                <w:sz w:val="16"/>
              </w:rPr>
              <w:t>$0.054</w:t>
            </w:r>
          </w:p>
        </w:tc>
        <w:tc>
          <w:tcPr>
            <w:tcW w:w="550" w:type="dxa"/>
          </w:tcPr>
          <w:p>
            <w:pPr>
              <w:jc w:val="right"/>
              <w:spacing w:before="10" w:after="10"/>
            </w:pPr>
            <w:r/>
            <w:r>
              <w:rPr>
                <w:sz w:val="16"/>
              </w:rPr>
              <w:t>14.5</w:t>
            </w:r>
          </w:p>
        </w:tc>
        <w:tc>
          <w:tcPr>
            <w:tcW w:w="500" w:type="dxa"/>
          </w:tcPr>
          <w:p>
            <w:pPr>
              <w:jc w:val="right"/>
              <w:spacing w:before="10" w:after="10"/>
            </w:pPr>
            <w:r/>
            <w:r>
              <w:rPr>
                <w:sz w:val="16"/>
              </w:rPr>
              <w:t>1.08</w:t>
            </w:r>
          </w:p>
        </w:tc>
        <w:tc>
          <w:tcPr>
            <w:tcW w:w="600" w:type="dxa"/>
          </w:tcPr>
          <w:p>
            <w:pPr>
              <w:jc w:val="right"/>
              <w:spacing w:before="10" w:after="10"/>
            </w:pPr>
            <w:r/>
            <w:r>
              <w:rPr>
                <w:sz w:val="16"/>
              </w:rPr>
              <w:t>$12.41</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450" w:type="dxa"/>
          </w:tcPr>
          <w:p>
            <w:pPr>
              <w:jc w:val="right"/>
              <w:spacing w:before="10" w:after="10"/>
            </w:pPr>
            <w:r/>
            <w:r>
              <w:rPr>
                <w:sz w:val="16"/>
              </w:rPr>
              <w:t>1.00</w:t>
            </w:r>
          </w:p>
        </w:tc>
        <w:tc>
          <w:tcPr>
            <w:tcW w:w="650" w:type="dxa"/>
          </w:tcPr>
          <w:p>
            <w:pPr>
              <w:jc w:val="right"/>
              <w:spacing w:before="10" w:after="10"/>
            </w:pPr>
            <w:r/>
            <w:r>
              <w:rPr>
                <w:sz w:val="16"/>
              </w:rPr>
              <w:t>$1.47</w:t>
            </w:r>
          </w:p>
        </w:tc>
        <w:tc>
          <w:tcPr>
            <w:tcW w:w="700" w:type="dxa"/>
          </w:tcPr>
          <w:p>
            <w:pPr>
              <w:jc w:val="right"/>
              <w:spacing w:before="10" w:after="10"/>
            </w:pPr>
            <w:r/>
            <w:r>
              <w:rPr>
                <w:sz w:val="16"/>
              </w:rPr>
              <w:t>$0.054</w:t>
            </w:r>
          </w:p>
        </w:tc>
      </w:tr>
      <w:tr>
        <w:tc>
          <w:tcPr>
            <w:tcW w:w="1500" w:type="dxa"/>
          </w:tcPr>
          <w:p>
            <w:pPr>
              <w:spacing w:before="10" w:after="10"/>
            </w:pPr>
            <w:r/>
            <w:r>
              <w:rPr>
                <w:sz w:val="16"/>
              </w:rPr>
              <w:t>Algeria</w:t>
            </w:r>
          </w:p>
        </w:tc>
        <w:tc>
          <w:tcPr>
            <w:tcW w:w="650" w:type="dxa"/>
          </w:tcPr>
          <w:p>
            <w:pPr>
              <w:spacing w:before="10" w:after="10"/>
            </w:pPr>
            <w:r/>
            <w:r>
              <w:rPr>
                <w:sz w:val="16"/>
              </w:rPr>
              <w:t>$0.033</w:t>
            </w:r>
          </w:p>
        </w:tc>
        <w:tc>
          <w:tcPr>
            <w:tcW w:w="550" w:type="dxa"/>
          </w:tcPr>
          <w:p>
            <w:pPr>
              <w:jc w:val="right"/>
              <w:spacing w:before="10" w:after="10"/>
            </w:pPr>
            <w:r/>
            <w:r>
              <w:rPr>
                <w:sz w:val="16"/>
              </w:rPr>
              <w:t>35.8</w:t>
            </w:r>
          </w:p>
        </w:tc>
        <w:tc>
          <w:tcPr>
            <w:tcW w:w="500" w:type="dxa"/>
          </w:tcPr>
          <w:p>
            <w:pPr>
              <w:jc w:val="right"/>
              <w:spacing w:before="10" w:after="10"/>
            </w:pPr>
            <w:r/>
            <w:r>
              <w:rPr>
                <w:sz w:val="16"/>
              </w:rPr>
              <w:t>1.39</w:t>
            </w:r>
          </w:p>
        </w:tc>
        <w:tc>
          <w:tcPr>
            <w:tcW w:w="600" w:type="dxa"/>
          </w:tcPr>
          <w:p>
            <w:pPr>
              <w:jc w:val="right"/>
              <w:spacing w:before="10" w:after="10"/>
            </w:pPr>
            <w:r/>
            <w:r>
              <w:rPr>
                <w:sz w:val="16"/>
              </w:rPr>
              <w:t>$8.48</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450" w:type="dxa"/>
          </w:tcPr>
          <w:p>
            <w:pPr>
              <w:jc w:val="right"/>
              <w:spacing w:before="10" w:after="10"/>
            </w:pPr>
            <w:r/>
            <w:r>
              <w:rPr>
                <w:sz w:val="16"/>
              </w:rPr>
              <w:t>0.74</w:t>
            </w:r>
          </w:p>
        </w:tc>
        <w:tc>
          <w:tcPr>
            <w:tcW w:w="650" w:type="dxa"/>
          </w:tcPr>
          <w:p>
            <w:pPr>
              <w:jc w:val="right"/>
              <w:spacing w:before="10" w:after="10"/>
            </w:pPr>
            <w:r/>
            <w:r>
              <w:rPr>
                <w:sz w:val="16"/>
              </w:rPr>
              <w:t>$1.44</w:t>
            </w:r>
          </w:p>
        </w:tc>
        <w:tc>
          <w:tcPr>
            <w:tcW w:w="700" w:type="dxa"/>
          </w:tcPr>
          <w:p>
            <w:pPr>
              <w:jc w:val="right"/>
              <w:spacing w:before="10" w:after="10"/>
            </w:pPr>
            <w:r>
              <w:rPr>
                <w:b/>
              </w:rPr>
            </w:r>
            <w:r>
              <w:rPr>
                <w:sz w:val="16"/>
                <w:b/>
              </w:rPr>
              <w:t>$0.065</w:t>
            </w:r>
          </w:p>
        </w:tc>
      </w:tr>
      <w:tr>
        <w:tc>
          <w:tcPr>
            <w:tcW w:w="1500" w:type="dxa"/>
          </w:tcPr>
          <w:p>
            <w:pPr>
              <w:spacing w:before="10" w:after="10"/>
            </w:pPr>
            <w:r/>
            <w:r>
              <w:rPr>
                <w:sz w:val="16"/>
              </w:rPr>
              <w:t>Finland</w:t>
            </w:r>
          </w:p>
        </w:tc>
        <w:tc>
          <w:tcPr>
            <w:tcW w:w="650" w:type="dxa"/>
          </w:tcPr>
          <w:p>
            <w:pPr>
              <w:spacing w:before="10" w:after="10"/>
            </w:pPr>
            <w:r/>
            <w:r>
              <w:rPr>
                <w:sz w:val="16"/>
              </w:rPr>
              <w:t>$0.057</w:t>
            </w:r>
          </w:p>
        </w:tc>
        <w:tc>
          <w:tcPr>
            <w:tcW w:w="550" w:type="dxa"/>
          </w:tcPr>
          <w:p>
            <w:pPr>
              <w:jc w:val="right"/>
              <w:spacing w:before="10" w:after="10"/>
            </w:pPr>
            <w:r/>
            <w:r>
              <w:rPr>
                <w:sz w:val="16"/>
              </w:rPr>
              <w:t>16.4</w:t>
            </w:r>
          </w:p>
        </w:tc>
        <w:tc>
          <w:tcPr>
            <w:tcW w:w="500" w:type="dxa"/>
          </w:tcPr>
          <w:p>
            <w:pPr>
              <w:jc w:val="right"/>
              <w:spacing w:before="10" w:after="10"/>
            </w:pPr>
            <w:r/>
            <w:r>
              <w:rPr>
                <w:sz w:val="16"/>
              </w:rPr>
              <w:t>1.10</w:t>
            </w:r>
          </w:p>
        </w:tc>
        <w:tc>
          <w:tcPr>
            <w:tcW w:w="600" w:type="dxa"/>
          </w:tcPr>
          <w:p>
            <w:pPr>
              <w:jc w:val="right"/>
              <w:spacing w:before="10" w:after="10"/>
            </w:pPr>
            <w:r/>
            <w:r>
              <w:rPr>
                <w:sz w:val="16"/>
              </w:rPr>
              <w:t>$12.29</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450" w:type="dxa"/>
          </w:tcPr>
          <w:p>
            <w:pPr>
              <w:jc w:val="right"/>
              <w:spacing w:before="10" w:after="10"/>
            </w:pPr>
            <w:r/>
            <w:r>
              <w:rPr>
                <w:sz w:val="16"/>
              </w:rPr>
              <w:t>1.00</w:t>
            </w:r>
          </w:p>
        </w:tc>
        <w:tc>
          <w:tcPr>
            <w:tcW w:w="650" w:type="dxa"/>
          </w:tcPr>
          <w:p>
            <w:pPr>
              <w:jc w:val="right"/>
              <w:spacing w:before="10" w:after="10"/>
            </w:pPr>
            <w:r/>
            <w:r>
              <w:rPr>
                <w:sz w:val="16"/>
              </w:rPr>
              <w:t>$1.47</w:t>
            </w:r>
          </w:p>
        </w:tc>
        <w:tc>
          <w:tcPr>
            <w:tcW w:w="700" w:type="dxa"/>
          </w:tcPr>
          <w:p>
            <w:pPr>
              <w:jc w:val="right"/>
              <w:spacing w:before="10" w:after="10"/>
            </w:pPr>
            <w:r/>
            <w:r>
              <w:rPr>
                <w:sz w:val="16"/>
              </w:rPr>
              <w:t>$0.057</w:t>
            </w:r>
          </w:p>
        </w:tc>
      </w:tr>
      <w:tr>
        <w:tc>
          <w:tcPr>
            <w:tcW w:w="1500" w:type="dxa"/>
          </w:tcPr>
          <w:p>
            <w:pPr>
              <w:spacing w:before="10" w:after="10"/>
            </w:pPr>
            <w:r/>
            <w:r>
              <w:rPr>
                <w:sz w:val="16"/>
              </w:rPr>
              <w:t>Vietnam</w:t>
            </w:r>
          </w:p>
        </w:tc>
        <w:tc>
          <w:tcPr>
            <w:tcW w:w="650" w:type="dxa"/>
          </w:tcPr>
          <w:p>
            <w:pPr>
              <w:spacing w:before="10" w:after="10"/>
            </w:pPr>
            <w:r/>
            <w:r>
              <w:rPr>
                <w:sz w:val="16"/>
              </w:rPr>
              <w:t>$0.073</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00" w:type="dxa"/>
          </w:tcPr>
          <w:p>
            <w:pPr>
              <w:jc w:val="right"/>
              <w:spacing w:before="10" w:after="10"/>
            </w:pPr>
            <w:r/>
            <w:r>
              <w:rPr>
                <w:sz w:val="16"/>
              </w:rPr>
              <w:t>$8.76</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0.82</w:t>
            </w:r>
          </w:p>
        </w:tc>
        <w:tc>
          <w:tcPr>
            <w:tcW w:w="650" w:type="dxa"/>
          </w:tcPr>
          <w:p>
            <w:pPr>
              <w:jc w:val="right"/>
              <w:spacing w:before="10" w:after="10"/>
            </w:pPr>
            <w:r/>
            <w:r>
              <w:rPr>
                <w:sz w:val="16"/>
              </w:rPr>
              <w:t>$1.47</w:t>
            </w:r>
          </w:p>
        </w:tc>
        <w:tc>
          <w:tcPr>
            <w:tcW w:w="700" w:type="dxa"/>
          </w:tcPr>
          <w:p>
            <w:pPr>
              <w:jc w:val="right"/>
              <w:spacing w:before="10" w:after="10"/>
            </w:pPr>
            <w:r/>
            <w:r>
              <w:rPr>
                <w:sz w:val="16"/>
              </w:rPr>
              <w:t>$0.073</w:t>
            </w:r>
          </w:p>
        </w:tc>
      </w:tr>
      <w:tr>
        <w:tc>
          <w:tcPr>
            <w:tcW w:w="1500" w:type="dxa"/>
          </w:tcPr>
          <w:p>
            <w:pPr>
              <w:spacing w:before="10" w:after="10"/>
            </w:pPr>
            <w:r/>
            <w:r>
              <w:rPr>
                <w:sz w:val="16"/>
              </w:rPr>
              <w:t>Brazil</w:t>
            </w:r>
          </w:p>
        </w:tc>
        <w:tc>
          <w:tcPr>
            <w:tcW w:w="650" w:type="dxa"/>
          </w:tcPr>
          <w:p>
            <w:pPr>
              <w:spacing w:before="10" w:after="10"/>
            </w:pPr>
            <w:r/>
            <w:r>
              <w:rPr>
                <w:sz w:val="16"/>
              </w:rPr>
              <w:t>$0.063</w:t>
            </w:r>
          </w:p>
        </w:tc>
        <w:tc>
          <w:tcPr>
            <w:tcW w:w="550" w:type="dxa"/>
          </w:tcPr>
          <w:p>
            <w:pPr>
              <w:jc w:val="right"/>
              <w:spacing w:before="10" w:after="10"/>
            </w:pPr>
            <w:r/>
            <w:r>
              <w:rPr>
                <w:sz w:val="16"/>
              </w:rPr>
              <w:t>27.3</w:t>
            </w:r>
          </w:p>
        </w:tc>
        <w:tc>
          <w:tcPr>
            <w:tcW w:w="500" w:type="dxa"/>
          </w:tcPr>
          <w:p>
            <w:pPr>
              <w:jc w:val="right"/>
              <w:spacing w:before="10" w:after="10"/>
            </w:pPr>
            <w:r/>
            <w:r>
              <w:rPr>
                <w:sz w:val="16"/>
              </w:rPr>
              <w:t>1.26</w:t>
            </w:r>
          </w:p>
        </w:tc>
        <w:tc>
          <w:tcPr>
            <w:tcW w:w="600" w:type="dxa"/>
          </w:tcPr>
          <w:p>
            <w:pPr>
              <w:jc w:val="right"/>
              <w:spacing w:before="10" w:after="10"/>
            </w:pPr>
            <w:r/>
            <w:r>
              <w:rPr>
                <w:sz w:val="16"/>
              </w:rPr>
              <w:t>$10.75</w:t>
            </w:r>
          </w:p>
        </w:tc>
        <w:tc>
          <w:tcPr>
            <w:tcW w:w="650" w:type="dxa"/>
          </w:tcPr>
          <w:p>
            <w:pPr>
              <w:jc w:val="right"/>
              <w:spacing w:before="10" w:after="10"/>
            </w:pPr>
            <w:r/>
            <w:r>
              <w:rPr>
                <w:sz w:val="16"/>
              </w:rPr>
              <w:t>1,200</w:t>
            </w:r>
          </w:p>
        </w:tc>
        <w:tc>
          <w:tcPr>
            <w:tcW w:w="550" w:type="dxa"/>
          </w:tcPr>
          <w:p>
            <w:pPr>
              <w:jc w:val="right"/>
              <w:spacing w:before="10" w:after="10"/>
            </w:pPr>
            <w:r/>
            <w:r>
              <w:rPr>
                <w:sz w:val="16"/>
              </w:rPr>
              <w:t>1.0</w:t>
            </w:r>
          </w:p>
        </w:tc>
        <w:tc>
          <w:tcPr>
            <w:tcW w:w="450" w:type="dxa"/>
          </w:tcPr>
          <w:p>
            <w:pPr>
              <w:jc w:val="right"/>
              <w:spacing w:before="10" w:after="10"/>
            </w:pPr>
            <w:r/>
            <w:r>
              <w:rPr>
                <w:sz w:val="16"/>
              </w:rPr>
              <w:t>0.83</w:t>
            </w:r>
          </w:p>
        </w:tc>
        <w:tc>
          <w:tcPr>
            <w:tcW w:w="650" w:type="dxa"/>
          </w:tcPr>
          <w:p>
            <w:pPr>
              <w:jc w:val="right"/>
              <w:spacing w:before="10" w:after="10"/>
            </w:pPr>
            <w:r/>
            <w:r>
              <w:rPr>
                <w:sz w:val="16"/>
              </w:rPr>
              <w:t>$1.47</w:t>
            </w:r>
          </w:p>
        </w:tc>
        <w:tc>
          <w:tcPr>
            <w:tcW w:w="700" w:type="dxa"/>
          </w:tcPr>
          <w:p>
            <w:pPr>
              <w:jc w:val="right"/>
              <w:spacing w:before="10" w:after="10"/>
            </w:pPr>
            <w:r/>
            <w:r>
              <w:rPr>
                <w:sz w:val="16"/>
              </w:rPr>
              <w:t>$0.063</w:t>
            </w:r>
          </w:p>
        </w:tc>
      </w:tr>
      <w:tr>
        <w:tc>
          <w:tcPr>
            <w:tcW w:w="1500" w:type="dxa"/>
          </w:tcPr>
          <w:p>
            <w:pPr>
              <w:spacing w:before="10" w:after="10"/>
            </w:pPr>
            <w:r/>
            <w:r>
              <w:rPr>
                <w:sz w:val="16"/>
              </w:rPr>
              <w:t>Turkmenistan</w:t>
            </w:r>
          </w:p>
        </w:tc>
        <w:tc>
          <w:tcPr>
            <w:tcW w:w="650" w:type="dxa"/>
          </w:tcPr>
          <w:p>
            <w:pPr>
              <w:spacing w:before="10" w:after="10"/>
            </w:pPr>
            <w:r/>
            <w:r>
              <w:rPr>
                <w:sz w:val="16"/>
              </w:rPr>
              <w:t>$0.010</w:t>
            </w:r>
          </w:p>
        </w:tc>
        <w:tc>
          <w:tcPr>
            <w:tcW w:w="550" w:type="dxa"/>
          </w:tcPr>
          <w:p>
            <w:pPr>
              <w:jc w:val="right"/>
              <w:spacing w:before="10" w:after="10"/>
            </w:pPr>
            <w:r/>
            <w:r>
              <w:rPr>
                <w:sz w:val="16"/>
              </w:rPr>
              <w:t>32.2</w:t>
            </w:r>
          </w:p>
        </w:tc>
        <w:tc>
          <w:tcPr>
            <w:tcW w:w="500" w:type="dxa"/>
          </w:tcPr>
          <w:p>
            <w:pPr>
              <w:jc w:val="right"/>
              <w:spacing w:before="10" w:after="10"/>
            </w:pPr>
            <w:r/>
            <w:r>
              <w:rPr>
                <w:sz w:val="16"/>
              </w:rPr>
              <w:t>1.34</w:t>
            </w:r>
          </w:p>
        </w:tc>
        <w:tc>
          <w:tcPr>
            <w:tcW w:w="600" w:type="dxa"/>
          </w:tcPr>
          <w:p>
            <w:pPr>
              <w:jc w:val="right"/>
              <w:spacing w:before="10" w:after="10"/>
            </w:pPr>
            <w:r/>
            <w:r>
              <w:rPr>
                <w:sz w:val="16"/>
              </w:rPr>
              <w:t>$9.24</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0.67</w:t>
            </w:r>
          </w:p>
        </w:tc>
        <w:tc>
          <w:tcPr>
            <w:tcW w:w="650" w:type="dxa"/>
          </w:tcPr>
          <w:p>
            <w:pPr>
              <w:jc w:val="right"/>
              <w:spacing w:before="10" w:after="10"/>
            </w:pPr>
            <w:r/>
            <w:r>
              <w:rPr>
                <w:sz w:val="16"/>
              </w:rPr>
              <w:t>$1.42</w:t>
            </w:r>
          </w:p>
        </w:tc>
        <w:tc>
          <w:tcPr>
            <w:tcW w:w="700" w:type="dxa"/>
          </w:tcPr>
          <w:p>
            <w:pPr>
              <w:jc w:val="right"/>
              <w:spacing w:before="10" w:after="10"/>
            </w:pPr>
            <w:r>
              <w:rPr>
                <w:b/>
              </w:rPr>
            </w:r>
            <w:r>
              <w:rPr>
                <w:sz w:val="16"/>
                <w:b/>
              </w:rPr>
              <w:t>$0.070</w:t>
            </w:r>
          </w:p>
        </w:tc>
      </w:tr>
      <w:tr>
        <w:tc>
          <w:tcPr>
            <w:tcW w:w="1500" w:type="dxa"/>
          </w:tcPr>
          <w:p>
            <w:pPr>
              <w:spacing w:before="10" w:after="10"/>
            </w:pPr>
            <w:r/>
            <w:r>
              <w:rPr>
                <w:sz w:val="16"/>
              </w:rPr>
              <w:t>Egypt</w:t>
            </w:r>
          </w:p>
        </w:tc>
        <w:tc>
          <w:tcPr>
            <w:tcW w:w="650" w:type="dxa"/>
          </w:tcPr>
          <w:p>
            <w:pPr>
              <w:spacing w:before="10" w:after="10"/>
            </w:pPr>
            <w:r/>
            <w:r>
              <w:rPr>
                <w:sz w:val="16"/>
              </w:rPr>
              <w:t>$0.038</w:t>
            </w:r>
          </w:p>
        </w:tc>
        <w:tc>
          <w:tcPr>
            <w:tcW w:w="550" w:type="dxa"/>
          </w:tcPr>
          <w:p>
            <w:pPr>
              <w:jc w:val="right"/>
              <w:spacing w:before="10" w:after="10"/>
            </w:pPr>
            <w:r/>
            <w:r>
              <w:rPr>
                <w:sz w:val="16"/>
              </w:rPr>
              <w:t>31.7</w:t>
            </w:r>
          </w:p>
        </w:tc>
        <w:tc>
          <w:tcPr>
            <w:tcW w:w="500" w:type="dxa"/>
          </w:tcPr>
          <w:p>
            <w:pPr>
              <w:jc w:val="right"/>
              <w:spacing w:before="10" w:after="10"/>
            </w:pPr>
            <w:r/>
            <w:r>
              <w:rPr>
                <w:sz w:val="16"/>
              </w:rPr>
              <w:t>1.33</w:t>
            </w:r>
          </w:p>
        </w:tc>
        <w:tc>
          <w:tcPr>
            <w:tcW w:w="600" w:type="dxa"/>
          </w:tcPr>
          <w:p>
            <w:pPr>
              <w:jc w:val="right"/>
              <w:spacing w:before="10" w:after="10"/>
            </w:pPr>
            <w:r/>
            <w:r>
              <w:rPr>
                <w:sz w:val="16"/>
              </w:rPr>
              <w:t>$7.63</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450" w:type="dxa"/>
          </w:tcPr>
          <w:p>
            <w:pPr>
              <w:jc w:val="right"/>
              <w:spacing w:before="10" w:after="10"/>
            </w:pPr>
            <w:r/>
            <w:r>
              <w:rPr>
                <w:sz w:val="16"/>
              </w:rPr>
              <w:t>0.76</w:t>
            </w:r>
          </w:p>
        </w:tc>
        <w:tc>
          <w:tcPr>
            <w:tcW w:w="650" w:type="dxa"/>
          </w:tcPr>
          <w:p>
            <w:pPr>
              <w:jc w:val="right"/>
              <w:spacing w:before="10" w:after="10"/>
            </w:pPr>
            <w:r/>
            <w:r>
              <w:rPr>
                <w:sz w:val="16"/>
              </w:rPr>
              <w:t>$1.43</w:t>
            </w:r>
          </w:p>
        </w:tc>
        <w:tc>
          <w:tcPr>
            <w:tcW w:w="700" w:type="dxa"/>
          </w:tcPr>
          <w:p>
            <w:pPr>
              <w:jc w:val="right"/>
              <w:spacing w:before="10" w:after="10"/>
            </w:pPr>
            <w:r>
              <w:rPr>
                <w:b/>
              </w:rPr>
            </w:r>
            <w:r>
              <w:rPr>
                <w:sz w:val="16"/>
                <w:b/>
              </w:rPr>
              <w:t>$0.080</w:t>
            </w:r>
          </w:p>
        </w:tc>
      </w:tr>
      <w:tr>
        <w:tc>
          <w:tcPr>
            <w:tcW w:w="1500" w:type="dxa"/>
          </w:tcPr>
          <w:p>
            <w:pPr>
              <w:spacing w:before="10" w:after="10"/>
            </w:pPr>
            <w:r/>
            <w:r>
              <w:rPr>
                <w:sz w:val="16"/>
              </w:rPr>
              <w:t>Sweden</w:t>
            </w:r>
          </w:p>
        </w:tc>
        <w:tc>
          <w:tcPr>
            <w:tcW w:w="650" w:type="dxa"/>
          </w:tcPr>
          <w:p>
            <w:pPr>
              <w:spacing w:before="10" w:after="10"/>
            </w:pPr>
            <w:r/>
            <w:r>
              <w:rPr>
                <w:sz w:val="16"/>
              </w:rPr>
              <w:t>$0.068</w:t>
            </w:r>
          </w:p>
        </w:tc>
        <w:tc>
          <w:tcPr>
            <w:tcW w:w="550" w:type="dxa"/>
          </w:tcPr>
          <w:p>
            <w:pPr>
              <w:jc w:val="right"/>
              <w:spacing w:before="10" w:after="10"/>
            </w:pPr>
            <w:r/>
            <w:r>
              <w:rPr>
                <w:sz w:val="16"/>
              </w:rPr>
              <w:t>15.2</w:t>
            </w:r>
          </w:p>
        </w:tc>
        <w:tc>
          <w:tcPr>
            <w:tcW w:w="500" w:type="dxa"/>
          </w:tcPr>
          <w:p>
            <w:pPr>
              <w:jc w:val="right"/>
              <w:spacing w:before="10" w:after="10"/>
            </w:pPr>
            <w:r/>
            <w:r>
              <w:rPr>
                <w:sz w:val="16"/>
              </w:rPr>
              <w:t>1.08</w:t>
            </w:r>
          </w:p>
        </w:tc>
        <w:tc>
          <w:tcPr>
            <w:tcW w:w="600" w:type="dxa"/>
          </w:tcPr>
          <w:p>
            <w:pPr>
              <w:jc w:val="right"/>
              <w:spacing w:before="10" w:after="10"/>
            </w:pPr>
            <w:r/>
            <w:r>
              <w:rPr>
                <w:sz w:val="16"/>
              </w:rPr>
              <w:t>$12.29</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1.00</w:t>
            </w:r>
          </w:p>
        </w:tc>
        <w:tc>
          <w:tcPr>
            <w:tcW w:w="650" w:type="dxa"/>
          </w:tcPr>
          <w:p>
            <w:pPr>
              <w:jc w:val="right"/>
              <w:spacing w:before="10" w:after="10"/>
            </w:pPr>
            <w:r/>
            <w:r>
              <w:rPr>
                <w:sz w:val="16"/>
              </w:rPr>
              <w:t>$1.48</w:t>
            </w:r>
          </w:p>
        </w:tc>
        <w:tc>
          <w:tcPr>
            <w:tcW w:w="700" w:type="dxa"/>
          </w:tcPr>
          <w:p>
            <w:pPr>
              <w:jc w:val="right"/>
              <w:spacing w:before="10" w:after="10"/>
            </w:pPr>
            <w:r/>
            <w:r>
              <w:rPr>
                <w:sz w:val="16"/>
              </w:rPr>
              <w:t>$0.068</w:t>
            </w:r>
          </w:p>
        </w:tc>
      </w:tr>
      <w:tr>
        <w:tc>
          <w:tcPr>
            <w:tcW w:w="1500" w:type="dxa"/>
          </w:tcPr>
          <w:p>
            <w:pPr>
              <w:spacing w:before="10" w:after="10"/>
            </w:pPr>
            <w:r/>
            <w:r>
              <w:rPr>
                <w:sz w:val="16"/>
              </w:rPr>
              <w:t>India</w:t>
            </w:r>
          </w:p>
        </w:tc>
        <w:tc>
          <w:tcPr>
            <w:tcW w:w="650" w:type="dxa"/>
          </w:tcPr>
          <w:p>
            <w:pPr>
              <w:spacing w:before="10" w:after="10"/>
            </w:pPr>
            <w:r/>
            <w:r>
              <w:rPr>
                <w:sz w:val="16"/>
              </w:rPr>
              <w:t>$0.090</w:t>
            </w:r>
          </w:p>
        </w:tc>
        <w:tc>
          <w:tcPr>
            <w:tcW w:w="550" w:type="dxa"/>
          </w:tcPr>
          <w:p>
            <w:pPr>
              <w:jc w:val="right"/>
              <w:spacing w:before="10" w:after="10"/>
            </w:pPr>
            <w:r/>
            <w:r>
              <w:rPr>
                <w:sz w:val="16"/>
              </w:rPr>
              <w:t>30.2</w:t>
            </w:r>
          </w:p>
        </w:tc>
        <w:tc>
          <w:tcPr>
            <w:tcW w:w="500" w:type="dxa"/>
          </w:tcPr>
          <w:p>
            <w:pPr>
              <w:jc w:val="right"/>
              <w:spacing w:before="10" w:after="10"/>
            </w:pPr>
            <w:r/>
            <w:r>
              <w:rPr>
                <w:sz w:val="16"/>
              </w:rPr>
              <w:t>1.31</w:t>
            </w:r>
          </w:p>
        </w:tc>
        <w:tc>
          <w:tcPr>
            <w:tcW w:w="600" w:type="dxa"/>
          </w:tcPr>
          <w:p>
            <w:pPr>
              <w:jc w:val="right"/>
              <w:spacing w:before="10" w:after="10"/>
            </w:pPr>
            <w:r/>
            <w:r>
              <w:rPr>
                <w:sz w:val="16"/>
              </w:rPr>
              <w:t>$6.64</w:t>
            </w:r>
          </w:p>
        </w:tc>
        <w:tc>
          <w:tcPr>
            <w:tcW w:w="650" w:type="dxa"/>
          </w:tcPr>
          <w:p>
            <w:pPr>
              <w:jc w:val="right"/>
              <w:spacing w:before="10" w:after="10"/>
            </w:pPr>
            <w:r/>
            <w:r>
              <w:rPr>
                <w:sz w:val="16"/>
              </w:rPr>
              <w:t>3,600</w:t>
            </w:r>
          </w:p>
        </w:tc>
        <w:tc>
          <w:tcPr>
            <w:tcW w:w="550" w:type="dxa"/>
          </w:tcPr>
          <w:p>
            <w:pPr>
              <w:jc w:val="right"/>
              <w:spacing w:before="10" w:after="10"/>
            </w:pPr>
            <w:r/>
            <w:r>
              <w:rPr>
                <w:sz w:val="16"/>
              </w:rPr>
              <w:t>2.9</w:t>
            </w:r>
          </w:p>
        </w:tc>
        <w:tc>
          <w:tcPr>
            <w:tcW w:w="450" w:type="dxa"/>
          </w:tcPr>
          <w:p>
            <w:pPr>
              <w:jc w:val="right"/>
              <w:spacing w:before="10" w:after="10"/>
            </w:pPr>
            <w:r/>
            <w:r>
              <w:rPr>
                <w:sz w:val="16"/>
              </w:rPr>
              <w:t>0.83</w:t>
            </w:r>
          </w:p>
        </w:tc>
        <w:tc>
          <w:tcPr>
            <w:tcW w:w="650" w:type="dxa"/>
          </w:tcPr>
          <w:p>
            <w:pPr>
              <w:jc w:val="right"/>
              <w:spacing w:before="10" w:after="10"/>
            </w:pPr>
            <w:r/>
            <w:r>
              <w:rPr>
                <w:sz w:val="16"/>
              </w:rPr>
              <w:t>$1.48</w:t>
            </w:r>
          </w:p>
        </w:tc>
        <w:tc>
          <w:tcPr>
            <w:tcW w:w="700" w:type="dxa"/>
          </w:tcPr>
          <w:p>
            <w:pPr>
              <w:jc w:val="right"/>
              <w:spacing w:before="10" w:after="10"/>
            </w:pPr>
            <w:r/>
            <w:r>
              <w:rPr>
                <w:sz w:val="16"/>
              </w:rPr>
              <w:t>$0.090</w:t>
            </w:r>
          </w:p>
        </w:tc>
      </w:tr>
      <w:tr>
        <w:tc>
          <w:tcPr>
            <w:tcW w:w="1500" w:type="dxa"/>
          </w:tcPr>
          <w:p>
            <w:pPr>
              <w:spacing w:before="10" w:after="10"/>
            </w:pPr>
            <w:r/>
            <w:r>
              <w:rPr>
                <w:sz w:val="16"/>
              </w:rPr>
              <w:t>Indonesia</w:t>
            </w:r>
          </w:p>
        </w:tc>
        <w:tc>
          <w:tcPr>
            <w:tcW w:w="650" w:type="dxa"/>
          </w:tcPr>
          <w:p>
            <w:pPr>
              <w:spacing w:before="10" w:after="10"/>
            </w:pPr>
            <w:r/>
            <w:r>
              <w:rPr>
                <w:sz w:val="16"/>
              </w:rPr>
              <w:t>$0.067</w:t>
            </w:r>
          </w:p>
        </w:tc>
        <w:tc>
          <w:tcPr>
            <w:tcW w:w="550" w:type="dxa"/>
          </w:tcPr>
          <w:p>
            <w:pPr>
              <w:jc w:val="right"/>
              <w:spacing w:before="10" w:after="10"/>
            </w:pPr>
            <w:r/>
            <w:r>
              <w:rPr>
                <w:sz w:val="16"/>
              </w:rPr>
              <w:t>26.4</w:t>
            </w:r>
          </w:p>
        </w:tc>
        <w:tc>
          <w:tcPr>
            <w:tcW w:w="500" w:type="dxa"/>
          </w:tcPr>
          <w:p>
            <w:pPr>
              <w:jc w:val="right"/>
              <w:spacing w:before="10" w:after="10"/>
            </w:pPr>
            <w:r/>
            <w:r>
              <w:rPr>
                <w:sz w:val="16"/>
              </w:rPr>
              <w:t>1.25</w:t>
            </w:r>
          </w:p>
        </w:tc>
        <w:tc>
          <w:tcPr>
            <w:tcW w:w="600" w:type="dxa"/>
          </w:tcPr>
          <w:p>
            <w:pPr>
              <w:jc w:val="right"/>
              <w:spacing w:before="10" w:after="10"/>
            </w:pPr>
            <w:r/>
            <w:r>
              <w:rPr>
                <w:sz w:val="16"/>
              </w:rPr>
              <w:t>$11.21</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0.83</w:t>
            </w:r>
          </w:p>
        </w:tc>
        <w:tc>
          <w:tcPr>
            <w:tcW w:w="650" w:type="dxa"/>
          </w:tcPr>
          <w:p>
            <w:pPr>
              <w:jc w:val="right"/>
              <w:spacing w:before="10" w:after="10"/>
            </w:pPr>
            <w:r/>
            <w:r>
              <w:rPr>
                <w:sz w:val="16"/>
              </w:rPr>
              <w:t>$1.48</w:t>
            </w:r>
          </w:p>
        </w:tc>
        <w:tc>
          <w:tcPr>
            <w:tcW w:w="700" w:type="dxa"/>
          </w:tcPr>
          <w:p>
            <w:pPr>
              <w:jc w:val="right"/>
              <w:spacing w:before="10" w:after="10"/>
            </w:pPr>
            <w:r/>
            <w:r>
              <w:rPr>
                <w:sz w:val="16"/>
              </w:rPr>
              <w:t>$0.067</w:t>
            </w:r>
          </w:p>
        </w:tc>
      </w:tr>
      <w:tr>
        <w:tc>
          <w:tcPr>
            <w:tcW w:w="1500" w:type="dxa"/>
          </w:tcPr>
          <w:p>
            <w:pPr>
              <w:spacing w:before="10" w:after="10"/>
            </w:pPr>
            <w:r/>
            <w:r>
              <w:rPr>
                <w:sz w:val="16"/>
              </w:rPr>
              <w:t>Kazakhstan</w:t>
            </w:r>
          </w:p>
        </w:tc>
        <w:tc>
          <w:tcPr>
            <w:tcW w:w="650" w:type="dxa"/>
          </w:tcPr>
          <w:p>
            <w:pPr>
              <w:spacing w:before="10" w:after="10"/>
            </w:pPr>
            <w:r/>
            <w:r>
              <w:rPr>
                <w:sz w:val="16"/>
              </w:rPr>
              <w:t>$0.066</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00" w:type="dxa"/>
          </w:tcPr>
          <w:p>
            <w:pPr>
              <w:jc w:val="right"/>
              <w:spacing w:before="10" w:after="10"/>
            </w:pPr>
            <w:r/>
            <w:r>
              <w:rPr>
                <w:sz w:val="16"/>
              </w:rPr>
              <w:t>$9.53</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0.77</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$0.085</w:t>
            </w:r>
          </w:p>
        </w:tc>
      </w:tr>
      <w:tr>
        <w:tc>
          <w:tcPr>
            <w:tcW w:w="1500" w:type="dxa"/>
          </w:tcPr>
          <w:p>
            <w:pPr>
              <w:spacing w:before="10" w:after="10"/>
            </w:pPr>
            <w:r/>
            <w:r>
              <w:rPr>
                <w:sz w:val="16"/>
              </w:rPr>
              <w:t>Iran</w:t>
            </w:r>
          </w:p>
        </w:tc>
        <w:tc>
          <w:tcPr>
            <w:tcW w:w="650" w:type="dxa"/>
          </w:tcPr>
          <w:p>
            <w:pPr>
              <w:spacing w:before="10" w:after="10"/>
            </w:pPr>
            <w:r/>
            <w:r>
              <w:rPr>
                <w:sz w:val="16"/>
              </w:rPr>
              <w:t>$0.005</w:t>
            </w:r>
          </w:p>
        </w:tc>
        <w:tc>
          <w:tcPr>
            <w:tcW w:w="550" w:type="dxa"/>
          </w:tcPr>
          <w:p>
            <w:pPr>
              <w:jc w:val="right"/>
              <w:spacing w:before="10" w:after="10"/>
            </w:pPr>
            <w:r/>
            <w:r>
              <w:rPr>
                <w:sz w:val="16"/>
              </w:rPr>
              <w:t>31.2</w:t>
            </w:r>
          </w:p>
        </w:tc>
        <w:tc>
          <w:tcPr>
            <w:tcW w:w="500" w:type="dxa"/>
          </w:tcPr>
          <w:p>
            <w:pPr>
              <w:jc w:val="right"/>
              <w:spacing w:before="10" w:after="10"/>
            </w:pPr>
            <w:r/>
            <w:r>
              <w:rPr>
                <w:sz w:val="16"/>
              </w:rPr>
              <w:t>1.32</w:t>
            </w:r>
          </w:p>
        </w:tc>
        <w:tc>
          <w:tcPr>
            <w:tcW w:w="600" w:type="dxa"/>
          </w:tcPr>
          <w:p>
            <w:pPr>
              <w:jc w:val="right"/>
              <w:spacing w:before="10" w:after="10"/>
            </w:pPr>
            <w:r/>
            <w:r>
              <w:rPr>
                <w:sz w:val="16"/>
              </w:rPr>
              <w:t>$8.50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0.70</w:t>
            </w:r>
          </w:p>
        </w:tc>
        <w:tc>
          <w:tcPr>
            <w:tcW w:w="650" w:type="dxa"/>
          </w:tcPr>
          <w:p>
            <w:pPr>
              <w:jc w:val="right"/>
              <w:spacing w:before="10" w:after="10"/>
            </w:pPr>
            <w:r/>
            <w:r>
              <w:rPr>
                <w:sz w:val="16"/>
              </w:rPr>
              <w:t>$1.41</w:t>
            </w:r>
          </w:p>
        </w:tc>
        <w:tc>
          <w:tcPr>
            <w:tcW w:w="700" w:type="dxa"/>
          </w:tcPr>
          <w:p>
            <w:pPr>
              <w:jc w:val="right"/>
              <w:spacing w:before="10" w:after="10"/>
            </w:pPr>
            <w:r>
              <w:rPr>
                <w:b/>
              </w:rPr>
            </w:r>
            <w:r>
              <w:rPr>
                <w:sz w:val="16"/>
                <w:b/>
              </w:rPr>
              <w:t>$0.085</w:t>
            </w:r>
          </w:p>
        </w:tc>
      </w:tr>
      <w:tr>
        <w:tc>
          <w:tcPr>
            <w:tcW w:w="1500" w:type="dxa"/>
          </w:tcPr>
          <w:p>
            <w:pPr>
              <w:spacing w:before="10" w:after="10"/>
            </w:pPr>
            <w:r/>
            <w:r>
              <w:rPr>
                <w:sz w:val="16"/>
              </w:rPr>
              <w:t>Georgia</w:t>
            </w:r>
          </w:p>
        </w:tc>
        <w:tc>
          <w:tcPr>
            <w:tcW w:w="650" w:type="dxa"/>
          </w:tcPr>
          <w:p>
            <w:pPr>
              <w:spacing w:before="10" w:after="10"/>
            </w:pPr>
            <w:r/>
            <w:r>
              <w:rPr>
                <w:sz w:val="16"/>
              </w:rPr>
              <w:t>$0.091</w:t>
            </w:r>
          </w:p>
        </w:tc>
        <w:tc>
          <w:tcPr>
            <w:tcW w:w="550" w:type="dxa"/>
          </w:tcPr>
          <w:p>
            <w:pPr>
              <w:jc w:val="right"/>
              <w:spacing w:before="10" w:after="10"/>
            </w:pPr>
            <w:r/>
            <w:r>
              <w:rPr>
                <w:sz w:val="16"/>
              </w:rPr>
              <w:t>19.4</w:t>
            </w:r>
          </w:p>
        </w:tc>
        <w:tc>
          <w:tcPr>
            <w:tcW w:w="500" w:type="dxa"/>
          </w:tcPr>
          <w:p>
            <w:pPr>
              <w:jc w:val="right"/>
              <w:spacing w:before="10" w:after="10"/>
            </w:pPr>
            <w:r/>
            <w:r>
              <w:rPr>
                <w:sz w:val="16"/>
              </w:rPr>
              <w:t>1.15</w:t>
            </w:r>
          </w:p>
        </w:tc>
        <w:tc>
          <w:tcPr>
            <w:tcW w:w="600" w:type="dxa"/>
          </w:tcPr>
          <w:p>
            <w:pPr>
              <w:jc w:val="right"/>
              <w:spacing w:before="10" w:after="10"/>
            </w:pPr>
            <w:r/>
            <w:r>
              <w:rPr>
                <w:sz w:val="16"/>
              </w:rPr>
              <w:t>$9.58</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450" w:type="dxa"/>
          </w:tcPr>
          <w:p>
            <w:pPr>
              <w:jc w:val="right"/>
              <w:spacing w:before="10" w:after="10"/>
            </w:pPr>
            <w:r/>
            <w:r>
              <w:rPr>
                <w:sz w:val="16"/>
              </w:rPr>
              <w:t>0.86</w:t>
            </w:r>
          </w:p>
        </w:tc>
        <w:tc>
          <w:tcPr>
            <w:tcW w:w="650" w:type="dxa"/>
          </w:tcPr>
          <w:p>
            <w:pPr>
              <w:jc w:val="right"/>
              <w:spacing w:before="10" w:after="10"/>
            </w:pPr>
            <w:r/>
            <w:r>
              <w:rPr>
                <w:sz w:val="16"/>
              </w:rPr>
              <w:t>$1.48</w:t>
            </w:r>
          </w:p>
        </w:tc>
        <w:tc>
          <w:tcPr>
            <w:tcW w:w="700" w:type="dxa"/>
          </w:tcPr>
          <w:p>
            <w:pPr>
              <w:jc w:val="right"/>
              <w:spacing w:before="10" w:after="10"/>
            </w:pPr>
            <w:r/>
            <w:r>
              <w:rPr>
                <w:sz w:val="16"/>
              </w:rPr>
              <w:t>$0.091</w:t>
            </w:r>
          </w:p>
        </w:tc>
      </w:tr>
      <w:tr>
        <w:tc>
          <w:tcPr>
            <w:tcW w:w="1500" w:type="dxa"/>
          </w:tcPr>
          <w:p>
            <w:pPr>
              <w:spacing w:before="10" w:after="10"/>
            </w:pPr>
            <w:r/>
            <w:r>
              <w:rPr>
                <w:sz w:val="16"/>
              </w:rPr>
              <w:t>United States of Am.</w:t>
            </w:r>
          </w:p>
        </w:tc>
        <w:tc>
          <w:tcPr>
            <w:tcW w:w="650" w:type="dxa"/>
          </w:tcPr>
          <w:p>
            <w:pPr>
              <w:spacing w:before="10" w:after="10"/>
            </w:pPr>
            <w:r/>
            <w:r>
              <w:rPr>
                <w:sz w:val="16"/>
              </w:rPr>
              <w:t>$0.081</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00" w:type="dxa"/>
          </w:tcPr>
          <w:p>
            <w:pPr>
              <w:jc w:val="right"/>
              <w:spacing w:before="10" w:after="10"/>
            </w:pPr>
            <w:r/>
            <w:r>
              <w:rPr>
                <w:sz w:val="16"/>
              </w:rPr>
              <w:t>$10.78</w:t>
            </w:r>
          </w:p>
        </w:tc>
        <w:tc>
          <w:tcPr>
            <w:tcW w:w="650" w:type="dxa"/>
          </w:tcPr>
          <w:p>
            <w:pPr>
              <w:jc w:val="right"/>
              <w:spacing w:before="10" w:after="10"/>
            </w:pPr>
            <w:r/>
            <w:r>
              <w:rPr>
                <w:sz w:val="16"/>
              </w:rPr>
              <w:t>53,700</w:t>
            </w:r>
          </w:p>
        </w:tc>
        <w:tc>
          <w:tcPr>
            <w:tcW w:w="550" w:type="dxa"/>
          </w:tcPr>
          <w:p>
            <w:pPr>
              <w:jc w:val="right"/>
              <w:spacing w:before="10" w:after="10"/>
            </w:pPr>
            <w:r/>
            <w:r>
              <w:rPr>
                <w:sz w:val="16"/>
              </w:rPr>
              <w:t>43.4</w:t>
            </w:r>
          </w:p>
        </w:tc>
        <w:tc>
          <w:tcPr>
            <w:tcW w:w="450" w:type="dxa"/>
          </w:tcPr>
          <w:p>
            <w:pPr>
              <w:jc w:val="right"/>
              <w:spacing w:before="10" w:after="10"/>
            </w:pPr>
            <w:r/>
            <w:r>
              <w:rPr>
                <w:sz w:val="16"/>
              </w:rPr>
              <w:t>0.97</w:t>
            </w:r>
          </w:p>
        </w:tc>
        <w:tc>
          <w:tcPr>
            <w:tcW w:w="650" w:type="dxa"/>
          </w:tcPr>
          <w:p>
            <w:pPr>
              <w:jc w:val="right"/>
              <w:spacing w:before="10" w:after="10"/>
            </w:pPr>
            <w:r/>
            <w:r>
              <w:rPr>
                <w:sz w:val="16"/>
              </w:rPr>
              <w:t>$1.48</w:t>
            </w:r>
          </w:p>
        </w:tc>
        <w:tc>
          <w:tcPr>
            <w:tcW w:w="700" w:type="dxa"/>
          </w:tcPr>
          <w:p>
            <w:pPr>
              <w:jc w:val="right"/>
              <w:spacing w:before="10" w:after="10"/>
            </w:pPr>
            <w:r/>
            <w:r>
              <w:rPr>
                <w:sz w:val="16"/>
              </w:rPr>
              <w:t>$0.081</w:t>
            </w:r>
          </w:p>
        </w:tc>
      </w:tr>
      <w:tr>
        <w:tc>
          <w:tcPr>
            <w:tcW w:w="1500" w:type="dxa"/>
          </w:tcPr>
          <w:p>
            <w:pPr>
              <w:spacing w:before="10" w:after="10"/>
            </w:pPr>
            <w:r/>
            <w:r>
              <w:rPr>
                <w:sz w:val="16"/>
              </w:rPr>
              <w:t>Uzbekistan</w:t>
            </w:r>
          </w:p>
        </w:tc>
        <w:tc>
          <w:tcPr>
            <w:tcW w:w="650" w:type="dxa"/>
          </w:tcPr>
          <w:p>
            <w:pPr>
              <w:spacing w:before="10" w:after="10"/>
            </w:pPr>
            <w:r/>
            <w:r>
              <w:rPr>
                <w:sz w:val="16"/>
              </w:rPr>
              <w:t>$0.071</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00" w:type="dxa"/>
          </w:tcPr>
          <w:p>
            <w:pPr>
              <w:jc w:val="right"/>
              <w:spacing w:before="10" w:after="10"/>
            </w:pPr>
            <w:r/>
            <w:r>
              <w:rPr>
                <w:sz w:val="16"/>
              </w:rPr>
              <w:t>$8.37</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450" w:type="dxa"/>
          </w:tcPr>
          <w:p>
            <w:pPr>
              <w:jc w:val="right"/>
              <w:spacing w:before="10" w:after="10"/>
            </w:pPr>
            <w:r/>
            <w:r>
              <w:rPr>
                <w:sz w:val="16"/>
              </w:rPr>
              <w:t>0.74</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$0.090</w:t>
            </w:r>
          </w:p>
        </w:tc>
      </w:tr>
      <w:tr>
        <w:tc>
          <w:tcPr>
            <w:tcW w:w="1500" w:type="dxa"/>
          </w:tcPr>
          <w:p>
            <w:pPr>
              <w:spacing w:before="10" w:after="10"/>
            </w:pPr>
            <w:r/>
            <w:r>
              <w:rPr>
                <w:sz w:val="16"/>
              </w:rPr>
              <w:t>Kenya</w:t>
            </w:r>
          </w:p>
        </w:tc>
        <w:tc>
          <w:tcPr>
            <w:tcW w:w="650" w:type="dxa"/>
          </w:tcPr>
          <w:p>
            <w:pPr>
              <w:spacing w:before="10" w:after="10"/>
            </w:pPr>
            <w:r/>
            <w:r>
              <w:rPr>
                <w:sz w:val="16"/>
              </w:rPr>
              <w:t>$0.088</w:t>
            </w:r>
          </w:p>
        </w:tc>
        <w:tc>
          <w:tcPr>
            <w:tcW w:w="550" w:type="dxa"/>
          </w:tcPr>
          <w:p>
            <w:pPr>
              <w:jc w:val="right"/>
              <w:spacing w:before="10" w:after="10"/>
            </w:pPr>
            <w:r/>
            <w:r>
              <w:rPr>
                <w:sz w:val="16"/>
              </w:rPr>
              <w:t>27.4</w:t>
            </w:r>
          </w:p>
        </w:tc>
        <w:tc>
          <w:tcPr>
            <w:tcW w:w="500" w:type="dxa"/>
          </w:tcPr>
          <w:p>
            <w:pPr>
              <w:jc w:val="right"/>
              <w:spacing w:before="10" w:after="10"/>
            </w:pPr>
            <w:r/>
            <w:r>
              <w:rPr>
                <w:sz w:val="16"/>
              </w:rPr>
              <w:t>1.26</w:t>
            </w:r>
          </w:p>
        </w:tc>
        <w:tc>
          <w:tcPr>
            <w:tcW w:w="600" w:type="dxa"/>
          </w:tcPr>
          <w:p>
            <w:pPr>
              <w:jc w:val="right"/>
              <w:spacing w:before="10" w:after="10"/>
            </w:pPr>
            <w:r/>
            <w:r>
              <w:rPr>
                <w:sz w:val="16"/>
              </w:rPr>
              <w:t>$9.74</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450" w:type="dxa"/>
          </w:tcPr>
          <w:p>
            <w:pPr>
              <w:jc w:val="right"/>
              <w:spacing w:before="10" w:after="10"/>
            </w:pPr>
            <w:r/>
            <w:r>
              <w:rPr>
                <w:sz w:val="16"/>
              </w:rPr>
              <w:t>0.80</w:t>
            </w:r>
          </w:p>
        </w:tc>
        <w:tc>
          <w:tcPr>
            <w:tcW w:w="650" w:type="dxa"/>
          </w:tcPr>
          <w:p>
            <w:pPr>
              <w:jc w:val="right"/>
              <w:spacing w:before="10" w:after="10"/>
            </w:pPr>
            <w:r/>
            <w:r>
              <w:rPr>
                <w:sz w:val="16"/>
              </w:rPr>
              <w:t>$1.49</w:t>
            </w:r>
          </w:p>
        </w:tc>
        <w:tc>
          <w:tcPr>
            <w:tcW w:w="700" w:type="dxa"/>
          </w:tcPr>
          <w:p>
            <w:pPr>
              <w:jc w:val="right"/>
              <w:spacing w:before="10" w:after="10"/>
            </w:pPr>
            <w:r/>
            <w:r>
              <w:rPr>
                <w:sz w:val="16"/>
              </w:rPr>
              <w:t>$0.088</w:t>
            </w:r>
          </w:p>
        </w:tc>
      </w:tr>
      <w:tr>
        <w:tc>
          <w:tcPr>
            <w:tcW w:w="1500" w:type="dxa"/>
          </w:tcPr>
          <w:p>
            <w:pPr>
              <w:spacing w:before="10" w:after="10"/>
            </w:pPr>
            <w:r/>
            <w:r>
              <w:rPr>
                <w:sz w:val="16"/>
              </w:rPr>
              <w:t>Turkey</w:t>
            </w:r>
          </w:p>
        </w:tc>
        <w:tc>
          <w:tcPr>
            <w:tcW w:w="650" w:type="dxa"/>
          </w:tcPr>
          <w:p>
            <w:pPr>
              <w:spacing w:before="10" w:after="10"/>
            </w:pPr>
            <w:r/>
            <w:r>
              <w:rPr>
                <w:sz w:val="16"/>
              </w:rPr>
              <w:t>$0.086</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00" w:type="dxa"/>
          </w:tcPr>
          <w:p>
            <w:pPr>
              <w:jc w:val="right"/>
              <w:spacing w:before="10" w:after="10"/>
            </w:pPr>
            <w:r/>
            <w:r>
              <w:rPr>
                <w:sz w:val="16"/>
              </w:rPr>
              <w:t>$10.57</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450" w:type="dxa"/>
          </w:tcPr>
          <w:p>
            <w:pPr>
              <w:jc w:val="right"/>
              <w:spacing w:before="10" w:after="10"/>
            </w:pPr>
            <w:r/>
            <w:r>
              <w:rPr>
                <w:sz w:val="16"/>
              </w:rPr>
              <w:t>0.84</w:t>
            </w:r>
          </w:p>
        </w:tc>
        <w:tc>
          <w:tcPr>
            <w:tcW w:w="650" w:type="dxa"/>
          </w:tcPr>
          <w:p>
            <w:pPr>
              <w:jc w:val="right"/>
              <w:spacing w:before="10" w:after="10"/>
            </w:pPr>
            <w:r/>
            <w:r>
              <w:rPr>
                <w:sz w:val="16"/>
              </w:rPr>
              <w:t>$1.49</w:t>
            </w:r>
          </w:p>
        </w:tc>
        <w:tc>
          <w:tcPr>
            <w:tcW w:w="700" w:type="dxa"/>
          </w:tcPr>
          <w:p>
            <w:pPr>
              <w:jc w:val="right"/>
              <w:spacing w:before="10" w:after="10"/>
            </w:pPr>
            <w:r/>
            <w:r>
              <w:rPr>
                <w:sz w:val="16"/>
              </w:rPr>
              <w:t>$0.086</w:t>
            </w:r>
          </w:p>
        </w:tc>
      </w:tr>
      <w:tr>
        <w:tc>
          <w:tcPr>
            <w:tcW w:w="1500" w:type="dxa"/>
          </w:tcPr>
          <w:p>
            <w:pPr>
              <w:spacing w:before="10" w:after="10"/>
            </w:pPr>
            <w:r/>
            <w:r>
              <w:rPr>
                <w:sz w:val="16"/>
              </w:rPr>
              <w:t>Bosnia and Herz.</w:t>
            </w:r>
          </w:p>
        </w:tc>
        <w:tc>
          <w:tcPr>
            <w:tcW w:w="650" w:type="dxa"/>
          </w:tcPr>
          <w:p>
            <w:pPr>
              <w:spacing w:before="10" w:after="10"/>
            </w:pPr>
            <w:r/>
            <w:r>
              <w:rPr>
                <w:sz w:val="16"/>
              </w:rPr>
              <w:t>$0.099</w:t>
            </w:r>
          </w:p>
        </w:tc>
        <w:tc>
          <w:tcPr>
            <w:tcW w:w="550" w:type="dxa"/>
          </w:tcPr>
          <w:p>
            <w:pPr>
              <w:jc w:val="right"/>
              <w:spacing w:before="10" w:after="10"/>
            </w:pPr>
            <w:r/>
            <w:r>
              <w:rPr>
                <w:sz w:val="16"/>
              </w:rPr>
              <w:t>21.6</w:t>
            </w:r>
          </w:p>
        </w:tc>
        <w:tc>
          <w:tcPr>
            <w:tcW w:w="500" w:type="dxa"/>
          </w:tcPr>
          <w:p>
            <w:pPr>
              <w:jc w:val="right"/>
              <w:spacing w:before="10" w:after="10"/>
            </w:pPr>
            <w:r/>
            <w:r>
              <w:rPr>
                <w:sz w:val="16"/>
              </w:rPr>
              <w:t>1.18</w:t>
            </w:r>
          </w:p>
        </w:tc>
        <w:tc>
          <w:tcPr>
            <w:tcW w:w="600" w:type="dxa"/>
          </w:tcPr>
          <w:p>
            <w:pPr>
              <w:jc w:val="right"/>
              <w:spacing w:before="10" w:after="10"/>
            </w:pPr>
            <w:r/>
            <w:r>
              <w:rPr>
                <w:sz w:val="16"/>
              </w:rPr>
              <w:t>$9.17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0.77</w:t>
            </w:r>
          </w:p>
        </w:tc>
        <w:tc>
          <w:tcPr>
            <w:tcW w:w="650" w:type="dxa"/>
          </w:tcPr>
          <w:p>
            <w:pPr>
              <w:jc w:val="right"/>
              <w:spacing w:before="10" w:after="10"/>
            </w:pPr>
            <w:r/>
            <w:r>
              <w:rPr>
                <w:sz w:val="16"/>
              </w:rPr>
              <w:t>$1.49</w:t>
            </w:r>
          </w:p>
        </w:tc>
        <w:tc>
          <w:tcPr>
            <w:tcW w:w="700" w:type="dxa"/>
          </w:tcPr>
          <w:p>
            <w:pPr>
              <w:jc w:val="right"/>
              <w:spacing w:before="10" w:after="10"/>
            </w:pPr>
            <w:r/>
            <w:r>
              <w:rPr>
                <w:sz w:val="16"/>
              </w:rPr>
              <w:t>$0.099</w:t>
            </w:r>
          </w:p>
        </w:tc>
      </w:tr>
      <w:tr>
        <w:tc>
          <w:tcPr>
            <w:tcW w:w="1500" w:type="dxa"/>
          </w:tcPr>
          <w:p>
            <w:pPr>
              <w:spacing w:before="10" w:after="10"/>
            </w:pPr>
            <w:r/>
            <w:r>
              <w:rPr>
                <w:sz w:val="16"/>
              </w:rPr>
              <w:t>Nigeria</w:t>
            </w:r>
          </w:p>
        </w:tc>
        <w:tc>
          <w:tcPr>
            <w:tcW w:w="650" w:type="dxa"/>
          </w:tcPr>
          <w:p>
            <w:pPr>
              <w:spacing w:before="10" w:after="10"/>
            </w:pPr>
            <w:r/>
            <w:r>
              <w:rPr>
                <w:sz w:val="16"/>
              </w:rPr>
              <w:t>$0.042</w:t>
            </w:r>
          </w:p>
        </w:tc>
        <w:tc>
          <w:tcPr>
            <w:tcW w:w="550" w:type="dxa"/>
          </w:tcPr>
          <w:p>
            <w:pPr>
              <w:jc w:val="right"/>
              <w:spacing w:before="10" w:after="10"/>
            </w:pPr>
            <w:r/>
            <w:r>
              <w:rPr>
                <w:sz w:val="16"/>
              </w:rPr>
              <w:t>31.4</w:t>
            </w:r>
          </w:p>
        </w:tc>
        <w:tc>
          <w:tcPr>
            <w:tcW w:w="500" w:type="dxa"/>
          </w:tcPr>
          <w:p>
            <w:pPr>
              <w:jc w:val="right"/>
              <w:spacing w:before="10" w:after="10"/>
            </w:pPr>
            <w:r/>
            <w:r>
              <w:rPr>
                <w:sz w:val="16"/>
              </w:rPr>
              <w:t>1.33</w:t>
            </w:r>
          </w:p>
        </w:tc>
        <w:tc>
          <w:tcPr>
            <w:tcW w:w="600" w:type="dxa"/>
          </w:tcPr>
          <w:p>
            <w:pPr>
              <w:jc w:val="right"/>
              <w:spacing w:before="10" w:after="10"/>
            </w:pPr>
            <w:r/>
            <w:r>
              <w:rPr>
                <w:sz w:val="16"/>
              </w:rPr>
              <w:t>$10.50</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0.73</w:t>
            </w:r>
          </w:p>
        </w:tc>
        <w:tc>
          <w:tcPr>
            <w:tcW w:w="650" w:type="dxa"/>
          </w:tcPr>
          <w:p>
            <w:pPr>
              <w:jc w:val="right"/>
              <w:spacing w:before="10" w:after="10"/>
            </w:pPr>
            <w:r/>
            <w:r>
              <w:rPr>
                <w:sz w:val="16"/>
              </w:rPr>
              <w:t>$1.45</w:t>
            </w:r>
          </w:p>
        </w:tc>
        <w:tc>
          <w:tcPr>
            <w:tcW w:w="700" w:type="dxa"/>
          </w:tcPr>
          <w:p>
            <w:pPr>
              <w:jc w:val="right"/>
              <w:spacing w:before="10" w:after="10"/>
            </w:pPr>
            <w:r>
              <w:rPr>
                <w:b/>
              </w:rPr>
            </w:r>
            <w:r>
              <w:rPr>
                <w:sz w:val="16"/>
                <w:b/>
              </w:rPr>
              <w:t>$0.080</w:t>
            </w:r>
          </w:p>
        </w:tc>
      </w:tr>
      <w:tr>
        <w:tc>
          <w:tcPr>
            <w:tcW w:w="1500" w:type="dxa"/>
          </w:tcPr>
          <w:p>
            <w:pPr>
              <w:spacing w:before="10" w:after="10"/>
            </w:pPr>
            <w:r/>
            <w:r>
              <w:rPr>
                <w:sz w:val="16"/>
              </w:rPr>
              <w:t>Iceland</w:t>
            </w:r>
          </w:p>
        </w:tc>
        <w:tc>
          <w:tcPr>
            <w:tcW w:w="650" w:type="dxa"/>
          </w:tcPr>
          <w:p>
            <w:pPr>
              <w:spacing w:before="10" w:after="10"/>
            </w:pPr>
            <w:r/>
            <w:r>
              <w:rPr>
                <w:sz w:val="16"/>
              </w:rPr>
              <w:t>$0.089</w:t>
            </w:r>
          </w:p>
        </w:tc>
        <w:tc>
          <w:tcPr>
            <w:tcW w:w="550" w:type="dxa"/>
          </w:tcPr>
          <w:p>
            <w:pPr>
              <w:jc w:val="right"/>
              <w:spacing w:before="10" w:after="10"/>
            </w:pPr>
            <w:r/>
            <w:r>
              <w:rPr>
                <w:sz w:val="16"/>
              </w:rPr>
              <w:t>8.7</w:t>
            </w:r>
          </w:p>
        </w:tc>
        <w:tc>
          <w:tcPr>
            <w:tcW w:w="500" w:type="dxa"/>
          </w:tcPr>
          <w:p>
            <w:pPr>
              <w:jc w:val="right"/>
              <w:spacing w:before="10" w:after="10"/>
            </w:pPr>
            <w:r/>
            <w:r>
              <w:rPr>
                <w:sz w:val="16"/>
              </w:rPr>
              <w:t>1.08</w:t>
            </w:r>
          </w:p>
        </w:tc>
        <w:tc>
          <w:tcPr>
            <w:tcW w:w="600" w:type="dxa"/>
          </w:tcPr>
          <w:p>
            <w:pPr>
              <w:jc w:val="right"/>
              <w:spacing w:before="10" w:after="10"/>
            </w:pPr>
            <w:r/>
            <w:r>
              <w:rPr>
                <w:sz w:val="16"/>
              </w:rPr>
              <w:t>$12.47</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450" w:type="dxa"/>
          </w:tcPr>
          <w:p>
            <w:pPr>
              <w:jc w:val="right"/>
              <w:spacing w:before="10" w:after="10"/>
            </w:pPr>
            <w:r/>
            <w:r>
              <w:rPr>
                <w:sz w:val="16"/>
              </w:rPr>
              <w:t>1.00</w:t>
            </w:r>
          </w:p>
        </w:tc>
        <w:tc>
          <w:tcPr>
            <w:tcW w:w="650" w:type="dxa"/>
          </w:tcPr>
          <w:p>
            <w:pPr>
              <w:jc w:val="right"/>
              <w:spacing w:before="10" w:after="10"/>
            </w:pPr>
            <w:r/>
            <w:r>
              <w:rPr>
                <w:sz w:val="16"/>
              </w:rPr>
              <w:t>$1.49</w:t>
            </w:r>
          </w:p>
        </w:tc>
        <w:tc>
          <w:tcPr>
            <w:tcW w:w="700" w:type="dxa"/>
          </w:tcPr>
          <w:p>
            <w:pPr>
              <w:jc w:val="right"/>
              <w:spacing w:before="10" w:after="10"/>
            </w:pPr>
            <w:r/>
            <w:r>
              <w:rPr>
                <w:sz w:val="16"/>
              </w:rPr>
              <w:t>$0.089</w:t>
            </w:r>
          </w:p>
        </w:tc>
      </w:tr>
      <w:tr>
        <w:tc>
          <w:tcPr>
            <w:tcW w:w="1500" w:type="dxa"/>
          </w:tcPr>
          <w:p>
            <w:pPr>
              <w:spacing w:before="10" w:after="10"/>
            </w:pPr>
            <w:r/>
            <w:r>
              <w:rPr>
                <w:sz w:val="16"/>
              </w:rPr>
              <w:t>South Africa</w:t>
            </w:r>
          </w:p>
        </w:tc>
        <w:tc>
          <w:tcPr>
            <w:tcW w:w="650" w:type="dxa"/>
          </w:tcPr>
          <w:p>
            <w:pPr>
              <w:spacing w:before="10" w:after="10"/>
            </w:pPr>
            <w:r/>
            <w:r>
              <w:rPr>
                <w:sz w:val="16"/>
              </w:rPr>
              <w:t>$0.040</w:t>
            </w:r>
          </w:p>
        </w:tc>
        <w:tc>
          <w:tcPr>
            <w:tcW w:w="550" w:type="dxa"/>
          </w:tcPr>
          <w:p>
            <w:pPr>
              <w:jc w:val="right"/>
              <w:spacing w:before="10" w:after="10"/>
            </w:pPr>
            <w:r/>
            <w:r>
              <w:rPr>
                <w:sz w:val="16"/>
              </w:rPr>
              <w:t>23.5</w:t>
            </w:r>
          </w:p>
        </w:tc>
        <w:tc>
          <w:tcPr>
            <w:tcW w:w="500" w:type="dxa"/>
          </w:tcPr>
          <w:p>
            <w:pPr>
              <w:jc w:val="right"/>
              <w:spacing w:before="10" w:after="10"/>
            </w:pPr>
            <w:r/>
            <w:r>
              <w:rPr>
                <w:sz w:val="16"/>
              </w:rPr>
              <w:t>1.21</w:t>
            </w:r>
          </w:p>
        </w:tc>
        <w:tc>
          <w:tcPr>
            <w:tcW w:w="600" w:type="dxa"/>
          </w:tcPr>
          <w:p>
            <w:pPr>
              <w:jc w:val="right"/>
              <w:spacing w:before="10" w:after="10"/>
            </w:pPr>
            <w:r/>
            <w:r>
              <w:rPr>
                <w:sz w:val="16"/>
              </w:rPr>
              <w:t>$10.20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1.00</w:t>
            </w:r>
          </w:p>
        </w:tc>
        <w:tc>
          <w:tcPr>
            <w:tcW w:w="650" w:type="dxa"/>
          </w:tcPr>
          <w:p>
            <w:pPr>
              <w:jc w:val="right"/>
              <w:spacing w:before="10" w:after="10"/>
            </w:pPr>
            <w:r/>
            <w:r>
              <w:rPr>
                <w:sz w:val="16"/>
              </w:rPr>
              <w:t>$1.45</w:t>
            </w:r>
          </w:p>
        </w:tc>
        <w:tc>
          <w:tcPr>
            <w:tcW w:w="700" w:type="dxa"/>
          </w:tcPr>
          <w:p>
            <w:pPr>
              <w:jc w:val="right"/>
              <w:spacing w:before="10" w:after="10"/>
            </w:pPr>
            <w:r>
              <w:rPr>
                <w:b/>
              </w:rPr>
            </w:r>
            <w:r>
              <w:rPr>
                <w:sz w:val="16"/>
                <w:b/>
              </w:rPr>
              <w:t>$0.095</w:t>
            </w:r>
          </w:p>
        </w:tc>
      </w:tr>
      <w:tr>
        <w:tc>
          <w:tcPr>
            <w:tcW w:w="1500" w:type="dxa"/>
          </w:tcPr>
          <w:p>
            <w:pPr>
              <w:spacing w:before="10" w:after="10"/>
            </w:pPr>
            <w:r/>
            <w:r>
              <w:rPr>
                <w:sz w:val="16"/>
              </w:rPr>
              <w:t>United Kingdom</w:t>
            </w:r>
          </w:p>
        </w:tc>
        <w:tc>
          <w:tcPr>
            <w:tcW w:w="650" w:type="dxa"/>
          </w:tcPr>
          <w:p>
            <w:pPr>
              <w:spacing w:before="10" w:after="10"/>
            </w:pPr>
            <w:r/>
            <w:r>
              <w:rPr>
                <w:sz w:val="16"/>
              </w:rPr>
              <w:t>$0.097</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00" w:type="dxa"/>
          </w:tcPr>
          <w:p>
            <w:pPr>
              <w:jc w:val="right"/>
              <w:spacing w:before="10" w:after="10"/>
            </w:pPr>
            <w:r/>
            <w:r>
              <w:rPr>
                <w:sz w:val="16"/>
              </w:rPr>
              <w:t>$11.88</w:t>
            </w:r>
          </w:p>
        </w:tc>
        <w:tc>
          <w:tcPr>
            <w:tcW w:w="650" w:type="dxa"/>
          </w:tcPr>
          <w:p>
            <w:pPr>
              <w:jc w:val="right"/>
              <w:spacing w:before="10" w:after="10"/>
            </w:pPr>
            <w:r/>
            <w:r>
              <w:rPr>
                <w:sz w:val="16"/>
              </w:rPr>
              <w:t>2,590</w:t>
            </w:r>
          </w:p>
        </w:tc>
        <w:tc>
          <w:tcPr>
            <w:tcW w:w="550" w:type="dxa"/>
          </w:tcPr>
          <w:p>
            <w:pPr>
              <w:jc w:val="right"/>
              <w:spacing w:before="10" w:after="10"/>
            </w:pPr>
            <w:r/>
            <w:r>
              <w:rPr>
                <w:sz w:val="16"/>
              </w:rPr>
              <w:t>2.1</w:t>
            </w:r>
          </w:p>
        </w:tc>
        <w:tc>
          <w:tcPr>
            <w:tcW w:w="450" w:type="dxa"/>
          </w:tcPr>
          <w:p>
            <w:pPr>
              <w:jc w:val="right"/>
              <w:spacing w:before="10" w:after="10"/>
            </w:pPr>
            <w:r/>
            <w:r>
              <w:rPr>
                <w:sz w:val="16"/>
              </w:rPr>
              <w:t>0.98</w:t>
            </w:r>
          </w:p>
        </w:tc>
        <w:tc>
          <w:tcPr>
            <w:tcW w:w="650" w:type="dxa"/>
          </w:tcPr>
          <w:p>
            <w:pPr>
              <w:jc w:val="right"/>
              <w:spacing w:before="10" w:after="10"/>
            </w:pPr>
            <w:r/>
            <w:r>
              <w:rPr>
                <w:sz w:val="16"/>
              </w:rPr>
              <w:t>$1.50</w:t>
            </w:r>
          </w:p>
        </w:tc>
        <w:tc>
          <w:tcPr>
            <w:tcW w:w="700" w:type="dxa"/>
          </w:tcPr>
          <w:p>
            <w:pPr>
              <w:jc w:val="right"/>
              <w:spacing w:before="10" w:after="10"/>
            </w:pPr>
            <w:r/>
            <w:r>
              <w:rPr>
                <w:sz w:val="16"/>
              </w:rPr>
              <w:t>$0.097</w:t>
            </w:r>
          </w:p>
        </w:tc>
      </w:tr>
      <w:tr>
        <w:tc>
          <w:tcPr>
            <w:tcW w:w="1500" w:type="dxa"/>
          </w:tcPr>
          <w:p>
            <w:pPr>
              <w:spacing w:before="10" w:after="10"/>
            </w:pPr>
            <w:r/>
            <w:r>
              <w:rPr>
                <w:sz w:val="16"/>
              </w:rPr>
              <w:t>Belarus</w:t>
            </w:r>
          </w:p>
        </w:tc>
        <w:tc>
          <w:tcPr>
            <w:tcW w:w="650" w:type="dxa"/>
          </w:tcPr>
          <w:p>
            <w:pPr>
              <w:spacing w:before="10" w:after="10"/>
            </w:pPr>
            <w:r/>
            <w:r>
              <w:rPr>
                <w:sz w:val="16"/>
              </w:rPr>
              <w:t>$0.099</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00" w:type="dxa"/>
          </w:tcPr>
          <w:p>
            <w:pPr>
              <w:jc w:val="right"/>
              <w:spacing w:before="10" w:after="10"/>
            </w:pPr>
            <w:r/>
            <w:r>
              <w:rPr>
                <w:sz w:val="16"/>
              </w:rPr>
              <w:t>$10.91</w:t>
            </w:r>
          </w:p>
        </w:tc>
        <w:tc>
          <w:tcPr>
            <w:tcW w:w="650" w:type="dxa"/>
          </w:tcPr>
          <w:p>
            <w:pPr>
              <w:jc w:val="right"/>
              <w:spacing w:before="10" w:after="10"/>
            </w:pPr>
            <w:r/>
            <w:r>
              <w:rPr>
                <w:sz w:val="16"/>
              </w:rPr>
              <w:t>35</w:t>
            </w:r>
          </w:p>
        </w:tc>
        <w:tc>
          <w:tcPr>
            <w:tcW w:w="550" w:type="dxa"/>
          </w:tcPr>
          <w:p>
            <w:pPr>
              <w:jc w:val="right"/>
              <w:spacing w:before="10" w:after="10"/>
            </w:pPr>
            <w:r/>
            <w:r>
              <w:rPr>
                <w:sz w:val="16"/>
              </w:rPr>
              <w:t>0.0</w:t>
            </w:r>
          </w:p>
        </w:tc>
        <w:tc>
          <w:tcPr>
            <w:tcW w:w="450" w:type="dxa"/>
          </w:tcPr>
          <w:p>
            <w:pPr>
              <w:jc w:val="right"/>
              <w:spacing w:before="10" w:after="10"/>
            </w:pPr>
            <w:r/>
            <w:r>
              <w:rPr>
                <w:sz w:val="16"/>
              </w:rPr>
              <w:t>0.70</w:t>
            </w:r>
          </w:p>
        </w:tc>
        <w:tc>
          <w:tcPr>
            <w:tcW w:w="650" w:type="dxa"/>
          </w:tcPr>
          <w:p>
            <w:pPr>
              <w:jc w:val="right"/>
              <w:spacing w:before="10" w:after="10"/>
            </w:pPr>
            <w:r/>
            <w:r>
              <w:rPr>
                <w:sz w:val="16"/>
              </w:rPr>
              <w:t>$1.50</w:t>
            </w:r>
          </w:p>
        </w:tc>
        <w:tc>
          <w:tcPr>
            <w:tcW w:w="700" w:type="dxa"/>
          </w:tcPr>
          <w:p>
            <w:pPr>
              <w:jc w:val="right"/>
              <w:spacing w:before="10" w:after="10"/>
            </w:pPr>
            <w:r/>
            <w:r>
              <w:rPr>
                <w:sz w:val="16"/>
              </w:rPr>
              <w:t>$0.099</w:t>
            </w:r>
          </w:p>
        </w:tc>
      </w:tr>
      <w:tr>
        <w:tc>
          <w:tcPr>
            <w:tcW w:w="1500" w:type="dxa"/>
          </w:tcPr>
          <w:p>
            <w:pPr>
              <w:spacing w:before="10" w:after="10"/>
            </w:pPr>
            <w:r/>
            <w:r>
              <w:rPr>
                <w:sz w:val="16"/>
              </w:rPr>
              <w:t>Australia</w:t>
            </w:r>
          </w:p>
        </w:tc>
        <w:tc>
          <w:tcPr>
            <w:tcW w:w="650" w:type="dxa"/>
          </w:tcPr>
          <w:p>
            <w:pPr>
              <w:spacing w:before="10" w:after="10"/>
            </w:pPr>
            <w:r/>
            <w:r>
              <w:rPr>
                <w:sz w:val="16"/>
              </w:rPr>
              <w:t>$0.090</w:t>
            </w:r>
          </w:p>
        </w:tc>
        <w:tc>
          <w:tcPr>
            <w:tcW w:w="550" w:type="dxa"/>
          </w:tcPr>
          <w:p>
            <w:pPr>
              <w:jc w:val="right"/>
              <w:spacing w:before="10" w:after="10"/>
            </w:pPr>
            <w:r/>
            <w:r>
              <w:rPr>
                <w:sz w:val="16"/>
              </w:rPr>
              <w:t>28.8</w:t>
            </w:r>
          </w:p>
        </w:tc>
        <w:tc>
          <w:tcPr>
            <w:tcW w:w="500" w:type="dxa"/>
          </w:tcPr>
          <w:p>
            <w:pPr>
              <w:jc w:val="right"/>
              <w:spacing w:before="10" w:after="10"/>
            </w:pPr>
            <w:r/>
            <w:r>
              <w:rPr>
                <w:sz w:val="16"/>
              </w:rPr>
              <w:t>1.29</w:t>
            </w:r>
          </w:p>
        </w:tc>
        <w:tc>
          <w:tcPr>
            <w:tcW w:w="600" w:type="dxa"/>
          </w:tcPr>
          <w:p>
            <w:pPr>
              <w:jc w:val="right"/>
              <w:spacing w:before="10" w:after="10"/>
            </w:pPr>
            <w:r/>
            <w:r>
              <w:rPr>
                <w:sz w:val="16"/>
              </w:rPr>
              <w:t>$10.68</w:t>
            </w:r>
          </w:p>
        </w:tc>
        <w:tc>
          <w:tcPr>
            <w:tcW w:w="650" w:type="dxa"/>
          </w:tcPr>
          <w:p>
            <w:pPr>
              <w:jc w:val="right"/>
              <w:spacing w:before="10" w:after="10"/>
            </w:pPr>
            <w:r/>
            <w:r>
              <w:rPr>
                <w:sz w:val="16"/>
              </w:rPr>
              <w:t>2,670</w:t>
            </w:r>
          </w:p>
        </w:tc>
        <w:tc>
          <w:tcPr>
            <w:tcW w:w="550" w:type="dxa"/>
          </w:tcPr>
          <w:p>
            <w:pPr>
              <w:jc w:val="right"/>
              <w:spacing w:before="10" w:after="10"/>
            </w:pPr>
            <w:r/>
            <w:r>
              <w:rPr>
                <w:sz w:val="16"/>
              </w:rPr>
              <w:t>2.2</w:t>
            </w:r>
          </w:p>
        </w:tc>
        <w:tc>
          <w:tcPr>
            <w:tcW w:w="450" w:type="dxa"/>
          </w:tcPr>
          <w:p>
            <w:pPr>
              <w:jc w:val="right"/>
              <w:spacing w:before="10" w:after="10"/>
            </w:pPr>
            <w:r/>
            <w:r>
              <w:rPr>
                <w:sz w:val="16"/>
              </w:rPr>
              <w:t>0.99</w:t>
            </w:r>
          </w:p>
        </w:tc>
        <w:tc>
          <w:tcPr>
            <w:tcW w:w="650" w:type="dxa"/>
          </w:tcPr>
          <w:p>
            <w:pPr>
              <w:jc w:val="right"/>
              <w:spacing w:before="10" w:after="10"/>
            </w:pPr>
            <w:r/>
            <w:r>
              <w:rPr>
                <w:sz w:val="16"/>
              </w:rPr>
              <w:t>$1.50</w:t>
            </w:r>
          </w:p>
        </w:tc>
        <w:tc>
          <w:tcPr>
            <w:tcW w:w="700" w:type="dxa"/>
          </w:tcPr>
          <w:p>
            <w:pPr>
              <w:jc w:val="right"/>
              <w:spacing w:before="10" w:after="10"/>
            </w:pPr>
            <w:r/>
            <w:r>
              <w:rPr>
                <w:sz w:val="16"/>
              </w:rPr>
              <w:t>$0.090</w:t>
            </w:r>
          </w:p>
        </w:tc>
      </w:tr>
      <w:tr>
        <w:tc>
          <w:tcPr>
            <w:tcW w:w="1500" w:type="dxa"/>
          </w:tcPr>
          <w:p>
            <w:pPr>
              <w:spacing w:before="10" w:after="10"/>
            </w:pPr>
            <w:r/>
            <w:r>
              <w:rPr>
                <w:sz w:val="16"/>
              </w:rPr>
              <w:t>New Zealand</w:t>
            </w:r>
          </w:p>
        </w:tc>
        <w:tc>
          <w:tcPr>
            <w:tcW w:w="650" w:type="dxa"/>
          </w:tcPr>
          <w:p>
            <w:pPr>
              <w:spacing w:before="10" w:after="10"/>
            </w:pPr>
            <w:r/>
            <w:r>
              <w:rPr>
                <w:sz w:val="16"/>
              </w:rPr>
              <w:t>$0.095</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00" w:type="dxa"/>
          </w:tcPr>
          <w:p>
            <w:pPr>
              <w:jc w:val="right"/>
              <w:spacing w:before="10" w:after="10"/>
            </w:pPr>
            <w:r/>
            <w:r>
              <w:rPr>
                <w:sz w:val="16"/>
              </w:rPr>
              <w:t>$12.30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0.99</w:t>
            </w:r>
          </w:p>
        </w:tc>
        <w:tc>
          <w:tcPr>
            <w:tcW w:w="650" w:type="dxa"/>
          </w:tcPr>
          <w:p>
            <w:pPr>
              <w:jc w:val="right"/>
              <w:spacing w:before="10" w:after="10"/>
            </w:pPr>
            <w:r/>
            <w:r>
              <w:rPr>
                <w:sz w:val="16"/>
              </w:rPr>
              <w:t>$1.50</w:t>
            </w:r>
          </w:p>
        </w:tc>
        <w:tc>
          <w:tcPr>
            <w:tcW w:w="700" w:type="dxa"/>
          </w:tcPr>
          <w:p>
            <w:pPr>
              <w:jc w:val="right"/>
              <w:spacing w:before="10" w:after="10"/>
            </w:pPr>
            <w:r/>
            <w:r>
              <w:rPr>
                <w:sz w:val="16"/>
              </w:rPr>
              <w:t>$0.095</w:t>
            </w:r>
          </w:p>
        </w:tc>
      </w:tr>
      <w:tr>
        <w:tc>
          <w:tcPr>
            <w:tcW w:w="1500" w:type="dxa"/>
          </w:tcPr>
          <w:p>
            <w:pPr>
              <w:spacing w:before="10" w:after="10"/>
            </w:pPr>
            <w:r/>
            <w:r>
              <w:rPr>
                <w:sz w:val="16"/>
              </w:rPr>
              <w:t>Morocco</w:t>
            </w:r>
          </w:p>
        </w:tc>
        <w:tc>
          <w:tcPr>
            <w:tcW w:w="650" w:type="dxa"/>
          </w:tcPr>
          <w:p>
            <w:pPr>
              <w:spacing w:before="10" w:after="10"/>
            </w:pPr>
            <w:r/>
            <w:r>
              <w:rPr>
                <w:sz w:val="16"/>
              </w:rPr>
              <w:t>$0.108</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00" w:type="dxa"/>
          </w:tcPr>
          <w:p>
            <w:pPr>
              <w:jc w:val="right"/>
              <w:spacing w:before="10" w:after="10"/>
            </w:pPr>
            <w:r/>
            <w:r>
              <w:rPr>
                <w:sz w:val="16"/>
              </w:rPr>
              <w:t>$7.82</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0.85</w:t>
            </w:r>
          </w:p>
        </w:tc>
        <w:tc>
          <w:tcPr>
            <w:tcW w:w="650" w:type="dxa"/>
          </w:tcPr>
          <w:p>
            <w:pPr>
              <w:jc w:val="right"/>
              <w:spacing w:before="10" w:after="10"/>
            </w:pPr>
            <w:r/>
            <w:r>
              <w:rPr>
                <w:sz w:val="16"/>
              </w:rPr>
              <w:t>$1.50</w:t>
            </w:r>
          </w:p>
        </w:tc>
        <w:tc>
          <w:tcPr>
            <w:tcW w:w="700" w:type="dxa"/>
          </w:tcPr>
          <w:p>
            <w:pPr>
              <w:jc w:val="right"/>
              <w:spacing w:before="10" w:after="10"/>
            </w:pPr>
            <w:r/>
            <w:r>
              <w:rPr>
                <w:sz w:val="16"/>
              </w:rPr>
              <w:t>$0.108</w:t>
            </w:r>
          </w:p>
        </w:tc>
      </w:tr>
      <w:tr>
        <w:tc>
          <w:tcPr>
            <w:tcW w:w="1500" w:type="dxa"/>
          </w:tcPr>
          <w:p>
            <w:pPr>
              <w:spacing w:before="10" w:after="10"/>
            </w:pPr>
            <w:r/>
            <w:r>
              <w:rPr>
                <w:sz w:val="16"/>
              </w:rPr>
              <w:t>Mexico</w:t>
            </w:r>
          </w:p>
        </w:tc>
        <w:tc>
          <w:tcPr>
            <w:tcW w:w="650" w:type="dxa"/>
          </w:tcPr>
          <w:p>
            <w:pPr>
              <w:spacing w:before="10" w:after="10"/>
            </w:pPr>
            <w:r/>
            <w:r>
              <w:rPr>
                <w:sz w:val="16"/>
              </w:rPr>
              <w:t>$0.095</w:t>
            </w:r>
          </w:p>
        </w:tc>
        <w:tc>
          <w:tcPr>
            <w:tcW w:w="550" w:type="dxa"/>
          </w:tcPr>
          <w:p>
            <w:pPr>
              <w:jc w:val="right"/>
              <w:spacing w:before="10" w:after="10"/>
            </w:pPr>
            <w:r/>
            <w:r>
              <w:rPr>
                <w:sz w:val="16"/>
              </w:rPr>
              <w:t>26.6</w:t>
            </w:r>
          </w:p>
        </w:tc>
        <w:tc>
          <w:tcPr>
            <w:tcW w:w="500" w:type="dxa"/>
          </w:tcPr>
          <w:p>
            <w:pPr>
              <w:jc w:val="right"/>
              <w:spacing w:before="10" w:after="10"/>
            </w:pPr>
            <w:r/>
            <w:r>
              <w:rPr>
                <w:sz w:val="16"/>
              </w:rPr>
              <w:t>1.25</w:t>
            </w:r>
          </w:p>
        </w:tc>
        <w:tc>
          <w:tcPr>
            <w:tcW w:w="600" w:type="dxa"/>
          </w:tcPr>
          <w:p>
            <w:pPr>
              <w:jc w:val="right"/>
              <w:spacing w:before="10" w:after="10"/>
            </w:pPr>
            <w:r/>
            <w:r>
              <w:rPr>
                <w:sz w:val="16"/>
              </w:rPr>
              <w:t>$10.40</w:t>
            </w:r>
          </w:p>
        </w:tc>
        <w:tc>
          <w:tcPr>
            <w:tcW w:w="650" w:type="dxa"/>
          </w:tcPr>
          <w:p>
            <w:pPr>
              <w:jc w:val="right"/>
              <w:spacing w:before="10" w:after="10"/>
            </w:pPr>
            <w:r/>
            <w:r>
              <w:rPr>
                <w:sz w:val="16"/>
              </w:rPr>
              <w:t>900</w:t>
            </w:r>
          </w:p>
        </w:tc>
        <w:tc>
          <w:tcPr>
            <w:tcW w:w="550" w:type="dxa"/>
          </w:tcPr>
          <w:p>
            <w:pPr>
              <w:jc w:val="right"/>
              <w:spacing w:before="10" w:after="10"/>
            </w:pPr>
            <w:r/>
            <w:r>
              <w:rPr>
                <w:sz w:val="16"/>
              </w:rPr>
              <w:t>0.7</w:t>
            </w:r>
          </w:p>
        </w:tc>
        <w:tc>
          <w:tcPr>
            <w:tcW w:w="450" w:type="dxa"/>
          </w:tcPr>
          <w:p>
            <w:pPr>
              <w:jc w:val="right"/>
              <w:spacing w:before="10" w:after="10"/>
            </w:pPr>
            <w:r/>
            <w:r>
              <w:rPr>
                <w:sz w:val="16"/>
              </w:rPr>
              <w:t>0.83</w:t>
            </w:r>
          </w:p>
        </w:tc>
        <w:tc>
          <w:tcPr>
            <w:tcW w:w="650" w:type="dxa"/>
          </w:tcPr>
          <w:p>
            <w:pPr>
              <w:jc w:val="right"/>
              <w:spacing w:before="10" w:after="10"/>
            </w:pPr>
            <w:r/>
            <w:r>
              <w:rPr>
                <w:sz w:val="16"/>
              </w:rPr>
              <w:t>$1.50</w:t>
            </w:r>
          </w:p>
        </w:tc>
        <w:tc>
          <w:tcPr>
            <w:tcW w:w="700" w:type="dxa"/>
          </w:tcPr>
          <w:p>
            <w:pPr>
              <w:jc w:val="right"/>
              <w:spacing w:before="10" w:after="10"/>
            </w:pPr>
            <w:r/>
            <w:r>
              <w:rPr>
                <w:sz w:val="16"/>
              </w:rPr>
              <w:t>$0.095</w:t>
            </w:r>
          </w:p>
        </w:tc>
      </w:tr>
      <w:tr>
        <w:tc>
          <w:tcPr>
            <w:tcW w:w="1500" w:type="dxa"/>
          </w:tcPr>
          <w:p>
            <w:pPr>
              <w:spacing w:before="10" w:after="10"/>
            </w:pPr>
            <w:r/>
            <w:r>
              <w:rPr>
                <w:sz w:val="16"/>
              </w:rPr>
              <w:t>France</w:t>
            </w:r>
          </w:p>
        </w:tc>
        <w:tc>
          <w:tcPr>
            <w:tcW w:w="650" w:type="dxa"/>
          </w:tcPr>
          <w:p>
            <w:pPr>
              <w:spacing w:before="10" w:after="10"/>
            </w:pPr>
            <w:r/>
            <w:r>
              <w:rPr>
                <w:sz w:val="16"/>
              </w:rPr>
              <w:t>$0.102</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00" w:type="dxa"/>
          </w:tcPr>
          <w:p>
            <w:pPr>
              <w:jc w:val="right"/>
              <w:spacing w:before="10" w:after="10"/>
            </w:pPr>
            <w:r/>
            <w:r>
              <w:rPr>
                <w:sz w:val="16"/>
              </w:rPr>
              <w:t>$10.43</w:t>
            </w:r>
          </w:p>
        </w:tc>
        <w:tc>
          <w:tcPr>
            <w:tcW w:w="650" w:type="dxa"/>
          </w:tcPr>
          <w:p>
            <w:pPr>
              <w:jc w:val="right"/>
              <w:spacing w:before="10" w:after="10"/>
            </w:pPr>
            <w:r/>
            <w:r>
              <w:rPr>
                <w:sz w:val="16"/>
              </w:rPr>
              <w:t>1,400</w:t>
            </w:r>
          </w:p>
        </w:tc>
        <w:tc>
          <w:tcPr>
            <w:tcW w:w="550" w:type="dxa"/>
          </w:tcPr>
          <w:p>
            <w:pPr>
              <w:jc w:val="right"/>
              <w:spacing w:before="10" w:after="10"/>
            </w:pPr>
            <w:r/>
            <w:r>
              <w:rPr>
                <w:sz w:val="16"/>
              </w:rPr>
              <w:t>1.1</w:t>
            </w:r>
          </w:p>
        </w:tc>
        <w:tc>
          <w:tcPr>
            <w:tcW w:w="450" w:type="dxa"/>
          </w:tcPr>
          <w:p>
            <w:pPr>
              <w:jc w:val="right"/>
              <w:spacing w:before="10" w:after="10"/>
            </w:pPr>
            <w:r/>
            <w:r>
              <w:rPr>
                <w:sz w:val="16"/>
              </w:rPr>
              <w:t>0.98</w:t>
            </w:r>
          </w:p>
        </w:tc>
        <w:tc>
          <w:tcPr>
            <w:tcW w:w="650" w:type="dxa"/>
          </w:tcPr>
          <w:p>
            <w:pPr>
              <w:jc w:val="right"/>
              <w:spacing w:before="10" w:after="10"/>
            </w:pPr>
            <w:r/>
            <w:r>
              <w:rPr>
                <w:sz w:val="16"/>
              </w:rPr>
              <w:t>$1.50</w:t>
            </w:r>
          </w:p>
        </w:tc>
        <w:tc>
          <w:tcPr>
            <w:tcW w:w="700" w:type="dxa"/>
          </w:tcPr>
          <w:p>
            <w:pPr>
              <w:jc w:val="right"/>
              <w:spacing w:before="10" w:after="10"/>
            </w:pPr>
            <w:r/>
            <w:r>
              <w:rPr>
                <w:sz w:val="16"/>
              </w:rPr>
              <w:t>$0.102</w:t>
            </w:r>
          </w:p>
        </w:tc>
      </w:tr>
      <w:tr>
        <w:tc>
          <w:tcPr>
            <w:tcW w:w="1500" w:type="dxa"/>
          </w:tcPr>
          <w:p>
            <w:pPr>
              <w:spacing w:before="10" w:after="10"/>
            </w:pPr>
            <w:r/>
            <w:r>
              <w:rPr>
                <w:sz w:val="16"/>
              </w:rPr>
              <w:t>Armenia</w:t>
            </w:r>
          </w:p>
        </w:tc>
        <w:tc>
          <w:tcPr>
            <w:tcW w:w="650" w:type="dxa"/>
          </w:tcPr>
          <w:p>
            <w:pPr>
              <w:spacing w:before="10" w:after="10"/>
            </w:pPr>
            <w:r/>
            <w:r>
              <w:rPr>
                <w:sz w:val="16"/>
              </w:rPr>
              <w:t>$0.111</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00" w:type="dxa"/>
          </w:tcPr>
          <w:p>
            <w:pPr>
              <w:jc w:val="right"/>
              <w:spacing w:before="10" w:after="10"/>
            </w:pPr>
            <w:r/>
            <w:r>
              <w:rPr>
                <w:sz w:val="16"/>
              </w:rPr>
              <w:t>$9.76</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0.79</w:t>
            </w:r>
          </w:p>
        </w:tc>
        <w:tc>
          <w:tcPr>
            <w:tcW w:w="650" w:type="dxa"/>
          </w:tcPr>
          <w:p>
            <w:pPr>
              <w:jc w:val="right"/>
              <w:spacing w:before="10" w:after="10"/>
            </w:pPr>
            <w:r/>
            <w:r>
              <w:rPr>
                <w:sz w:val="16"/>
              </w:rPr>
              <w:t>$1.50</w:t>
            </w:r>
          </w:p>
        </w:tc>
        <w:tc>
          <w:tcPr>
            <w:tcW w:w="700" w:type="dxa"/>
          </w:tcPr>
          <w:p>
            <w:pPr>
              <w:jc w:val="right"/>
              <w:spacing w:before="10" w:after="10"/>
            </w:pPr>
            <w:r/>
            <w:r>
              <w:rPr>
                <w:sz w:val="16"/>
              </w:rPr>
              <w:t>$0.111</w:t>
            </w:r>
          </w:p>
        </w:tc>
      </w:tr>
      <w:tr>
        <w:tc>
          <w:tcPr>
            <w:tcW w:w="1500" w:type="dxa"/>
          </w:tcPr>
          <w:p>
            <w:pPr>
              <w:spacing w:before="10" w:after="10"/>
            </w:pPr>
            <w:r/>
            <w:r>
              <w:rPr>
                <w:sz w:val="16"/>
              </w:rPr>
              <w:t>United Arab Emirates</w:t>
            </w:r>
          </w:p>
        </w:tc>
        <w:tc>
          <w:tcPr>
            <w:tcW w:w="650" w:type="dxa"/>
          </w:tcPr>
          <w:p>
            <w:pPr>
              <w:spacing w:before="10" w:after="10"/>
            </w:pPr>
            <w:r/>
            <w:r>
              <w:rPr>
                <w:sz w:val="16"/>
              </w:rPr>
              <w:t>$0.065</w:t>
            </w:r>
          </w:p>
        </w:tc>
        <w:tc>
          <w:tcPr>
            <w:tcW w:w="550" w:type="dxa"/>
          </w:tcPr>
          <w:p>
            <w:pPr>
              <w:jc w:val="right"/>
              <w:spacing w:before="10" w:after="10"/>
            </w:pPr>
            <w:r/>
            <w:r>
              <w:rPr>
                <w:sz w:val="16"/>
              </w:rPr>
              <w:t>37.1</w:t>
            </w:r>
          </w:p>
        </w:tc>
        <w:tc>
          <w:tcPr>
            <w:tcW w:w="500" w:type="dxa"/>
          </w:tcPr>
          <w:p>
            <w:pPr>
              <w:jc w:val="right"/>
              <w:spacing w:before="10" w:after="10"/>
            </w:pPr>
            <w:r/>
            <w:r>
              <w:rPr>
                <w:sz w:val="16"/>
              </w:rPr>
              <w:t>1.41</w:t>
            </w:r>
          </w:p>
        </w:tc>
        <w:tc>
          <w:tcPr>
            <w:tcW w:w="600" w:type="dxa"/>
          </w:tcPr>
          <w:p>
            <w:pPr>
              <w:jc w:val="right"/>
              <w:spacing w:before="10" w:after="10"/>
            </w:pPr>
            <w:r/>
            <w:r>
              <w:rPr>
                <w:sz w:val="16"/>
              </w:rPr>
              <w:t>$9.24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0.93</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$0.095</w:t>
            </w:r>
          </w:p>
        </w:tc>
      </w:tr>
      <w:tr>
        <w:tc>
          <w:tcPr>
            <w:tcW w:w="1500" w:type="dxa"/>
          </w:tcPr>
          <w:p>
            <w:pPr>
              <w:spacing w:before="10" w:after="10"/>
            </w:pPr>
            <w:r/>
            <w:r>
              <w:rPr>
                <w:sz w:val="16"/>
              </w:rPr>
              <w:t>Chile</w:t>
            </w:r>
          </w:p>
        </w:tc>
        <w:tc>
          <w:tcPr>
            <w:tcW w:w="650" w:type="dxa"/>
          </w:tcPr>
          <w:p>
            <w:pPr>
              <w:spacing w:before="10" w:after="10"/>
            </w:pPr>
            <w:r/>
            <w:r>
              <w:rPr>
                <w:sz w:val="16"/>
              </w:rPr>
              <w:t>$0.130</w:t>
            </w:r>
          </w:p>
        </w:tc>
        <w:tc>
          <w:tcPr>
            <w:tcW w:w="550" w:type="dxa"/>
          </w:tcPr>
          <w:p>
            <w:pPr>
              <w:jc w:val="right"/>
              <w:spacing w:before="10" w:after="10"/>
            </w:pPr>
            <w:r/>
            <w:r>
              <w:rPr>
                <w:sz w:val="16"/>
              </w:rPr>
              <w:t>13.4</w:t>
            </w:r>
          </w:p>
        </w:tc>
        <w:tc>
          <w:tcPr>
            <w:tcW w:w="500" w:type="dxa"/>
          </w:tcPr>
          <w:p>
            <w:pPr>
              <w:jc w:val="right"/>
              <w:spacing w:before="10" w:after="10"/>
            </w:pPr>
            <w:r/>
            <w:r>
              <w:rPr>
                <w:sz w:val="16"/>
              </w:rPr>
              <w:t>1.08</w:t>
            </w:r>
          </w:p>
        </w:tc>
        <w:tc>
          <w:tcPr>
            <w:tcW w:w="600" w:type="dxa"/>
          </w:tcPr>
          <w:p>
            <w:pPr>
              <w:jc w:val="right"/>
              <w:spacing w:before="10" w:after="10"/>
            </w:pPr>
            <w:r/>
            <w:r>
              <w:rPr>
                <w:sz w:val="16"/>
              </w:rPr>
              <w:t>$8.61</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450" w:type="dxa"/>
          </w:tcPr>
          <w:p>
            <w:pPr>
              <w:jc w:val="right"/>
              <w:spacing w:before="10" w:after="10"/>
            </w:pPr>
            <w:r/>
            <w:r>
              <w:rPr>
                <w:sz w:val="16"/>
              </w:rPr>
              <w:t>0.94</w:t>
            </w:r>
          </w:p>
        </w:tc>
        <w:tc>
          <w:tcPr>
            <w:tcW w:w="650" w:type="dxa"/>
          </w:tcPr>
          <w:p>
            <w:pPr>
              <w:jc w:val="right"/>
              <w:spacing w:before="10" w:after="10"/>
            </w:pPr>
            <w:r/>
            <w:r>
              <w:rPr>
                <w:sz w:val="16"/>
              </w:rPr>
              <w:t>$1.50</w:t>
            </w:r>
          </w:p>
        </w:tc>
        <w:tc>
          <w:tcPr>
            <w:tcW w:w="700" w:type="dxa"/>
          </w:tcPr>
          <w:p>
            <w:pPr>
              <w:jc w:val="right"/>
              <w:spacing w:before="10" w:after="10"/>
            </w:pPr>
            <w:r/>
            <w:r>
              <w:rPr>
                <w:sz w:val="16"/>
              </w:rPr>
              <w:t>$0.130</w:t>
            </w:r>
          </w:p>
        </w:tc>
      </w:tr>
      <w:tr>
        <w:tc>
          <w:tcPr>
            <w:tcW w:w="1500" w:type="dxa"/>
          </w:tcPr>
          <w:p>
            <w:pPr>
              <w:spacing w:before="10" w:after="10"/>
            </w:pPr>
            <w:r/>
            <w:r>
              <w:rPr>
                <w:sz w:val="16"/>
              </w:rPr>
              <w:t>Poland</w:t>
            </w:r>
          </w:p>
        </w:tc>
        <w:tc>
          <w:tcPr>
            <w:tcW w:w="650" w:type="dxa"/>
          </w:tcPr>
          <w:p>
            <w:pPr>
              <w:spacing w:before="10" w:after="10"/>
            </w:pPr>
            <w:r/>
            <w:r>
              <w:rPr>
                <w:sz w:val="16"/>
              </w:rPr>
              <w:t>$0.119</w:t>
            </w:r>
          </w:p>
        </w:tc>
        <w:tc>
          <w:tcPr>
            <w:tcW w:w="550" w:type="dxa"/>
          </w:tcPr>
          <w:p>
            <w:pPr>
              <w:jc w:val="right"/>
              <w:spacing w:before="10" w:after="10"/>
            </w:pPr>
            <w:r/>
            <w:r>
              <w:rPr>
                <w:sz w:val="16"/>
              </w:rPr>
              <w:t>19.7</w:t>
            </w:r>
          </w:p>
        </w:tc>
        <w:tc>
          <w:tcPr>
            <w:tcW w:w="500" w:type="dxa"/>
          </w:tcPr>
          <w:p>
            <w:pPr>
              <w:jc w:val="right"/>
              <w:spacing w:before="10" w:after="10"/>
            </w:pPr>
            <w:r/>
            <w:r>
              <w:rPr>
                <w:sz w:val="16"/>
              </w:rPr>
              <w:t>1.15</w:t>
            </w:r>
          </w:p>
        </w:tc>
        <w:tc>
          <w:tcPr>
            <w:tcW w:w="600" w:type="dxa"/>
          </w:tcPr>
          <w:p>
            <w:pPr>
              <w:jc w:val="right"/>
              <w:spacing w:before="10" w:after="10"/>
            </w:pPr>
            <w:r/>
            <w:r>
              <w:rPr>
                <w:sz w:val="16"/>
              </w:rPr>
              <w:t>$9.16</w:t>
            </w:r>
          </w:p>
        </w:tc>
        <w:tc>
          <w:tcPr>
            <w:tcW w:w="650" w:type="dxa"/>
          </w:tcPr>
          <w:p>
            <w:pPr>
              <w:jc w:val="right"/>
              <w:spacing w:before="10" w:after="10"/>
            </w:pPr>
            <w:r/>
            <w:r>
              <w:rPr>
                <w:sz w:val="16"/>
              </w:rPr>
              <w:t>600</w:t>
            </w:r>
          </w:p>
        </w:tc>
        <w:tc>
          <w:tcPr>
            <w:tcW w:w="550" w:type="dxa"/>
          </w:tcPr>
          <w:p>
            <w:pPr>
              <w:jc w:val="right"/>
              <w:spacing w:before="10" w:after="10"/>
            </w:pPr>
            <w:r/>
            <w:r>
              <w:rPr>
                <w:sz w:val="16"/>
              </w:rPr>
              <w:t>0.5</w:t>
            </w:r>
          </w:p>
        </w:tc>
        <w:tc>
          <w:tcPr>
            <w:tcW w:w="450" w:type="dxa"/>
          </w:tcPr>
          <w:p>
            <w:pPr>
              <w:jc w:val="right"/>
              <w:spacing w:before="10" w:after="10"/>
            </w:pPr>
            <w:r/>
            <w:r>
              <w:rPr>
                <w:sz w:val="16"/>
              </w:rPr>
              <w:t>0.94</w:t>
            </w:r>
          </w:p>
        </w:tc>
        <w:tc>
          <w:tcPr>
            <w:tcW w:w="650" w:type="dxa"/>
          </w:tcPr>
          <w:p>
            <w:pPr>
              <w:jc w:val="right"/>
              <w:spacing w:before="10" w:after="10"/>
            </w:pPr>
            <w:r/>
            <w:r>
              <w:rPr>
                <w:sz w:val="16"/>
              </w:rPr>
              <w:t>$1.50</w:t>
            </w:r>
          </w:p>
        </w:tc>
        <w:tc>
          <w:tcPr>
            <w:tcW w:w="700" w:type="dxa"/>
          </w:tcPr>
          <w:p>
            <w:pPr>
              <w:jc w:val="right"/>
              <w:spacing w:before="10" w:after="10"/>
            </w:pPr>
            <w:r/>
            <w:r>
              <w:rPr>
                <w:sz w:val="16"/>
              </w:rPr>
              <w:t>$0.119</w:t>
            </w:r>
          </w:p>
        </w:tc>
      </w:tr>
      <w:tr>
        <w:tc>
          <w:tcPr>
            <w:tcW w:w="1500" w:type="dxa"/>
          </w:tcPr>
          <w:p>
            <w:pPr>
              <w:spacing w:before="10" w:after="10"/>
            </w:pPr>
            <w:r/>
            <w:r>
              <w:rPr>
                <w:sz w:val="16"/>
              </w:rPr>
              <w:t>Latvia</w:t>
            </w:r>
          </w:p>
        </w:tc>
        <w:tc>
          <w:tcPr>
            <w:tcW w:w="650" w:type="dxa"/>
          </w:tcPr>
          <w:p>
            <w:pPr>
              <w:spacing w:before="10" w:after="10"/>
            </w:pPr>
            <w:r/>
            <w:r>
              <w:rPr>
                <w:sz w:val="16"/>
              </w:rPr>
              <w:t>$0.110</w:t>
            </w:r>
          </w:p>
        </w:tc>
        <w:tc>
          <w:tcPr>
            <w:tcW w:w="550" w:type="dxa"/>
          </w:tcPr>
          <w:p>
            <w:pPr>
              <w:jc w:val="right"/>
              <w:spacing w:before="10" w:after="10"/>
            </w:pPr>
            <w:r/>
            <w:r>
              <w:rPr>
                <w:sz w:val="16"/>
              </w:rPr>
              <w:t>18.4</w:t>
            </w:r>
          </w:p>
        </w:tc>
        <w:tc>
          <w:tcPr>
            <w:tcW w:w="500" w:type="dxa"/>
          </w:tcPr>
          <w:p>
            <w:pPr>
              <w:jc w:val="right"/>
              <w:spacing w:before="10" w:after="10"/>
            </w:pPr>
            <w:r/>
            <w:r>
              <w:rPr>
                <w:sz w:val="16"/>
              </w:rPr>
              <w:t>1.13</w:t>
            </w:r>
          </w:p>
        </w:tc>
        <w:tc>
          <w:tcPr>
            <w:tcW w:w="600" w:type="dxa"/>
          </w:tcPr>
          <w:p>
            <w:pPr>
              <w:jc w:val="right"/>
              <w:spacing w:before="10" w:after="10"/>
            </w:pPr>
            <w:r/>
            <w:r>
              <w:rPr>
                <w:sz w:val="16"/>
              </w:rPr>
              <w:t>$10.92</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450" w:type="dxa"/>
          </w:tcPr>
          <w:p>
            <w:pPr>
              <w:jc w:val="right"/>
              <w:spacing w:before="10" w:after="10"/>
            </w:pPr>
            <w:r/>
            <w:r>
              <w:rPr>
                <w:sz w:val="16"/>
              </w:rPr>
              <w:t>0.94</w:t>
            </w:r>
          </w:p>
        </w:tc>
        <w:tc>
          <w:tcPr>
            <w:tcW w:w="650" w:type="dxa"/>
          </w:tcPr>
          <w:p>
            <w:pPr>
              <w:jc w:val="right"/>
              <w:spacing w:before="10" w:after="10"/>
            </w:pPr>
            <w:r/>
            <w:r>
              <w:rPr>
                <w:sz w:val="16"/>
              </w:rPr>
              <w:t>$1.50</w:t>
            </w:r>
          </w:p>
        </w:tc>
        <w:tc>
          <w:tcPr>
            <w:tcW w:w="700" w:type="dxa"/>
          </w:tcPr>
          <w:p>
            <w:pPr>
              <w:jc w:val="right"/>
              <w:spacing w:before="10" w:after="10"/>
            </w:pPr>
            <w:r/>
            <w:r>
              <w:rPr>
                <w:sz w:val="16"/>
              </w:rPr>
              <w:t>$0.110</w:t>
            </w:r>
          </w:p>
        </w:tc>
      </w:tr>
      <w:tr>
        <w:tc>
          <w:tcPr>
            <w:tcW w:w="1500" w:type="dxa"/>
          </w:tcPr>
          <w:p>
            <w:pPr>
              <w:spacing w:before="10" w:after="10"/>
            </w:pPr>
            <w:r/>
            <w:r>
              <w:rPr>
                <w:sz w:val="16"/>
              </w:rPr>
              <w:t>Portugal</w:t>
            </w:r>
          </w:p>
        </w:tc>
        <w:tc>
          <w:tcPr>
            <w:tcW w:w="650" w:type="dxa"/>
          </w:tcPr>
          <w:p>
            <w:pPr>
              <w:spacing w:before="10" w:after="10"/>
            </w:pPr>
            <w:r/>
            <w:r>
              <w:rPr>
                <w:sz w:val="16"/>
              </w:rPr>
              <w:t>$0.109</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00" w:type="dxa"/>
          </w:tcPr>
          <w:p>
            <w:pPr>
              <w:jc w:val="right"/>
              <w:spacing w:before="10" w:after="10"/>
            </w:pPr>
            <w:r/>
            <w:r>
              <w:rPr>
                <w:sz w:val="16"/>
              </w:rPr>
              <w:t>$10.25</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0.96</w:t>
            </w:r>
          </w:p>
        </w:tc>
        <w:tc>
          <w:tcPr>
            <w:tcW w:w="650" w:type="dxa"/>
          </w:tcPr>
          <w:p>
            <w:pPr>
              <w:jc w:val="right"/>
              <w:spacing w:before="10" w:after="10"/>
            </w:pPr>
            <w:r/>
            <w:r>
              <w:rPr>
                <w:sz w:val="16"/>
              </w:rPr>
              <w:t>$1.50</w:t>
            </w:r>
          </w:p>
        </w:tc>
        <w:tc>
          <w:tcPr>
            <w:tcW w:w="700" w:type="dxa"/>
          </w:tcPr>
          <w:p>
            <w:pPr>
              <w:jc w:val="right"/>
              <w:spacing w:before="10" w:after="10"/>
            </w:pPr>
            <w:r/>
            <w:r>
              <w:rPr>
                <w:sz w:val="16"/>
              </w:rPr>
              <w:t>$0.109</w:t>
            </w:r>
          </w:p>
        </w:tc>
      </w:tr>
      <w:tr>
        <w:tc>
          <w:tcPr>
            <w:tcW w:w="1500" w:type="dxa"/>
          </w:tcPr>
          <w:p>
            <w:pPr>
              <w:spacing w:before="10" w:after="10"/>
            </w:pPr>
            <w:r/>
            <w:r>
              <w:rPr>
                <w:sz w:val="16"/>
              </w:rPr>
              <w:t>Malta</w:t>
            </w:r>
          </w:p>
        </w:tc>
        <w:tc>
          <w:tcPr>
            <w:tcW w:w="650" w:type="dxa"/>
          </w:tcPr>
          <w:p>
            <w:pPr>
              <w:spacing w:before="10" w:after="10"/>
            </w:pPr>
            <w:r/>
            <w:r>
              <w:rPr>
                <w:sz w:val="16"/>
              </w:rPr>
              <w:t>$0.111</w:t>
            </w:r>
          </w:p>
        </w:tc>
        <w:tc>
          <w:tcPr>
            <w:tcW w:w="550" w:type="dxa"/>
          </w:tcPr>
          <w:p>
            <w:pPr>
              <w:jc w:val="right"/>
              <w:spacing w:before="10" w:after="10"/>
            </w:pPr>
            <w:r/>
            <w:r>
              <w:rPr>
                <w:sz w:val="16"/>
              </w:rPr>
              <w:t>27.0</w:t>
            </w:r>
          </w:p>
        </w:tc>
        <w:tc>
          <w:tcPr>
            <w:tcW w:w="500" w:type="dxa"/>
          </w:tcPr>
          <w:p>
            <w:pPr>
              <w:jc w:val="right"/>
              <w:spacing w:before="10" w:after="10"/>
            </w:pPr>
            <w:r/>
            <w:r>
              <w:rPr>
                <w:sz w:val="16"/>
              </w:rPr>
              <w:t>1.26</w:t>
            </w:r>
          </w:p>
        </w:tc>
        <w:tc>
          <w:tcPr>
            <w:tcW w:w="600" w:type="dxa"/>
          </w:tcPr>
          <w:p>
            <w:pPr>
              <w:jc w:val="right"/>
              <w:spacing w:before="10" w:after="10"/>
            </w:pPr>
            <w:r/>
            <w:r>
              <w:rPr>
                <w:sz w:val="16"/>
              </w:rPr>
              <w:t>$9.40</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450" w:type="dxa"/>
          </w:tcPr>
          <w:p>
            <w:pPr>
              <w:jc w:val="right"/>
              <w:spacing w:before="10" w:after="10"/>
            </w:pPr>
            <w:r/>
            <w:r>
              <w:rPr>
                <w:sz w:val="16"/>
              </w:rPr>
              <w:t>1.00</w:t>
            </w:r>
          </w:p>
        </w:tc>
        <w:tc>
          <w:tcPr>
            <w:tcW w:w="650" w:type="dxa"/>
          </w:tcPr>
          <w:p>
            <w:pPr>
              <w:jc w:val="right"/>
              <w:spacing w:before="10" w:after="10"/>
            </w:pPr>
            <w:r/>
            <w:r>
              <w:rPr>
                <w:sz w:val="16"/>
              </w:rPr>
              <w:t>$1.51</w:t>
            </w:r>
          </w:p>
        </w:tc>
        <w:tc>
          <w:tcPr>
            <w:tcW w:w="700" w:type="dxa"/>
          </w:tcPr>
          <w:p>
            <w:pPr>
              <w:jc w:val="right"/>
              <w:spacing w:before="10" w:after="10"/>
            </w:pPr>
            <w:r/>
            <w:r>
              <w:rPr>
                <w:sz w:val="16"/>
              </w:rPr>
              <w:t>$0.111</w:t>
            </w:r>
          </w:p>
        </w:tc>
      </w:tr>
      <w:tr>
        <w:tc>
          <w:tcPr>
            <w:tcW w:w="1500" w:type="dxa"/>
          </w:tcPr>
          <w:p>
            <w:pPr>
              <w:spacing w:before="10" w:after="10"/>
            </w:pPr>
            <w:r/>
            <w:r>
              <w:rPr>
                <w:sz w:val="16"/>
              </w:rPr>
              <w:t>Malaysia</w:t>
            </w:r>
          </w:p>
        </w:tc>
        <w:tc>
          <w:tcPr>
            <w:tcW w:w="650" w:type="dxa"/>
          </w:tcPr>
          <w:p>
            <w:pPr>
              <w:spacing w:before="10" w:after="10"/>
            </w:pPr>
            <w:r/>
            <w:r>
              <w:rPr>
                <w:sz w:val="16"/>
              </w:rPr>
              <w:t>$0.099</w:t>
            </w:r>
          </w:p>
        </w:tc>
        <w:tc>
          <w:tcPr>
            <w:tcW w:w="550" w:type="dxa"/>
          </w:tcPr>
          <w:p>
            <w:pPr>
              <w:jc w:val="right"/>
              <w:spacing w:before="10" w:after="10"/>
            </w:pPr>
            <w:r/>
            <w:r>
              <w:rPr>
                <w:sz w:val="16"/>
              </w:rPr>
              <w:t>26.9</w:t>
            </w:r>
          </w:p>
        </w:tc>
        <w:tc>
          <w:tcPr>
            <w:tcW w:w="500" w:type="dxa"/>
          </w:tcPr>
          <w:p>
            <w:pPr>
              <w:jc w:val="right"/>
              <w:spacing w:before="10" w:after="10"/>
            </w:pPr>
            <w:r/>
            <w:r>
              <w:rPr>
                <w:sz w:val="16"/>
              </w:rPr>
              <w:t>1.26</w:t>
            </w:r>
          </w:p>
        </w:tc>
        <w:tc>
          <w:tcPr>
            <w:tcW w:w="600" w:type="dxa"/>
          </w:tcPr>
          <w:p>
            <w:pPr>
              <w:jc w:val="right"/>
              <w:spacing w:before="10" w:after="10"/>
            </w:pPr>
            <w:r/>
            <w:r>
              <w:rPr>
                <w:sz w:val="16"/>
              </w:rPr>
              <w:t>$11.37</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0.91</w:t>
            </w:r>
          </w:p>
        </w:tc>
        <w:tc>
          <w:tcPr>
            <w:tcW w:w="650" w:type="dxa"/>
          </w:tcPr>
          <w:p>
            <w:pPr>
              <w:jc w:val="right"/>
              <w:spacing w:before="10" w:after="10"/>
            </w:pPr>
            <w:r/>
            <w:r>
              <w:rPr>
                <w:sz w:val="16"/>
              </w:rPr>
              <w:t>$1.51</w:t>
            </w:r>
          </w:p>
        </w:tc>
        <w:tc>
          <w:tcPr>
            <w:tcW w:w="700" w:type="dxa"/>
          </w:tcPr>
          <w:p>
            <w:pPr>
              <w:jc w:val="right"/>
              <w:spacing w:before="10" w:after="10"/>
            </w:pPr>
            <w:r/>
            <w:r>
              <w:rPr>
                <w:sz w:val="16"/>
              </w:rPr>
              <w:t>$0.099</w:t>
            </w:r>
          </w:p>
        </w:tc>
      </w:tr>
      <w:tr>
        <w:tc>
          <w:tcPr>
            <w:tcW w:w="1500" w:type="dxa"/>
          </w:tcPr>
          <w:p>
            <w:pPr>
              <w:spacing w:before="10" w:after="10"/>
            </w:pPr>
            <w:r/>
            <w:r>
              <w:rPr>
                <w:sz w:val="16"/>
              </w:rPr>
              <w:t>Philippines</w:t>
            </w:r>
          </w:p>
        </w:tc>
        <w:tc>
          <w:tcPr>
            <w:tcW w:w="650" w:type="dxa"/>
          </w:tcPr>
          <w:p>
            <w:pPr>
              <w:spacing w:before="10" w:after="10"/>
            </w:pPr>
            <w:r/>
            <w:r>
              <w:rPr>
                <w:sz w:val="16"/>
              </w:rPr>
              <w:t>$0.115</w:t>
            </w:r>
          </w:p>
        </w:tc>
        <w:tc>
          <w:tcPr>
            <w:tcW w:w="550" w:type="dxa"/>
          </w:tcPr>
          <w:p>
            <w:pPr>
              <w:jc w:val="right"/>
              <w:spacing w:before="10" w:after="10"/>
            </w:pPr>
            <w:r/>
            <w:r>
              <w:rPr>
                <w:sz w:val="16"/>
              </w:rPr>
              <w:t>27.8</w:t>
            </w:r>
          </w:p>
        </w:tc>
        <w:tc>
          <w:tcPr>
            <w:tcW w:w="500" w:type="dxa"/>
          </w:tcPr>
          <w:p>
            <w:pPr>
              <w:jc w:val="right"/>
              <w:spacing w:before="10" w:after="10"/>
            </w:pPr>
            <w:r/>
            <w:r>
              <w:rPr>
                <w:sz w:val="16"/>
              </w:rPr>
              <w:t>1.27</w:t>
            </w:r>
          </w:p>
        </w:tc>
        <w:tc>
          <w:tcPr>
            <w:tcW w:w="600" w:type="dxa"/>
          </w:tcPr>
          <w:p>
            <w:pPr>
              <w:jc w:val="right"/>
              <w:spacing w:before="10" w:after="10"/>
            </w:pPr>
            <w:r/>
            <w:r>
              <w:rPr>
                <w:sz w:val="16"/>
              </w:rPr>
              <w:t>$8.80</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450" w:type="dxa"/>
          </w:tcPr>
          <w:p>
            <w:pPr>
              <w:jc w:val="right"/>
              <w:spacing w:before="10" w:after="10"/>
            </w:pPr>
            <w:r/>
            <w:r>
              <w:rPr>
                <w:sz w:val="16"/>
              </w:rPr>
              <w:t>0.81</w:t>
            </w:r>
          </w:p>
        </w:tc>
        <w:tc>
          <w:tcPr>
            <w:tcW w:w="650" w:type="dxa"/>
          </w:tcPr>
          <w:p>
            <w:pPr>
              <w:jc w:val="right"/>
              <w:spacing w:before="10" w:after="10"/>
            </w:pPr>
            <w:r/>
            <w:r>
              <w:rPr>
                <w:sz w:val="16"/>
              </w:rPr>
              <w:t>$1.51</w:t>
            </w:r>
          </w:p>
        </w:tc>
        <w:tc>
          <w:tcPr>
            <w:tcW w:w="700" w:type="dxa"/>
          </w:tcPr>
          <w:p>
            <w:pPr>
              <w:jc w:val="right"/>
              <w:spacing w:before="10" w:after="10"/>
            </w:pPr>
            <w:r/>
            <w:r>
              <w:rPr>
                <w:sz w:val="16"/>
              </w:rPr>
              <w:t>$0.115</w:t>
            </w:r>
          </w:p>
        </w:tc>
      </w:tr>
      <w:tr>
        <w:tc>
          <w:tcPr>
            <w:tcW w:w="1500" w:type="dxa"/>
          </w:tcPr>
          <w:p>
            <w:pPr>
              <w:spacing w:before="10" w:after="10"/>
            </w:pPr>
            <w:r/>
            <w:r>
              <w:rPr>
                <w:sz w:val="16"/>
              </w:rPr>
              <w:t>Israel</w:t>
            </w:r>
          </w:p>
        </w:tc>
        <w:tc>
          <w:tcPr>
            <w:tcW w:w="650" w:type="dxa"/>
          </w:tcPr>
          <w:p>
            <w:pPr>
              <w:spacing w:before="10" w:after="10"/>
            </w:pPr>
            <w:r/>
            <w:r>
              <w:rPr>
                <w:sz w:val="16"/>
              </w:rPr>
              <w:t>$0.108</w:t>
            </w:r>
          </w:p>
        </w:tc>
        <w:tc>
          <w:tcPr>
            <w:tcW w:w="550" w:type="dxa"/>
          </w:tcPr>
          <w:p>
            <w:pPr>
              <w:jc w:val="right"/>
              <w:spacing w:before="10" w:after="10"/>
            </w:pPr>
            <w:r/>
            <w:r>
              <w:rPr>
                <w:sz w:val="16"/>
              </w:rPr>
              <w:t>28.2</w:t>
            </w:r>
          </w:p>
        </w:tc>
        <w:tc>
          <w:tcPr>
            <w:tcW w:w="500" w:type="dxa"/>
          </w:tcPr>
          <w:p>
            <w:pPr>
              <w:jc w:val="right"/>
              <w:spacing w:before="10" w:after="10"/>
            </w:pPr>
            <w:r/>
            <w:r>
              <w:rPr>
                <w:sz w:val="16"/>
              </w:rPr>
              <w:t>1.28</w:t>
            </w:r>
          </w:p>
        </w:tc>
        <w:tc>
          <w:tcPr>
            <w:tcW w:w="600" w:type="dxa"/>
          </w:tcPr>
          <w:p>
            <w:pPr>
              <w:jc w:val="right"/>
              <w:spacing w:before="10" w:after="10"/>
            </w:pPr>
            <w:r/>
            <w:r>
              <w:rPr>
                <w:sz w:val="16"/>
              </w:rPr>
              <w:t>$10.09</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450" w:type="dxa"/>
          </w:tcPr>
          <w:p>
            <w:pPr>
              <w:jc w:val="right"/>
              <w:spacing w:before="10" w:after="10"/>
            </w:pPr>
            <w:r/>
            <w:r>
              <w:rPr>
                <w:sz w:val="16"/>
              </w:rPr>
              <w:t>0.96</w:t>
            </w:r>
          </w:p>
        </w:tc>
        <w:tc>
          <w:tcPr>
            <w:tcW w:w="650" w:type="dxa"/>
          </w:tcPr>
          <w:p>
            <w:pPr>
              <w:jc w:val="right"/>
              <w:spacing w:before="10" w:after="10"/>
            </w:pPr>
            <w:r/>
            <w:r>
              <w:rPr>
                <w:sz w:val="16"/>
              </w:rPr>
              <w:t>$1.51</w:t>
            </w:r>
          </w:p>
        </w:tc>
        <w:tc>
          <w:tcPr>
            <w:tcW w:w="700" w:type="dxa"/>
          </w:tcPr>
          <w:p>
            <w:pPr>
              <w:jc w:val="right"/>
              <w:spacing w:before="10" w:after="10"/>
            </w:pPr>
            <w:r/>
            <w:r>
              <w:rPr>
                <w:sz w:val="16"/>
              </w:rPr>
              <w:t>$0.108</w:t>
            </w:r>
          </w:p>
        </w:tc>
      </w:tr>
      <w:tr>
        <w:tc>
          <w:tcPr>
            <w:tcW w:w="1500" w:type="dxa"/>
          </w:tcPr>
          <w:p>
            <w:pPr>
              <w:spacing w:before="10" w:after="10"/>
            </w:pPr>
            <w:r/>
            <w:r>
              <w:rPr>
                <w:sz w:val="16"/>
              </w:rPr>
              <w:t>Spain</w:t>
            </w:r>
          </w:p>
        </w:tc>
        <w:tc>
          <w:tcPr>
            <w:tcW w:w="650" w:type="dxa"/>
          </w:tcPr>
          <w:p>
            <w:pPr>
              <w:spacing w:before="10" w:after="10"/>
            </w:pPr>
            <w:r/>
            <w:r>
              <w:rPr>
                <w:sz w:val="16"/>
              </w:rPr>
              <w:t>$0.113</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00" w:type="dxa"/>
          </w:tcPr>
          <w:p>
            <w:pPr>
              <w:jc w:val="right"/>
              <w:spacing w:before="10" w:after="10"/>
            </w:pPr>
            <w:r/>
            <w:r>
              <w:rPr>
                <w:sz w:val="16"/>
              </w:rPr>
              <w:t>$10.04</w:t>
            </w:r>
          </w:p>
        </w:tc>
        <w:tc>
          <w:tcPr>
            <w:tcW w:w="650" w:type="dxa"/>
          </w:tcPr>
          <w:p>
            <w:pPr>
              <w:jc w:val="right"/>
              <w:spacing w:before="10" w:after="10"/>
            </w:pPr>
            <w:r/>
            <w:r>
              <w:rPr>
                <w:sz w:val="16"/>
              </w:rPr>
              <w:t>720</w:t>
            </w:r>
          </w:p>
        </w:tc>
        <w:tc>
          <w:tcPr>
            <w:tcW w:w="550" w:type="dxa"/>
          </w:tcPr>
          <w:p>
            <w:pPr>
              <w:jc w:val="right"/>
              <w:spacing w:before="10" w:after="10"/>
            </w:pPr>
            <w:r/>
            <w:r>
              <w:rPr>
                <w:sz w:val="16"/>
              </w:rPr>
              <w:t>0.6</w:t>
            </w:r>
          </w:p>
        </w:tc>
        <w:tc>
          <w:tcPr>
            <w:tcW w:w="450" w:type="dxa"/>
          </w:tcPr>
          <w:p>
            <w:pPr>
              <w:jc w:val="right"/>
              <w:spacing w:before="10" w:after="10"/>
            </w:pPr>
            <w:r/>
            <w:r>
              <w:rPr>
                <w:sz w:val="16"/>
              </w:rPr>
              <w:t>0.96</w:t>
            </w:r>
          </w:p>
        </w:tc>
        <w:tc>
          <w:tcPr>
            <w:tcW w:w="650" w:type="dxa"/>
          </w:tcPr>
          <w:p>
            <w:pPr>
              <w:jc w:val="right"/>
              <w:spacing w:before="10" w:after="10"/>
            </w:pPr>
            <w:r/>
            <w:r>
              <w:rPr>
                <w:sz w:val="16"/>
              </w:rPr>
              <w:t>$1.51</w:t>
            </w:r>
          </w:p>
        </w:tc>
        <w:tc>
          <w:tcPr>
            <w:tcW w:w="700" w:type="dxa"/>
          </w:tcPr>
          <w:p>
            <w:pPr>
              <w:jc w:val="right"/>
              <w:spacing w:before="10" w:after="10"/>
            </w:pPr>
            <w:r/>
            <w:r>
              <w:rPr>
                <w:sz w:val="16"/>
              </w:rPr>
              <w:t>$0.113</w:t>
            </w:r>
          </w:p>
        </w:tc>
      </w:tr>
      <w:tr>
        <w:tc>
          <w:tcPr>
            <w:tcW w:w="1500" w:type="dxa"/>
          </w:tcPr>
          <w:p>
            <w:pPr>
              <w:spacing w:before="10" w:after="10"/>
            </w:pPr>
            <w:r/>
            <w:r>
              <w:rPr>
                <w:sz w:val="16"/>
              </w:rPr>
              <w:t>Thailand</w:t>
            </w:r>
          </w:p>
        </w:tc>
        <w:tc>
          <w:tcPr>
            <w:tcW w:w="650" w:type="dxa"/>
          </w:tcPr>
          <w:p>
            <w:pPr>
              <w:spacing w:before="10" w:after="10"/>
            </w:pPr>
            <w:r/>
            <w:r>
              <w:rPr>
                <w:sz w:val="16"/>
              </w:rPr>
              <w:t>$0.108</w:t>
            </w:r>
          </w:p>
        </w:tc>
        <w:tc>
          <w:tcPr>
            <w:tcW w:w="550" w:type="dxa"/>
          </w:tcPr>
          <w:p>
            <w:pPr>
              <w:jc w:val="right"/>
              <w:spacing w:before="10" w:after="10"/>
            </w:pPr>
            <w:r/>
            <w:r>
              <w:rPr>
                <w:sz w:val="16"/>
              </w:rPr>
              <w:t>29.3</w:t>
            </w:r>
          </w:p>
        </w:tc>
        <w:tc>
          <w:tcPr>
            <w:tcW w:w="500" w:type="dxa"/>
          </w:tcPr>
          <w:p>
            <w:pPr>
              <w:jc w:val="right"/>
              <w:spacing w:before="10" w:after="10"/>
            </w:pPr>
            <w:r/>
            <w:r>
              <w:rPr>
                <w:sz w:val="16"/>
              </w:rPr>
              <w:t>1.29</w:t>
            </w:r>
          </w:p>
        </w:tc>
        <w:tc>
          <w:tcPr>
            <w:tcW w:w="600" w:type="dxa"/>
          </w:tcPr>
          <w:p>
            <w:pPr>
              <w:jc w:val="right"/>
              <w:spacing w:before="10" w:after="10"/>
            </w:pPr>
            <w:r/>
            <w:r>
              <w:rPr>
                <w:sz w:val="16"/>
              </w:rPr>
              <w:t>$10.03</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450" w:type="dxa"/>
          </w:tcPr>
          <w:p>
            <w:pPr>
              <w:jc w:val="right"/>
              <w:spacing w:before="10" w:after="10"/>
            </w:pPr>
            <w:r/>
            <w:r>
              <w:rPr>
                <w:sz w:val="16"/>
              </w:rPr>
              <w:t>0.86</w:t>
            </w:r>
          </w:p>
        </w:tc>
        <w:tc>
          <w:tcPr>
            <w:tcW w:w="650" w:type="dxa"/>
          </w:tcPr>
          <w:p>
            <w:pPr>
              <w:jc w:val="right"/>
              <w:spacing w:before="10" w:after="10"/>
            </w:pPr>
            <w:r/>
            <w:r>
              <w:rPr>
                <w:sz w:val="16"/>
              </w:rPr>
              <w:t>$1.51</w:t>
            </w:r>
          </w:p>
        </w:tc>
        <w:tc>
          <w:tcPr>
            <w:tcW w:w="700" w:type="dxa"/>
          </w:tcPr>
          <w:p>
            <w:pPr>
              <w:jc w:val="right"/>
              <w:spacing w:before="10" w:after="10"/>
            </w:pPr>
            <w:r/>
            <w:r>
              <w:rPr>
                <w:sz w:val="16"/>
              </w:rPr>
              <w:t>$0.108</w:t>
            </w:r>
          </w:p>
        </w:tc>
      </w:tr>
      <w:tr>
        <w:tc>
          <w:tcPr>
            <w:tcW w:w="1500" w:type="dxa"/>
          </w:tcPr>
          <w:p>
            <w:pPr>
              <w:spacing w:before="10" w:after="10"/>
            </w:pPr>
            <w:r/>
            <w:r>
              <w:rPr>
                <w:sz w:val="16"/>
              </w:rPr>
              <w:t>Belgium</w:t>
            </w:r>
          </w:p>
        </w:tc>
        <w:tc>
          <w:tcPr>
            <w:tcW w:w="650" w:type="dxa"/>
          </w:tcPr>
          <w:p>
            <w:pPr>
              <w:spacing w:before="10" w:after="10"/>
            </w:pPr>
            <w:r/>
            <w:r>
              <w:rPr>
                <w:sz w:val="16"/>
              </w:rPr>
              <w:t>$0.125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00" w:type="dxa"/>
          </w:tcPr>
          <w:p>
            <w:pPr>
              <w:jc w:val="right"/>
              <w:spacing w:before="10" w:after="10"/>
            </w:pPr>
            <w:r/>
            <w:r>
              <w:rPr>
                <w:sz w:val="16"/>
              </w:rPr>
              <w:t>$9.97</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450" w:type="dxa"/>
          </w:tcPr>
          <w:p>
            <w:pPr>
              <w:jc w:val="right"/>
              <w:spacing w:before="10" w:after="10"/>
            </w:pPr>
            <w:r/>
            <w:r>
              <w:rPr>
                <w:sz w:val="16"/>
              </w:rPr>
              <w:t>0.99</w:t>
            </w:r>
          </w:p>
        </w:tc>
        <w:tc>
          <w:tcPr>
            <w:tcW w:w="650" w:type="dxa"/>
          </w:tcPr>
          <w:p>
            <w:pPr>
              <w:jc w:val="right"/>
              <w:spacing w:before="10" w:after="10"/>
            </w:pPr>
            <w:r/>
            <w:r>
              <w:rPr>
                <w:sz w:val="16"/>
              </w:rPr>
              <w:t>$1.51</w:t>
            </w:r>
          </w:p>
        </w:tc>
        <w:tc>
          <w:tcPr>
            <w:tcW w:w="700" w:type="dxa"/>
          </w:tcPr>
          <w:p>
            <w:pPr>
              <w:jc w:val="right"/>
              <w:spacing w:before="10" w:after="10"/>
            </w:pPr>
            <w:r/>
            <w:r>
              <w:rPr>
                <w:sz w:val="16"/>
              </w:rPr>
              <w:t>$0.125</w:t>
            </w:r>
          </w:p>
        </w:tc>
      </w:tr>
      <w:tr>
        <w:tc>
          <w:tcPr>
            <w:tcW w:w="1500" w:type="dxa"/>
          </w:tcPr>
          <w:p>
            <w:pPr>
              <w:spacing w:before="10" w:after="10"/>
            </w:pPr>
            <w:r/>
            <w:r>
              <w:rPr>
                <w:sz w:val="16"/>
              </w:rPr>
              <w:t>Serbia</w:t>
            </w:r>
          </w:p>
        </w:tc>
        <w:tc>
          <w:tcPr>
            <w:tcW w:w="650" w:type="dxa"/>
          </w:tcPr>
          <w:p>
            <w:pPr>
              <w:spacing w:before="10" w:after="10"/>
            </w:pPr>
            <w:r/>
            <w:r>
              <w:rPr>
                <w:sz w:val="16"/>
              </w:rPr>
              <w:t>$0.120</w:t>
            </w:r>
          </w:p>
        </w:tc>
        <w:tc>
          <w:tcPr>
            <w:tcW w:w="550" w:type="dxa"/>
          </w:tcPr>
          <w:p>
            <w:pPr>
              <w:jc w:val="right"/>
              <w:spacing w:before="10" w:after="10"/>
            </w:pPr>
            <w:r/>
            <w:r>
              <w:rPr>
                <w:sz w:val="16"/>
              </w:rPr>
              <w:t>23.2</w:t>
            </w:r>
          </w:p>
        </w:tc>
        <w:tc>
          <w:tcPr>
            <w:tcW w:w="500" w:type="dxa"/>
          </w:tcPr>
          <w:p>
            <w:pPr>
              <w:jc w:val="right"/>
              <w:spacing w:before="10" w:after="10"/>
            </w:pPr>
            <w:r/>
            <w:r>
              <w:rPr>
                <w:sz w:val="16"/>
              </w:rPr>
              <w:t>1.20</w:t>
            </w:r>
          </w:p>
        </w:tc>
        <w:tc>
          <w:tcPr>
            <w:tcW w:w="600" w:type="dxa"/>
          </w:tcPr>
          <w:p>
            <w:pPr>
              <w:jc w:val="right"/>
              <w:spacing w:before="10" w:after="10"/>
            </w:pPr>
            <w:r/>
            <w:r>
              <w:rPr>
                <w:sz w:val="16"/>
              </w:rPr>
              <w:t>$10.15</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450" w:type="dxa"/>
          </w:tcPr>
          <w:p>
            <w:pPr>
              <w:jc w:val="right"/>
              <w:spacing w:before="10" w:after="10"/>
            </w:pPr>
            <w:r/>
            <w:r>
              <w:rPr>
                <w:sz w:val="16"/>
              </w:rPr>
              <w:t>0.84</w:t>
            </w:r>
          </w:p>
        </w:tc>
        <w:tc>
          <w:tcPr>
            <w:tcW w:w="650" w:type="dxa"/>
          </w:tcPr>
          <w:p>
            <w:pPr>
              <w:jc w:val="right"/>
              <w:spacing w:before="10" w:after="10"/>
            </w:pPr>
            <w:r/>
            <w:r>
              <w:rPr>
                <w:sz w:val="16"/>
              </w:rPr>
              <w:t>$1.51</w:t>
            </w:r>
          </w:p>
        </w:tc>
        <w:tc>
          <w:tcPr>
            <w:tcW w:w="700" w:type="dxa"/>
          </w:tcPr>
          <w:p>
            <w:pPr>
              <w:jc w:val="right"/>
              <w:spacing w:before="10" w:after="10"/>
            </w:pPr>
            <w:r/>
            <w:r>
              <w:rPr>
                <w:sz w:val="16"/>
              </w:rPr>
              <w:t>$0.120</w:t>
            </w:r>
          </w:p>
        </w:tc>
      </w:tr>
      <w:tr>
        <w:tc>
          <w:tcPr>
            <w:tcW w:w="1500" w:type="dxa"/>
          </w:tcPr>
          <w:p>
            <w:pPr>
              <w:spacing w:before="10" w:after="10"/>
            </w:pPr>
            <w:r/>
            <w:r>
              <w:rPr>
                <w:sz w:val="16"/>
              </w:rPr>
              <w:t>Pakistan</w:t>
            </w:r>
          </w:p>
        </w:tc>
        <w:tc>
          <w:tcPr>
            <w:tcW w:w="650" w:type="dxa"/>
          </w:tcPr>
          <w:p>
            <w:pPr>
              <w:spacing w:before="10" w:after="10"/>
            </w:pPr>
            <w:r/>
            <w:r>
              <w:rPr>
                <w:sz w:val="16"/>
              </w:rPr>
              <w:t>$0.134</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00" w:type="dxa"/>
          </w:tcPr>
          <w:p>
            <w:pPr>
              <w:jc w:val="right"/>
              <w:spacing w:before="10" w:after="10"/>
            </w:pPr>
            <w:r/>
            <w:r>
              <w:rPr>
                <w:sz w:val="16"/>
              </w:rPr>
              <w:t>$6.57</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0.73</w:t>
            </w:r>
          </w:p>
        </w:tc>
        <w:tc>
          <w:tcPr>
            <w:tcW w:w="650" w:type="dxa"/>
          </w:tcPr>
          <w:p>
            <w:pPr>
              <w:jc w:val="right"/>
              <w:spacing w:before="10" w:after="10"/>
            </w:pPr>
            <w:r/>
            <w:r>
              <w:rPr>
                <w:sz w:val="16"/>
              </w:rPr>
              <w:t>$1.52</w:t>
            </w:r>
          </w:p>
        </w:tc>
        <w:tc>
          <w:tcPr>
            <w:tcW w:w="700" w:type="dxa"/>
          </w:tcPr>
          <w:p>
            <w:pPr>
              <w:jc w:val="right"/>
              <w:spacing w:before="10" w:after="10"/>
            </w:pPr>
            <w:r/>
            <w:r>
              <w:rPr>
                <w:sz w:val="16"/>
              </w:rPr>
              <w:t>$0.134</w:t>
            </w:r>
          </w:p>
        </w:tc>
      </w:tr>
      <w:tr>
        <w:tc>
          <w:tcPr>
            <w:tcW w:w="1500" w:type="dxa"/>
          </w:tcPr>
          <w:p>
            <w:pPr>
              <w:spacing w:before="10" w:after="10"/>
            </w:pPr>
            <w:r/>
            <w:r>
              <w:rPr>
                <w:sz w:val="16"/>
              </w:rPr>
              <w:t>Saudi Arabia</w:t>
            </w:r>
          </w:p>
        </w:tc>
        <w:tc>
          <w:tcPr>
            <w:tcW w:w="650" w:type="dxa"/>
          </w:tcPr>
          <w:p>
            <w:pPr>
              <w:spacing w:before="10" w:after="10"/>
            </w:pPr>
            <w:r/>
            <w:r>
              <w:rPr>
                <w:sz w:val="16"/>
              </w:rPr>
              <w:t>$0.053</w:t>
            </w:r>
          </w:p>
        </w:tc>
        <w:tc>
          <w:tcPr>
            <w:tcW w:w="550" w:type="dxa"/>
          </w:tcPr>
          <w:p>
            <w:pPr>
              <w:jc w:val="right"/>
              <w:spacing w:before="10" w:after="10"/>
            </w:pPr>
            <w:r/>
            <w:r>
              <w:rPr>
                <w:sz w:val="16"/>
              </w:rPr>
              <w:t>36.0</w:t>
            </w:r>
          </w:p>
        </w:tc>
        <w:tc>
          <w:tcPr>
            <w:tcW w:w="500" w:type="dxa"/>
          </w:tcPr>
          <w:p>
            <w:pPr>
              <w:jc w:val="right"/>
              <w:spacing w:before="10" w:after="10"/>
            </w:pPr>
            <w:r/>
            <w:r>
              <w:rPr>
                <w:sz w:val="16"/>
              </w:rPr>
              <w:t>1.40</w:t>
            </w:r>
          </w:p>
        </w:tc>
        <w:tc>
          <w:tcPr>
            <w:tcW w:w="600" w:type="dxa"/>
          </w:tcPr>
          <w:p>
            <w:pPr>
              <w:jc w:val="right"/>
              <w:spacing w:before="10" w:after="10"/>
            </w:pPr>
            <w:r/>
            <w:r>
              <w:rPr>
                <w:sz w:val="16"/>
              </w:rPr>
              <w:t>$11.34</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450" w:type="dxa"/>
          </w:tcPr>
          <w:p>
            <w:pPr>
              <w:jc w:val="right"/>
              <w:spacing w:before="10" w:after="10"/>
            </w:pPr>
            <w:r/>
            <w:r>
              <w:rPr>
                <w:sz w:val="16"/>
              </w:rPr>
              <w:t>0.89</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$0.100</w:t>
            </w:r>
          </w:p>
        </w:tc>
      </w:tr>
      <w:tr>
        <w:tc>
          <w:tcPr>
            <w:tcW w:w="1500" w:type="dxa"/>
          </w:tcPr>
          <w:p>
            <w:pPr>
              <w:spacing w:before="10" w:after="10"/>
            </w:pPr>
            <w:r/>
            <w:r>
              <w:rPr>
                <w:sz w:val="16"/>
              </w:rPr>
              <w:t>Luxembourg</w:t>
            </w:r>
          </w:p>
        </w:tc>
        <w:tc>
          <w:tcPr>
            <w:tcW w:w="650" w:type="dxa"/>
          </w:tcPr>
          <w:p>
            <w:pPr>
              <w:spacing w:before="10" w:after="10"/>
            </w:pPr>
            <w:r/>
            <w:r>
              <w:rPr>
                <w:sz w:val="16"/>
              </w:rPr>
              <w:t>$0.128</w:t>
            </w:r>
          </w:p>
        </w:tc>
        <w:tc>
          <w:tcPr>
            <w:tcW w:w="550" w:type="dxa"/>
          </w:tcPr>
          <w:p>
            <w:pPr>
              <w:jc w:val="right"/>
              <w:spacing w:before="10" w:after="10"/>
            </w:pPr>
            <w:r/>
            <w:r>
              <w:rPr>
                <w:sz w:val="16"/>
              </w:rPr>
              <w:t>18.0</w:t>
            </w:r>
          </w:p>
        </w:tc>
        <w:tc>
          <w:tcPr>
            <w:tcW w:w="500" w:type="dxa"/>
          </w:tcPr>
          <w:p>
            <w:pPr>
              <w:jc w:val="right"/>
              <w:spacing w:before="10" w:after="10"/>
            </w:pPr>
            <w:r/>
            <w:r>
              <w:rPr>
                <w:sz w:val="16"/>
              </w:rPr>
              <w:t>1.12</w:t>
            </w:r>
          </w:p>
        </w:tc>
        <w:tc>
          <w:tcPr>
            <w:tcW w:w="600" w:type="dxa"/>
          </w:tcPr>
          <w:p>
            <w:pPr>
              <w:jc w:val="right"/>
              <w:spacing w:before="10" w:after="10"/>
            </w:pPr>
            <w:r/>
            <w:r>
              <w:rPr>
                <w:sz w:val="16"/>
              </w:rPr>
              <w:t>$10.99</w:t>
            </w:r>
          </w:p>
        </w:tc>
        <w:tc>
          <w:tcPr>
            <w:tcW w:w="650" w:type="dxa"/>
          </w:tcPr>
          <w:p>
            <w:pPr>
              <w:jc w:val="right"/>
              <w:spacing w:before="10" w:after="10"/>
            </w:pPr>
            <w:r/>
            <w:r>
              <w:rPr>
                <w:sz w:val="16"/>
              </w:rPr>
              <w:t>70</w:t>
            </w:r>
          </w:p>
        </w:tc>
        <w:tc>
          <w:tcPr>
            <w:tcW w:w="550" w:type="dxa"/>
          </w:tcPr>
          <w:p>
            <w:pPr>
              <w:jc w:val="right"/>
              <w:spacing w:before="10" w:after="10"/>
            </w:pPr>
            <w:r/>
            <w:r>
              <w:rPr>
                <w:sz w:val="16"/>
              </w:rPr>
              <w:t>0.1</w:t>
            </w:r>
          </w:p>
        </w:tc>
        <w:tc>
          <w:tcPr>
            <w:tcW w:w="450" w:type="dxa"/>
          </w:tcPr>
          <w:p>
            <w:pPr>
              <w:jc w:val="right"/>
              <w:spacing w:before="10" w:after="10"/>
            </w:pPr>
            <w:r/>
            <w:r>
              <w:rPr>
                <w:sz w:val="16"/>
              </w:rPr>
              <w:t>1.00</w:t>
            </w:r>
          </w:p>
        </w:tc>
        <w:tc>
          <w:tcPr>
            <w:tcW w:w="650" w:type="dxa"/>
          </w:tcPr>
          <w:p>
            <w:pPr>
              <w:jc w:val="right"/>
              <w:spacing w:before="10" w:after="10"/>
            </w:pPr>
            <w:r/>
            <w:r>
              <w:rPr>
                <w:sz w:val="16"/>
              </w:rPr>
              <w:t>$1.52</w:t>
            </w:r>
          </w:p>
        </w:tc>
        <w:tc>
          <w:tcPr>
            <w:tcW w:w="700" w:type="dxa"/>
          </w:tcPr>
          <w:p>
            <w:pPr>
              <w:jc w:val="right"/>
              <w:spacing w:before="10" w:after="10"/>
            </w:pPr>
            <w:r/>
            <w:r>
              <w:rPr>
                <w:sz w:val="16"/>
              </w:rPr>
              <w:t>$0.128</w:t>
            </w:r>
          </w:p>
        </w:tc>
      </w:tr>
      <w:tr>
        <w:tc>
          <w:tcPr>
            <w:tcW w:w="1500" w:type="dxa"/>
          </w:tcPr>
          <w:p>
            <w:pPr>
              <w:spacing w:before="10" w:after="10"/>
            </w:pPr>
            <w:r/>
            <w:r>
              <w:rPr>
                <w:sz w:val="16"/>
              </w:rPr>
              <w:t>Netherlands</w:t>
            </w:r>
          </w:p>
        </w:tc>
        <w:tc>
          <w:tcPr>
            <w:tcW w:w="650" w:type="dxa"/>
          </w:tcPr>
          <w:p>
            <w:pPr>
              <w:spacing w:before="10" w:after="10"/>
            </w:pPr>
            <w:r/>
            <w:r>
              <w:rPr>
                <w:sz w:val="16"/>
              </w:rPr>
              <w:t>$0.130</w:t>
            </w:r>
          </w:p>
        </w:tc>
        <w:tc>
          <w:tcPr>
            <w:tcW w:w="550" w:type="dxa"/>
          </w:tcPr>
          <w:p>
            <w:pPr>
              <w:jc w:val="right"/>
              <w:spacing w:before="10" w:after="10"/>
            </w:pPr>
            <w:r/>
            <w:r>
              <w:rPr>
                <w:sz w:val="16"/>
              </w:rPr>
              <w:t>18.9</w:t>
            </w:r>
          </w:p>
        </w:tc>
        <w:tc>
          <w:tcPr>
            <w:tcW w:w="500" w:type="dxa"/>
          </w:tcPr>
          <w:p>
            <w:pPr>
              <w:jc w:val="right"/>
              <w:spacing w:before="10" w:after="10"/>
            </w:pPr>
            <w:r/>
            <w:r>
              <w:rPr>
                <w:sz w:val="16"/>
              </w:rPr>
              <w:t>1.14</w:t>
            </w:r>
          </w:p>
        </w:tc>
        <w:tc>
          <w:tcPr>
            <w:tcW w:w="600" w:type="dxa"/>
          </w:tcPr>
          <w:p>
            <w:pPr>
              <w:jc w:val="right"/>
              <w:spacing w:before="10" w:after="10"/>
            </w:pPr>
            <w:r/>
            <w:r>
              <w:rPr>
                <w:sz w:val="16"/>
              </w:rPr>
              <w:t>$10.81</w:t>
            </w:r>
          </w:p>
        </w:tc>
        <w:tc>
          <w:tcPr>
            <w:tcW w:w="650" w:type="dxa"/>
          </w:tcPr>
          <w:p>
            <w:pPr>
              <w:jc w:val="right"/>
              <w:spacing w:before="10" w:after="10"/>
            </w:pPr>
            <w:r/>
            <w:r>
              <w:rPr>
                <w:sz w:val="16"/>
              </w:rPr>
              <w:t>1,800</w:t>
            </w:r>
          </w:p>
        </w:tc>
        <w:tc>
          <w:tcPr>
            <w:tcW w:w="550" w:type="dxa"/>
          </w:tcPr>
          <w:p>
            <w:pPr>
              <w:jc w:val="right"/>
              <w:spacing w:before="10" w:after="10"/>
            </w:pPr>
            <w:r/>
            <w:r>
              <w:rPr>
                <w:sz w:val="16"/>
              </w:rPr>
              <w:t>1.5</w:t>
            </w:r>
          </w:p>
        </w:tc>
        <w:tc>
          <w:tcPr>
            <w:tcW w:w="450" w:type="dxa"/>
          </w:tcPr>
          <w:p>
            <w:pPr>
              <w:jc w:val="right"/>
              <w:spacing w:before="10" w:after="10"/>
            </w:pPr>
            <w:r/>
            <w:r>
              <w:rPr>
                <w:sz w:val="16"/>
              </w:rPr>
              <w:t>0.99</w:t>
            </w:r>
          </w:p>
        </w:tc>
        <w:tc>
          <w:tcPr>
            <w:tcW w:w="650" w:type="dxa"/>
          </w:tcPr>
          <w:p>
            <w:pPr>
              <w:jc w:val="right"/>
              <w:spacing w:before="10" w:after="10"/>
            </w:pPr>
            <w:r/>
            <w:r>
              <w:rPr>
                <w:sz w:val="16"/>
              </w:rPr>
              <w:t>$1.52</w:t>
            </w:r>
          </w:p>
        </w:tc>
        <w:tc>
          <w:tcPr>
            <w:tcW w:w="700" w:type="dxa"/>
          </w:tcPr>
          <w:p>
            <w:pPr>
              <w:jc w:val="right"/>
              <w:spacing w:before="10" w:after="10"/>
            </w:pPr>
            <w:r/>
            <w:r>
              <w:rPr>
                <w:sz w:val="16"/>
              </w:rPr>
              <w:t>$0.130</w:t>
            </w:r>
          </w:p>
        </w:tc>
      </w:tr>
      <w:tr>
        <w:tc>
          <w:tcPr>
            <w:tcW w:w="1500" w:type="dxa"/>
          </w:tcPr>
          <w:p>
            <w:pPr>
              <w:spacing w:before="10" w:after="10"/>
            </w:pPr>
            <w:r/>
            <w:r>
              <w:rPr>
                <w:sz w:val="16"/>
              </w:rPr>
              <w:t>Qatar</w:t>
            </w:r>
          </w:p>
        </w:tc>
        <w:tc>
          <w:tcPr>
            <w:tcW w:w="650" w:type="dxa"/>
          </w:tcPr>
          <w:p>
            <w:pPr>
              <w:spacing w:before="10" w:after="10"/>
            </w:pPr>
            <w:r/>
            <w:r>
              <w:rPr>
                <w:sz w:val="16"/>
              </w:rPr>
              <w:t>$0.036</w:t>
            </w:r>
          </w:p>
        </w:tc>
        <w:tc>
          <w:tcPr>
            <w:tcW w:w="550" w:type="dxa"/>
          </w:tcPr>
          <w:p>
            <w:pPr>
              <w:jc w:val="right"/>
              <w:spacing w:before="10" w:after="10"/>
            </w:pPr>
            <w:r/>
            <w:r>
              <w:rPr>
                <w:sz w:val="16"/>
              </w:rPr>
              <w:t>36.1</w:t>
            </w:r>
          </w:p>
        </w:tc>
        <w:tc>
          <w:tcPr>
            <w:tcW w:w="500" w:type="dxa"/>
          </w:tcPr>
          <w:p>
            <w:pPr>
              <w:jc w:val="right"/>
              <w:spacing w:before="10" w:after="10"/>
            </w:pPr>
            <w:r/>
            <w:r>
              <w:rPr>
                <w:sz w:val="16"/>
              </w:rPr>
              <w:t>1.40</w:t>
            </w:r>
          </w:p>
        </w:tc>
        <w:tc>
          <w:tcPr>
            <w:tcW w:w="600" w:type="dxa"/>
          </w:tcPr>
          <w:p>
            <w:pPr>
              <w:jc w:val="right"/>
              <w:spacing w:before="10" w:after="10"/>
            </w:pPr>
            <w:r/>
            <w:r>
              <w:rPr>
                <w:sz w:val="16"/>
              </w:rPr>
              <w:t>$11.86</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450" w:type="dxa"/>
          </w:tcPr>
          <w:p>
            <w:pPr>
              <w:jc w:val="right"/>
              <w:spacing w:before="10" w:after="10"/>
            </w:pPr>
            <w:r/>
            <w:r>
              <w:rPr>
                <w:sz w:val="16"/>
              </w:rPr>
              <w:t>0.92</w:t>
            </w:r>
          </w:p>
        </w:tc>
        <w:tc>
          <w:tcPr>
            <w:tcW w:w="650" w:type="dxa"/>
          </w:tcPr>
          <w:p>
            <w:pPr>
              <w:jc w:val="right"/>
              <w:spacing w:before="10" w:after="10"/>
            </w:pPr>
            <w:r/>
            <w:r>
              <w:rPr>
                <w:sz w:val="16"/>
              </w:rPr>
              <w:t>$1.46</w:t>
            </w:r>
          </w:p>
        </w:tc>
        <w:tc>
          <w:tcPr>
            <w:tcW w:w="700" w:type="dxa"/>
          </w:tcPr>
          <w:p>
            <w:pPr>
              <w:jc w:val="right"/>
              <w:spacing w:before="10" w:after="10"/>
            </w:pPr>
            <w:r>
              <w:rPr>
                <w:b/>
              </w:rPr>
            </w:r>
            <w:r>
              <w:rPr>
                <w:sz w:val="16"/>
                <w:b/>
              </w:rPr>
              <w:t>$0.100</w:t>
            </w:r>
          </w:p>
        </w:tc>
      </w:tr>
      <w:tr>
        <w:tc>
          <w:tcPr>
            <w:tcW w:w="1500" w:type="dxa"/>
          </w:tcPr>
          <w:p>
            <w:pPr>
              <w:spacing w:before="10" w:after="10"/>
            </w:pPr>
            <w:r/>
            <w:r>
              <w:rPr>
                <w:sz w:val="16"/>
              </w:rPr>
              <w:t>Estonia</w:t>
            </w:r>
          </w:p>
        </w:tc>
        <w:tc>
          <w:tcPr>
            <w:tcW w:w="650" w:type="dxa"/>
          </w:tcPr>
          <w:p>
            <w:pPr>
              <w:spacing w:before="10" w:after="10"/>
            </w:pPr>
            <w:r/>
            <w:r>
              <w:rPr>
                <w:sz w:val="16"/>
              </w:rPr>
              <w:t>$0.129</w:t>
            </w:r>
          </w:p>
        </w:tc>
        <w:tc>
          <w:tcPr>
            <w:tcW w:w="550" w:type="dxa"/>
          </w:tcPr>
          <w:p>
            <w:pPr>
              <w:jc w:val="right"/>
              <w:spacing w:before="10" w:after="10"/>
            </w:pPr>
            <w:r/>
            <w:r>
              <w:rPr>
                <w:sz w:val="16"/>
              </w:rPr>
              <w:t>18.2</w:t>
            </w:r>
          </w:p>
        </w:tc>
        <w:tc>
          <w:tcPr>
            <w:tcW w:w="500" w:type="dxa"/>
          </w:tcPr>
          <w:p>
            <w:pPr>
              <w:jc w:val="right"/>
              <w:spacing w:before="10" w:after="10"/>
            </w:pPr>
            <w:r/>
            <w:r>
              <w:rPr>
                <w:sz w:val="16"/>
              </w:rPr>
              <w:t>1.13</w:t>
            </w:r>
          </w:p>
        </w:tc>
        <w:tc>
          <w:tcPr>
            <w:tcW w:w="600" w:type="dxa"/>
          </w:tcPr>
          <w:p>
            <w:pPr>
              <w:jc w:val="right"/>
              <w:spacing w:before="10" w:after="10"/>
            </w:pPr>
            <w:r/>
            <w:r>
              <w:rPr>
                <w:sz w:val="16"/>
              </w:rPr>
              <w:t>$11.19</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0.97</w:t>
            </w:r>
          </w:p>
        </w:tc>
        <w:tc>
          <w:tcPr>
            <w:tcW w:w="650" w:type="dxa"/>
          </w:tcPr>
          <w:p>
            <w:pPr>
              <w:jc w:val="right"/>
              <w:spacing w:before="10" w:after="10"/>
            </w:pPr>
            <w:r/>
            <w:r>
              <w:rPr>
                <w:sz w:val="16"/>
              </w:rPr>
              <w:t>$1.52</w:t>
            </w:r>
          </w:p>
        </w:tc>
        <w:tc>
          <w:tcPr>
            <w:tcW w:w="700" w:type="dxa"/>
          </w:tcPr>
          <w:p>
            <w:pPr>
              <w:jc w:val="right"/>
              <w:spacing w:before="10" w:after="10"/>
            </w:pPr>
            <w:r/>
            <w:r>
              <w:rPr>
                <w:sz w:val="16"/>
              </w:rPr>
              <w:t>$0.129</w:t>
            </w:r>
          </w:p>
        </w:tc>
      </w:tr>
      <w:tr>
        <w:tc>
          <w:tcPr>
            <w:tcW w:w="1500" w:type="dxa"/>
          </w:tcPr>
          <w:p>
            <w:pPr>
              <w:spacing w:before="10" w:after="10"/>
            </w:pPr>
            <w:r/>
            <w:r>
              <w:rPr>
                <w:sz w:val="16"/>
              </w:rPr>
              <w:t>South Korea</w:t>
            </w:r>
          </w:p>
        </w:tc>
        <w:tc>
          <w:tcPr>
            <w:tcW w:w="650" w:type="dxa"/>
          </w:tcPr>
          <w:p>
            <w:pPr>
              <w:spacing w:before="10" w:after="10"/>
            </w:pPr>
            <w:r/>
            <w:r>
              <w:rPr>
                <w:sz w:val="16"/>
              </w:rPr>
              <w:t>$0.125</w:t>
            </w:r>
          </w:p>
        </w:tc>
        <w:tc>
          <w:tcPr>
            <w:tcW w:w="550" w:type="dxa"/>
          </w:tcPr>
          <w:p>
            <w:pPr>
              <w:jc w:val="right"/>
              <w:spacing w:before="10" w:after="10"/>
            </w:pPr>
            <w:r/>
            <w:r>
              <w:rPr>
                <w:sz w:val="16"/>
              </w:rPr>
              <w:t>26.0</w:t>
            </w:r>
          </w:p>
        </w:tc>
        <w:tc>
          <w:tcPr>
            <w:tcW w:w="500" w:type="dxa"/>
          </w:tcPr>
          <w:p>
            <w:pPr>
              <w:jc w:val="right"/>
              <w:spacing w:before="10" w:after="10"/>
            </w:pPr>
            <w:r/>
            <w:r>
              <w:rPr>
                <w:sz w:val="16"/>
              </w:rPr>
              <w:t>1.25</w:t>
            </w:r>
          </w:p>
        </w:tc>
        <w:tc>
          <w:tcPr>
            <w:tcW w:w="600" w:type="dxa"/>
          </w:tcPr>
          <w:p>
            <w:pPr>
              <w:jc w:val="right"/>
              <w:spacing w:before="10" w:after="10"/>
            </w:pPr>
            <w:r/>
            <w:r>
              <w:rPr>
                <w:sz w:val="16"/>
              </w:rPr>
              <w:t>$10.07</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450" w:type="dxa"/>
          </w:tcPr>
          <w:p>
            <w:pPr>
              <w:jc w:val="right"/>
              <w:spacing w:before="10" w:after="10"/>
            </w:pPr>
            <w:r/>
            <w:r>
              <w:rPr>
                <w:sz w:val="16"/>
              </w:rPr>
              <w:t>0.97</w:t>
            </w:r>
          </w:p>
        </w:tc>
        <w:tc>
          <w:tcPr>
            <w:tcW w:w="650" w:type="dxa"/>
          </w:tcPr>
          <w:p>
            <w:pPr>
              <w:jc w:val="right"/>
              <w:spacing w:before="10" w:after="10"/>
            </w:pPr>
            <w:r/>
            <w:r>
              <w:rPr>
                <w:sz w:val="16"/>
              </w:rPr>
              <w:t>$1.52</w:t>
            </w:r>
          </w:p>
        </w:tc>
        <w:tc>
          <w:tcPr>
            <w:tcW w:w="700" w:type="dxa"/>
          </w:tcPr>
          <w:p>
            <w:pPr>
              <w:jc w:val="right"/>
              <w:spacing w:before="10" w:after="10"/>
            </w:pPr>
            <w:r/>
            <w:r>
              <w:rPr>
                <w:sz w:val="16"/>
              </w:rPr>
              <w:t>$0.125</w:t>
            </w:r>
          </w:p>
        </w:tc>
      </w:tr>
      <w:tr>
        <w:tc>
          <w:tcPr>
            <w:tcW w:w="1500" w:type="dxa"/>
          </w:tcPr>
          <w:p>
            <w:pPr>
              <w:spacing w:before="10" w:after="10"/>
            </w:pPr>
            <w:r/>
            <w:r>
              <w:rPr>
                <w:sz w:val="16"/>
              </w:rPr>
              <w:t>Moldova</w:t>
            </w:r>
          </w:p>
        </w:tc>
        <w:tc>
          <w:tcPr>
            <w:tcW w:w="650" w:type="dxa"/>
          </w:tcPr>
          <w:p>
            <w:pPr>
              <w:spacing w:before="10" w:after="10"/>
            </w:pPr>
            <w:r/>
            <w:r>
              <w:rPr>
                <w:sz w:val="16"/>
              </w:rPr>
              <w:t>$0.135</w:t>
            </w:r>
          </w:p>
        </w:tc>
        <w:tc>
          <w:tcPr>
            <w:tcW w:w="550" w:type="dxa"/>
          </w:tcPr>
          <w:p>
            <w:pPr>
              <w:jc w:val="right"/>
              <w:spacing w:before="10" w:after="10"/>
            </w:pPr>
            <w:r/>
            <w:r>
              <w:rPr>
                <w:sz w:val="16"/>
              </w:rPr>
              <w:t>24.2</w:t>
            </w:r>
          </w:p>
        </w:tc>
        <w:tc>
          <w:tcPr>
            <w:tcW w:w="500" w:type="dxa"/>
          </w:tcPr>
          <w:p>
            <w:pPr>
              <w:jc w:val="right"/>
              <w:spacing w:before="10" w:after="10"/>
            </w:pPr>
            <w:r/>
            <w:r>
              <w:rPr>
                <w:sz w:val="16"/>
              </w:rPr>
              <w:t>1.22</w:t>
            </w:r>
          </w:p>
        </w:tc>
        <w:tc>
          <w:tcPr>
            <w:tcW w:w="600" w:type="dxa"/>
          </w:tcPr>
          <w:p>
            <w:pPr>
              <w:jc w:val="right"/>
              <w:spacing w:before="10" w:after="10"/>
            </w:pPr>
            <w:r/>
            <w:r>
              <w:rPr>
                <w:sz w:val="16"/>
              </w:rPr>
              <w:t>$9.21</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450" w:type="dxa"/>
          </w:tcPr>
          <w:p>
            <w:pPr>
              <w:jc w:val="right"/>
              <w:spacing w:before="10" w:after="10"/>
            </w:pPr>
            <w:r/>
            <w:r>
              <w:rPr>
                <w:sz w:val="16"/>
              </w:rPr>
              <w:t>0.81</w:t>
            </w:r>
          </w:p>
        </w:tc>
        <w:tc>
          <w:tcPr>
            <w:tcW w:w="650" w:type="dxa"/>
          </w:tcPr>
          <w:p>
            <w:pPr>
              <w:jc w:val="right"/>
              <w:spacing w:before="10" w:after="10"/>
            </w:pPr>
            <w:r/>
            <w:r>
              <w:rPr>
                <w:sz w:val="16"/>
              </w:rPr>
              <w:t>$1.52</w:t>
            </w:r>
          </w:p>
        </w:tc>
        <w:tc>
          <w:tcPr>
            <w:tcW w:w="700" w:type="dxa"/>
          </w:tcPr>
          <w:p>
            <w:pPr>
              <w:jc w:val="right"/>
              <w:spacing w:before="10" w:after="10"/>
            </w:pPr>
            <w:r/>
            <w:r>
              <w:rPr>
                <w:sz w:val="16"/>
              </w:rPr>
              <w:t>$0.135</w:t>
            </w:r>
          </w:p>
        </w:tc>
      </w:tr>
      <w:tr>
        <w:tc>
          <w:tcPr>
            <w:tcW w:w="1500" w:type="dxa"/>
          </w:tcPr>
          <w:p>
            <w:pPr>
              <w:spacing w:before="10" w:after="10"/>
            </w:pPr>
            <w:r/>
            <w:r>
              <w:rPr>
                <w:sz w:val="16"/>
              </w:rPr>
              <w:t>Denmark</w:t>
            </w:r>
          </w:p>
        </w:tc>
        <w:tc>
          <w:tcPr>
            <w:tcW w:w="650" w:type="dxa"/>
          </w:tcPr>
          <w:p>
            <w:pPr>
              <w:spacing w:before="10" w:after="10"/>
            </w:pPr>
            <w:r/>
            <w:r>
              <w:rPr>
                <w:sz w:val="16"/>
              </w:rPr>
              <w:t>$0.129</w:t>
            </w:r>
          </w:p>
        </w:tc>
        <w:tc>
          <w:tcPr>
            <w:tcW w:w="550" w:type="dxa"/>
          </w:tcPr>
          <w:p>
            <w:pPr>
              <w:jc w:val="right"/>
              <w:spacing w:before="10" w:after="10"/>
            </w:pPr>
            <w:r/>
            <w:r>
              <w:rPr>
                <w:sz w:val="16"/>
              </w:rPr>
              <w:t>17.2</w:t>
            </w:r>
          </w:p>
        </w:tc>
        <w:tc>
          <w:tcPr>
            <w:tcW w:w="500" w:type="dxa"/>
          </w:tcPr>
          <w:p>
            <w:pPr>
              <w:jc w:val="right"/>
              <w:spacing w:before="10" w:after="10"/>
            </w:pPr>
            <w:r/>
            <w:r>
              <w:rPr>
                <w:sz w:val="16"/>
              </w:rPr>
              <w:t>1.11</w:t>
            </w:r>
          </w:p>
        </w:tc>
        <w:tc>
          <w:tcPr>
            <w:tcW w:w="600" w:type="dxa"/>
          </w:tcPr>
          <w:p>
            <w:pPr>
              <w:jc w:val="right"/>
              <w:spacing w:before="10" w:after="10"/>
            </w:pPr>
            <w:r/>
            <w:r>
              <w:rPr>
                <w:sz w:val="16"/>
              </w:rPr>
              <w:t>$12.02</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450" w:type="dxa"/>
          </w:tcPr>
          <w:p>
            <w:pPr>
              <w:jc w:val="right"/>
              <w:spacing w:before="10" w:after="10"/>
            </w:pPr>
            <w:r/>
            <w:r>
              <w:rPr>
                <w:sz w:val="16"/>
              </w:rPr>
              <w:t>1.00</w:t>
            </w:r>
          </w:p>
        </w:tc>
        <w:tc>
          <w:tcPr>
            <w:tcW w:w="650" w:type="dxa"/>
          </w:tcPr>
          <w:p>
            <w:pPr>
              <w:jc w:val="right"/>
              <w:spacing w:before="10" w:after="10"/>
            </w:pPr>
            <w:r/>
            <w:r>
              <w:rPr>
                <w:sz w:val="16"/>
              </w:rPr>
              <w:t>$1.52</w:t>
            </w:r>
          </w:p>
        </w:tc>
        <w:tc>
          <w:tcPr>
            <w:tcW w:w="700" w:type="dxa"/>
          </w:tcPr>
          <w:p>
            <w:pPr>
              <w:jc w:val="right"/>
              <w:spacing w:before="10" w:after="10"/>
            </w:pPr>
            <w:r/>
            <w:r>
              <w:rPr>
                <w:sz w:val="16"/>
              </w:rPr>
              <w:t>$0.129</w:t>
            </w:r>
          </w:p>
        </w:tc>
      </w:tr>
      <w:tr>
        <w:tc>
          <w:tcPr>
            <w:tcW w:w="1500" w:type="dxa"/>
          </w:tcPr>
          <w:p>
            <w:pPr>
              <w:spacing w:before="10" w:after="10"/>
            </w:pPr>
            <w:r/>
            <w:r>
              <w:rPr>
                <w:sz w:val="16"/>
              </w:rPr>
              <w:t>Lithuania</w:t>
            </w:r>
          </w:p>
        </w:tc>
        <w:tc>
          <w:tcPr>
            <w:tcW w:w="650" w:type="dxa"/>
          </w:tcPr>
          <w:p>
            <w:pPr>
              <w:spacing w:before="10" w:after="10"/>
            </w:pPr>
            <w:r/>
            <w:r>
              <w:rPr>
                <w:sz w:val="16"/>
              </w:rPr>
              <w:t>$0.134</w:t>
            </w:r>
          </w:p>
        </w:tc>
        <w:tc>
          <w:tcPr>
            <w:tcW w:w="550" w:type="dxa"/>
          </w:tcPr>
          <w:p>
            <w:pPr>
              <w:jc w:val="right"/>
              <w:spacing w:before="10" w:after="10"/>
            </w:pPr>
            <w:r/>
            <w:r>
              <w:rPr>
                <w:sz w:val="16"/>
              </w:rPr>
              <w:t>18.8</w:t>
            </w:r>
          </w:p>
        </w:tc>
        <w:tc>
          <w:tcPr>
            <w:tcW w:w="500" w:type="dxa"/>
          </w:tcPr>
          <w:p>
            <w:pPr>
              <w:jc w:val="right"/>
              <w:spacing w:before="10" w:after="10"/>
            </w:pPr>
            <w:r/>
            <w:r>
              <w:rPr>
                <w:sz w:val="16"/>
              </w:rPr>
              <w:t>1.14</w:t>
            </w:r>
          </w:p>
        </w:tc>
        <w:tc>
          <w:tcPr>
            <w:tcW w:w="600" w:type="dxa"/>
          </w:tcPr>
          <w:p>
            <w:pPr>
              <w:jc w:val="right"/>
              <w:spacing w:before="10" w:after="10"/>
            </w:pPr>
            <w:r/>
            <w:r>
              <w:rPr>
                <w:sz w:val="16"/>
              </w:rPr>
              <w:t>$10.97</w:t>
            </w:r>
          </w:p>
        </w:tc>
        <w:tc>
          <w:tcPr>
            <w:tcW w:w="650" w:type="dxa"/>
          </w:tcPr>
          <w:p>
            <w:pPr>
              <w:jc w:val="right"/>
              <w:spacing w:before="10" w:after="10"/>
            </w:pPr>
            <w:r/>
            <w:r>
              <w:rPr>
                <w:sz w:val="16"/>
              </w:rPr>
              <w:t>55</w:t>
            </w:r>
          </w:p>
        </w:tc>
        <w:tc>
          <w:tcPr>
            <w:tcW w:w="550" w:type="dxa"/>
          </w:tcPr>
          <w:p>
            <w:pPr>
              <w:jc w:val="right"/>
              <w:spacing w:before="10" w:after="10"/>
            </w:pPr>
            <w:r/>
            <w:r>
              <w:rPr>
                <w:sz w:val="16"/>
              </w:rPr>
              <w:t>0.0</w:t>
            </w:r>
          </w:p>
        </w:tc>
        <w:tc>
          <w:tcPr>
            <w:tcW w:w="450" w:type="dxa"/>
          </w:tcPr>
          <w:p>
            <w:pPr>
              <w:jc w:val="right"/>
              <w:spacing w:before="10" w:after="10"/>
            </w:pPr>
            <w:r/>
            <w:r>
              <w:rPr>
                <w:sz w:val="16"/>
              </w:rPr>
              <w:t>0.94</w:t>
            </w:r>
          </w:p>
        </w:tc>
        <w:tc>
          <w:tcPr>
            <w:tcW w:w="650" w:type="dxa"/>
          </w:tcPr>
          <w:p>
            <w:pPr>
              <w:jc w:val="right"/>
              <w:spacing w:before="10" w:after="10"/>
            </w:pPr>
            <w:r/>
            <w:r>
              <w:rPr>
                <w:sz w:val="16"/>
              </w:rPr>
              <w:t>$1.52</w:t>
            </w:r>
          </w:p>
        </w:tc>
        <w:tc>
          <w:tcPr>
            <w:tcW w:w="700" w:type="dxa"/>
          </w:tcPr>
          <w:p>
            <w:pPr>
              <w:jc w:val="right"/>
              <w:spacing w:before="10" w:after="10"/>
            </w:pPr>
            <w:r/>
            <w:r>
              <w:rPr>
                <w:sz w:val="16"/>
              </w:rPr>
              <w:t>$0.134</w:t>
            </w:r>
          </w:p>
        </w:tc>
      </w:tr>
      <w:tr>
        <w:tc>
          <w:tcPr>
            <w:tcW w:w="1500" w:type="dxa"/>
          </w:tcPr>
          <w:p>
            <w:pPr>
              <w:spacing w:before="10" w:after="10"/>
            </w:pPr>
            <w:r/>
            <w:r>
              <w:rPr>
                <w:sz w:val="16"/>
              </w:rPr>
              <w:t>North Macedonia</w:t>
            </w:r>
          </w:p>
        </w:tc>
        <w:tc>
          <w:tcPr>
            <w:tcW w:w="650" w:type="dxa"/>
          </w:tcPr>
          <w:p>
            <w:pPr>
              <w:spacing w:before="10" w:after="10"/>
            </w:pPr>
            <w:r/>
            <w:r>
              <w:rPr>
                <w:sz w:val="16"/>
              </w:rPr>
              <w:t>$0.135</w:t>
            </w:r>
          </w:p>
        </w:tc>
        <w:tc>
          <w:tcPr>
            <w:tcW w:w="550" w:type="dxa"/>
          </w:tcPr>
          <w:p>
            <w:pPr>
              <w:jc w:val="right"/>
              <w:spacing w:before="10" w:after="10"/>
            </w:pPr>
            <w:r/>
            <w:r>
              <w:rPr>
                <w:sz w:val="16"/>
              </w:rPr>
              <w:t>24.0</w:t>
            </w:r>
          </w:p>
        </w:tc>
        <w:tc>
          <w:tcPr>
            <w:tcW w:w="500" w:type="dxa"/>
          </w:tcPr>
          <w:p>
            <w:pPr>
              <w:jc w:val="right"/>
              <w:spacing w:before="10" w:after="10"/>
            </w:pPr>
            <w:r/>
            <w:r>
              <w:rPr>
                <w:sz w:val="16"/>
              </w:rPr>
              <w:t>1.21</w:t>
            </w:r>
          </w:p>
        </w:tc>
        <w:tc>
          <w:tcPr>
            <w:tcW w:w="600" w:type="dxa"/>
          </w:tcPr>
          <w:p>
            <w:pPr>
              <w:jc w:val="right"/>
              <w:spacing w:before="10" w:after="10"/>
            </w:pPr>
            <w:r/>
            <w:r>
              <w:rPr>
                <w:sz w:val="16"/>
              </w:rPr>
              <w:t>$9.79</w:t>
            </w:r>
          </w:p>
        </w:tc>
        <w:tc>
          <w:tcPr>
            <w:tcW w:w="650" w:type="dxa"/>
          </w:tcPr>
          <w:p>
            <w:pPr>
              <w:jc w:val="right"/>
              <w:spacing w:before="10" w:after="10"/>
            </w:pPr>
            <w:r/>
            <w:r>
              <w:rPr>
                <w:sz w:val="16"/>
              </w:rPr>
              <w:t>18</w:t>
            </w:r>
          </w:p>
        </w:tc>
        <w:tc>
          <w:tcPr>
            <w:tcW w:w="550" w:type="dxa"/>
          </w:tcPr>
          <w:p>
            <w:pPr>
              <w:jc w:val="right"/>
              <w:spacing w:before="10" w:after="10"/>
            </w:pPr>
            <w:r/>
            <w:r>
              <w:rPr>
                <w:sz w:val="16"/>
              </w:rPr>
              <w:t>0.0</w:t>
            </w:r>
          </w:p>
        </w:tc>
        <w:tc>
          <w:tcPr>
            <w:tcW w:w="450" w:type="dxa"/>
          </w:tcPr>
          <w:p>
            <w:pPr>
              <w:jc w:val="right"/>
              <w:spacing w:before="10" w:after="10"/>
            </w:pPr>
            <w:r/>
            <w:r>
              <w:rPr>
                <w:sz w:val="16"/>
              </w:rPr>
              <w:t>0.84</w:t>
            </w:r>
          </w:p>
        </w:tc>
        <w:tc>
          <w:tcPr>
            <w:tcW w:w="650" w:type="dxa"/>
          </w:tcPr>
          <w:p>
            <w:pPr>
              <w:jc w:val="right"/>
              <w:spacing w:before="10" w:after="10"/>
            </w:pPr>
            <w:r/>
            <w:r>
              <w:rPr>
                <w:sz w:val="16"/>
              </w:rPr>
              <w:t>$1.53</w:t>
            </w:r>
          </w:p>
        </w:tc>
        <w:tc>
          <w:tcPr>
            <w:tcW w:w="700" w:type="dxa"/>
          </w:tcPr>
          <w:p>
            <w:pPr>
              <w:jc w:val="right"/>
              <w:spacing w:before="10" w:after="10"/>
            </w:pPr>
            <w:r/>
            <w:r>
              <w:rPr>
                <w:sz w:val="16"/>
              </w:rPr>
              <w:t>$0.135</w:t>
            </w:r>
          </w:p>
        </w:tc>
      </w:tr>
      <w:tr>
        <w:tc>
          <w:tcPr>
            <w:tcW w:w="1500" w:type="dxa"/>
          </w:tcPr>
          <w:p>
            <w:pPr>
              <w:spacing w:before="10" w:after="10"/>
            </w:pPr>
            <w:r/>
            <w:r>
              <w:rPr>
                <w:sz w:val="16"/>
              </w:rPr>
              <w:t>Ghana</w:t>
            </w:r>
          </w:p>
        </w:tc>
        <w:tc>
          <w:tcPr>
            <w:tcW w:w="650" w:type="dxa"/>
          </w:tcPr>
          <w:p>
            <w:pPr>
              <w:spacing w:before="10" w:after="10"/>
            </w:pPr>
            <w:r/>
            <w:r>
              <w:rPr>
                <w:sz w:val="16"/>
              </w:rPr>
              <w:t>$0.120</w:t>
            </w:r>
          </w:p>
        </w:tc>
        <w:tc>
          <w:tcPr>
            <w:tcW w:w="550" w:type="dxa"/>
          </w:tcPr>
          <w:p>
            <w:pPr>
              <w:jc w:val="right"/>
              <w:spacing w:before="10" w:after="10"/>
            </w:pPr>
            <w:r/>
            <w:r>
              <w:rPr>
                <w:sz w:val="16"/>
              </w:rPr>
              <w:t>30.7</w:t>
            </w:r>
          </w:p>
        </w:tc>
        <w:tc>
          <w:tcPr>
            <w:tcW w:w="500" w:type="dxa"/>
          </w:tcPr>
          <w:p>
            <w:pPr>
              <w:jc w:val="right"/>
              <w:spacing w:before="10" w:after="10"/>
            </w:pPr>
            <w:r/>
            <w:r>
              <w:rPr>
                <w:sz w:val="16"/>
              </w:rPr>
              <w:t>1.31</w:t>
            </w:r>
          </w:p>
        </w:tc>
        <w:tc>
          <w:tcPr>
            <w:tcW w:w="600" w:type="dxa"/>
          </w:tcPr>
          <w:p>
            <w:pPr>
              <w:jc w:val="right"/>
              <w:spacing w:before="10" w:after="10"/>
            </w:pPr>
            <w:r/>
            <w:r>
              <w:rPr>
                <w:sz w:val="16"/>
              </w:rPr>
              <w:t>$10.80</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450" w:type="dxa"/>
          </w:tcPr>
          <w:p>
            <w:pPr>
              <w:jc w:val="right"/>
              <w:spacing w:before="10" w:after="10"/>
            </w:pPr>
            <w:r/>
            <w:r>
              <w:rPr>
                <w:sz w:val="16"/>
              </w:rPr>
              <w:t>0.82</w:t>
            </w:r>
          </w:p>
        </w:tc>
        <w:tc>
          <w:tcPr>
            <w:tcW w:w="650" w:type="dxa"/>
          </w:tcPr>
          <w:p>
            <w:pPr>
              <w:jc w:val="right"/>
              <w:spacing w:before="10" w:after="10"/>
            </w:pPr>
            <w:r/>
            <w:r>
              <w:rPr>
                <w:sz w:val="16"/>
              </w:rPr>
              <w:t>$1.53</w:t>
            </w:r>
          </w:p>
        </w:tc>
        <w:tc>
          <w:tcPr>
            <w:tcW w:w="700" w:type="dxa"/>
          </w:tcPr>
          <w:p>
            <w:pPr>
              <w:jc w:val="right"/>
              <w:spacing w:before="10" w:after="10"/>
            </w:pPr>
            <w:r/>
            <w:r>
              <w:rPr>
                <w:sz w:val="16"/>
              </w:rPr>
              <w:t>$0.120</w:t>
            </w:r>
          </w:p>
        </w:tc>
      </w:tr>
      <w:tr>
        <w:tc>
          <w:tcPr>
            <w:tcW w:w="1500" w:type="dxa"/>
          </w:tcPr>
          <w:p>
            <w:pPr>
              <w:spacing w:before="10" w:after="10"/>
            </w:pPr>
            <w:r/>
            <w:r>
              <w:rPr>
                <w:sz w:val="16"/>
              </w:rPr>
              <w:t>Slovenia</w:t>
            </w:r>
          </w:p>
        </w:tc>
        <w:tc>
          <w:tcPr>
            <w:tcW w:w="650" w:type="dxa"/>
          </w:tcPr>
          <w:p>
            <w:pPr>
              <w:spacing w:before="10" w:after="10"/>
            </w:pPr>
            <w:r/>
            <w:r>
              <w:rPr>
                <w:sz w:val="16"/>
              </w:rPr>
              <w:t>$0.147</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00" w:type="dxa"/>
          </w:tcPr>
          <w:p>
            <w:pPr>
              <w:jc w:val="right"/>
              <w:spacing w:before="10" w:after="10"/>
            </w:pPr>
            <w:r/>
            <w:r>
              <w:rPr>
                <w:sz w:val="16"/>
              </w:rPr>
              <w:t>$10.17</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450" w:type="dxa"/>
          </w:tcPr>
          <w:p>
            <w:pPr>
              <w:jc w:val="right"/>
              <w:spacing w:before="10" w:after="10"/>
            </w:pPr>
            <w:r/>
            <w:r>
              <w:rPr>
                <w:sz w:val="16"/>
              </w:rPr>
              <w:t>0.96</w:t>
            </w:r>
          </w:p>
        </w:tc>
        <w:tc>
          <w:tcPr>
            <w:tcW w:w="650" w:type="dxa"/>
          </w:tcPr>
          <w:p>
            <w:pPr>
              <w:jc w:val="right"/>
              <w:spacing w:before="10" w:after="10"/>
            </w:pPr>
            <w:r/>
            <w:r>
              <w:rPr>
                <w:sz w:val="16"/>
              </w:rPr>
              <w:t>$1.53</w:t>
            </w:r>
          </w:p>
        </w:tc>
        <w:tc>
          <w:tcPr>
            <w:tcW w:w="700" w:type="dxa"/>
          </w:tcPr>
          <w:p>
            <w:pPr>
              <w:jc w:val="right"/>
              <w:spacing w:before="10" w:after="10"/>
            </w:pPr>
            <w:r/>
            <w:r>
              <w:rPr>
                <w:sz w:val="16"/>
              </w:rPr>
              <w:t>$0.147</w:t>
            </w:r>
          </w:p>
        </w:tc>
      </w:tr>
      <w:tr>
        <w:tc>
          <w:tcPr>
            <w:tcW w:w="1500" w:type="dxa"/>
          </w:tcPr>
          <w:p>
            <w:pPr>
              <w:spacing w:before="10" w:after="10"/>
            </w:pPr>
            <w:r/>
            <w:r>
              <w:rPr>
                <w:sz w:val="16"/>
              </w:rPr>
              <w:t>Albania</w:t>
            </w:r>
          </w:p>
        </w:tc>
        <w:tc>
          <w:tcPr>
            <w:tcW w:w="650" w:type="dxa"/>
          </w:tcPr>
          <w:p>
            <w:pPr>
              <w:spacing w:before="10" w:after="10"/>
            </w:pPr>
            <w:r/>
            <w:r>
              <w:rPr>
                <w:sz w:val="16"/>
              </w:rPr>
              <w:t>$0.147</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00" w:type="dxa"/>
          </w:tcPr>
          <w:p>
            <w:pPr>
              <w:jc w:val="right"/>
              <w:spacing w:before="10" w:after="10"/>
            </w:pPr>
            <w:r/>
            <w:r>
              <w:rPr>
                <w:sz w:val="16"/>
              </w:rPr>
              <w:t>$9.55</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0.79</w:t>
            </w:r>
          </w:p>
        </w:tc>
        <w:tc>
          <w:tcPr>
            <w:tcW w:w="650" w:type="dxa"/>
          </w:tcPr>
          <w:p>
            <w:pPr>
              <w:jc w:val="right"/>
              <w:spacing w:before="10" w:after="10"/>
            </w:pPr>
            <w:r/>
            <w:r>
              <w:rPr>
                <w:sz w:val="16"/>
              </w:rPr>
              <w:t>$1.53</w:t>
            </w:r>
          </w:p>
        </w:tc>
        <w:tc>
          <w:tcPr>
            <w:tcW w:w="700" w:type="dxa"/>
          </w:tcPr>
          <w:p>
            <w:pPr>
              <w:jc w:val="right"/>
              <w:spacing w:before="10" w:after="10"/>
            </w:pPr>
            <w:r/>
            <w:r>
              <w:rPr>
                <w:sz w:val="16"/>
              </w:rPr>
              <w:t>$0.147</w:t>
            </w:r>
          </w:p>
        </w:tc>
      </w:tr>
      <w:tr>
        <w:tc>
          <w:tcPr>
            <w:tcW w:w="1500" w:type="dxa"/>
          </w:tcPr>
          <w:p>
            <w:pPr>
              <w:spacing w:before="10" w:after="10"/>
            </w:pPr>
            <w:r/>
            <w:r>
              <w:rPr>
                <w:sz w:val="16"/>
              </w:rPr>
              <w:t>Romania</w:t>
            </w:r>
          </w:p>
        </w:tc>
        <w:tc>
          <w:tcPr>
            <w:tcW w:w="650" w:type="dxa"/>
          </w:tcPr>
          <w:p>
            <w:pPr>
              <w:spacing w:before="10" w:after="10"/>
            </w:pPr>
            <w:r/>
            <w:r>
              <w:rPr>
                <w:sz w:val="16"/>
              </w:rPr>
              <w:t>$0.156</w:t>
            </w:r>
          </w:p>
        </w:tc>
        <w:tc>
          <w:tcPr>
            <w:tcW w:w="550" w:type="dxa"/>
          </w:tcPr>
          <w:p>
            <w:pPr>
              <w:jc w:val="right"/>
              <w:spacing w:before="10" w:after="10"/>
            </w:pPr>
            <w:r/>
            <w:r>
              <w:rPr>
                <w:sz w:val="16"/>
              </w:rPr>
              <w:t>22.1</w:t>
            </w:r>
          </w:p>
        </w:tc>
        <w:tc>
          <w:tcPr>
            <w:tcW w:w="500" w:type="dxa"/>
          </w:tcPr>
          <w:p>
            <w:pPr>
              <w:jc w:val="right"/>
              <w:spacing w:before="10" w:after="10"/>
            </w:pPr>
            <w:r/>
            <w:r>
              <w:rPr>
                <w:sz w:val="16"/>
              </w:rPr>
              <w:t>1.19</w:t>
            </w:r>
          </w:p>
        </w:tc>
        <w:tc>
          <w:tcPr>
            <w:tcW w:w="600" w:type="dxa"/>
          </w:tcPr>
          <w:p>
            <w:pPr>
              <w:jc w:val="right"/>
              <w:spacing w:before="10" w:after="10"/>
            </w:pPr>
            <w:r/>
            <w:r>
              <w:rPr>
                <w:sz w:val="16"/>
              </w:rPr>
              <w:t>$9.24</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0.88</w:t>
            </w:r>
          </w:p>
        </w:tc>
        <w:tc>
          <w:tcPr>
            <w:tcW w:w="650" w:type="dxa"/>
          </w:tcPr>
          <w:p>
            <w:pPr>
              <w:jc w:val="right"/>
              <w:spacing w:before="10" w:after="10"/>
            </w:pPr>
            <w:r/>
            <w:r>
              <w:rPr>
                <w:sz w:val="16"/>
              </w:rPr>
              <w:t>$1.54</w:t>
            </w:r>
          </w:p>
        </w:tc>
        <w:tc>
          <w:tcPr>
            <w:tcW w:w="700" w:type="dxa"/>
          </w:tcPr>
          <w:p>
            <w:pPr>
              <w:jc w:val="right"/>
              <w:spacing w:before="10" w:after="10"/>
            </w:pPr>
            <w:r/>
            <w:r>
              <w:rPr>
                <w:sz w:val="16"/>
              </w:rPr>
              <w:t>$0.156</w:t>
            </w:r>
          </w:p>
        </w:tc>
      </w:tr>
      <w:tr>
        <w:tc>
          <w:tcPr>
            <w:tcW w:w="1500" w:type="dxa"/>
          </w:tcPr>
          <w:p>
            <w:pPr>
              <w:spacing w:before="10" w:after="10"/>
            </w:pPr>
            <w:r/>
            <w:r>
              <w:rPr>
                <w:sz w:val="16"/>
              </w:rPr>
              <w:t>Germany</w:t>
            </w:r>
          </w:p>
        </w:tc>
        <w:tc>
          <w:tcPr>
            <w:tcW w:w="650" w:type="dxa"/>
          </w:tcPr>
          <w:p>
            <w:pPr>
              <w:spacing w:before="10" w:after="10"/>
            </w:pPr>
            <w:r/>
            <w:r>
              <w:rPr>
                <w:sz w:val="16"/>
              </w:rPr>
              <w:t>$0.155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00" w:type="dxa"/>
          </w:tcPr>
          <w:p>
            <w:pPr>
              <w:jc w:val="right"/>
              <w:spacing w:before="10" w:after="10"/>
            </w:pPr>
            <w:r/>
            <w:r>
              <w:rPr>
                <w:sz w:val="16"/>
              </w:rPr>
              <w:t>$11.54</w:t>
            </w:r>
          </w:p>
        </w:tc>
        <w:tc>
          <w:tcPr>
            <w:tcW w:w="650" w:type="dxa"/>
          </w:tcPr>
          <w:p>
            <w:pPr>
              <w:jc w:val="right"/>
              <w:spacing w:before="10" w:after="10"/>
            </w:pPr>
            <w:r/>
            <w:r>
              <w:rPr>
                <w:sz w:val="16"/>
              </w:rPr>
              <w:t>1,955</w:t>
            </w:r>
          </w:p>
        </w:tc>
        <w:tc>
          <w:tcPr>
            <w:tcW w:w="550" w:type="dxa"/>
          </w:tcPr>
          <w:p>
            <w:pPr>
              <w:jc w:val="right"/>
              <w:spacing w:before="10" w:after="10"/>
            </w:pPr>
            <w:r/>
            <w:r>
              <w:rPr>
                <w:sz w:val="16"/>
              </w:rPr>
              <w:t>1.6</w:t>
            </w:r>
          </w:p>
        </w:tc>
        <w:tc>
          <w:tcPr>
            <w:tcW w:w="450" w:type="dxa"/>
          </w:tcPr>
          <w:p>
            <w:pPr>
              <w:jc w:val="right"/>
              <w:spacing w:before="10" w:after="10"/>
            </w:pPr>
            <w:r/>
            <w:r>
              <w:rPr>
                <w:sz w:val="16"/>
              </w:rPr>
              <w:t>0.98</w:t>
            </w:r>
          </w:p>
        </w:tc>
        <w:tc>
          <w:tcPr>
            <w:tcW w:w="650" w:type="dxa"/>
          </w:tcPr>
          <w:p>
            <w:pPr>
              <w:jc w:val="right"/>
              <w:spacing w:before="10" w:after="10"/>
            </w:pPr>
            <w:r/>
            <w:r>
              <w:rPr>
                <w:sz w:val="16"/>
              </w:rPr>
              <w:t>$1.54</w:t>
            </w:r>
          </w:p>
        </w:tc>
        <w:tc>
          <w:tcPr>
            <w:tcW w:w="700" w:type="dxa"/>
          </w:tcPr>
          <w:p>
            <w:pPr>
              <w:jc w:val="right"/>
              <w:spacing w:before="10" w:after="10"/>
            </w:pPr>
            <w:r/>
            <w:r>
              <w:rPr>
                <w:sz w:val="16"/>
              </w:rPr>
              <w:t>$0.155</w:t>
            </w:r>
          </w:p>
        </w:tc>
      </w:tr>
      <w:tr>
        <w:tc>
          <w:tcPr>
            <w:tcW w:w="1500" w:type="dxa"/>
          </w:tcPr>
          <w:p>
            <w:pPr>
              <w:spacing w:before="10" w:after="10"/>
            </w:pPr>
            <w:r/>
            <w:r>
              <w:rPr>
                <w:sz w:val="16"/>
              </w:rPr>
              <w:t>Greece</w:t>
            </w:r>
          </w:p>
        </w:tc>
        <w:tc>
          <w:tcPr>
            <w:tcW w:w="650" w:type="dxa"/>
          </w:tcPr>
          <w:p>
            <w:pPr>
              <w:spacing w:before="10" w:after="10"/>
            </w:pPr>
            <w:r/>
            <w:r>
              <w:rPr>
                <w:sz w:val="16"/>
              </w:rPr>
              <w:t>$0.165</w:t>
            </w:r>
          </w:p>
        </w:tc>
        <w:tc>
          <w:tcPr>
            <w:tcW w:w="550" w:type="dxa"/>
          </w:tcPr>
          <w:p>
            <w:pPr>
              <w:jc w:val="right"/>
              <w:spacing w:before="10" w:after="10"/>
            </w:pPr>
            <w:r/>
            <w:r>
              <w:rPr>
                <w:sz w:val="16"/>
              </w:rPr>
              <w:t>26.1</w:t>
            </w:r>
          </w:p>
        </w:tc>
        <w:tc>
          <w:tcPr>
            <w:tcW w:w="500" w:type="dxa"/>
          </w:tcPr>
          <w:p>
            <w:pPr>
              <w:jc w:val="right"/>
              <w:spacing w:before="10" w:after="10"/>
            </w:pPr>
            <w:r/>
            <w:r>
              <w:rPr>
                <w:sz w:val="16"/>
              </w:rPr>
              <w:t>1.25</w:t>
            </w:r>
          </w:p>
        </w:tc>
        <w:tc>
          <w:tcPr>
            <w:tcW w:w="600" w:type="dxa"/>
          </w:tcPr>
          <w:p>
            <w:pPr>
              <w:jc w:val="right"/>
              <w:spacing w:before="10" w:after="10"/>
            </w:pPr>
            <w:r/>
            <w:r>
              <w:rPr>
                <w:sz w:val="16"/>
              </w:rPr>
              <w:t>$7.84</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0.93</w:t>
            </w:r>
          </w:p>
        </w:tc>
        <w:tc>
          <w:tcPr>
            <w:tcW w:w="650" w:type="dxa"/>
          </w:tcPr>
          <w:p>
            <w:pPr>
              <w:jc w:val="right"/>
              <w:spacing w:before="10" w:after="10"/>
            </w:pPr>
            <w:r/>
            <w:r>
              <w:rPr>
                <w:sz w:val="16"/>
              </w:rPr>
              <w:t>$1.54</w:t>
            </w:r>
          </w:p>
        </w:tc>
        <w:tc>
          <w:tcPr>
            <w:tcW w:w="700" w:type="dxa"/>
          </w:tcPr>
          <w:p>
            <w:pPr>
              <w:jc w:val="right"/>
              <w:spacing w:before="10" w:after="10"/>
            </w:pPr>
            <w:r/>
            <w:r>
              <w:rPr>
                <w:sz w:val="16"/>
              </w:rPr>
              <w:t>$0.165</w:t>
            </w:r>
          </w:p>
        </w:tc>
      </w:tr>
      <w:tr>
        <w:tc>
          <w:tcPr>
            <w:tcW w:w="1500" w:type="dxa"/>
          </w:tcPr>
          <w:p>
            <w:pPr>
              <w:spacing w:before="10" w:after="10"/>
            </w:pPr>
            <w:r/>
            <w:r>
              <w:rPr>
                <w:sz w:val="16"/>
              </w:rPr>
              <w:t>Bulgaria</w:t>
            </w:r>
          </w:p>
        </w:tc>
        <w:tc>
          <w:tcPr>
            <w:tcW w:w="650" w:type="dxa"/>
          </w:tcPr>
          <w:p>
            <w:pPr>
              <w:spacing w:before="10" w:after="10"/>
            </w:pPr>
            <w:r/>
            <w:r>
              <w:rPr>
                <w:sz w:val="16"/>
              </w:rPr>
              <w:t>$0.155</w:t>
            </w:r>
          </w:p>
        </w:tc>
        <w:tc>
          <w:tcPr>
            <w:tcW w:w="550" w:type="dxa"/>
          </w:tcPr>
          <w:p>
            <w:pPr>
              <w:jc w:val="right"/>
              <w:spacing w:before="10" w:after="10"/>
            </w:pPr>
            <w:r/>
            <w:r>
              <w:rPr>
                <w:sz w:val="16"/>
              </w:rPr>
              <w:t>23.9</w:t>
            </w:r>
          </w:p>
        </w:tc>
        <w:tc>
          <w:tcPr>
            <w:tcW w:w="500" w:type="dxa"/>
          </w:tcPr>
          <w:p>
            <w:pPr>
              <w:jc w:val="right"/>
              <w:spacing w:before="10" w:after="10"/>
            </w:pPr>
            <w:r/>
            <w:r>
              <w:rPr>
                <w:sz w:val="16"/>
              </w:rPr>
              <w:t>1.21</w:t>
            </w:r>
          </w:p>
        </w:tc>
        <w:tc>
          <w:tcPr>
            <w:tcW w:w="600" w:type="dxa"/>
          </w:tcPr>
          <w:p>
            <w:pPr>
              <w:jc w:val="right"/>
              <w:spacing w:before="10" w:after="10"/>
            </w:pPr>
            <w:r/>
            <w:r>
              <w:rPr>
                <w:sz w:val="16"/>
              </w:rPr>
              <w:t>$10.31</w:t>
            </w:r>
          </w:p>
        </w:tc>
        <w:tc>
          <w:tcPr>
            <w:tcW w:w="650" w:type="dxa"/>
          </w:tcPr>
          <w:p>
            <w:pPr>
              <w:jc w:val="right"/>
              <w:spacing w:before="10" w:after="10"/>
            </w:pPr>
            <w:r/>
            <w:r>
              <w:rPr>
                <w:sz w:val="16"/>
              </w:rPr>
              <w:t>75</w:t>
            </w:r>
          </w:p>
        </w:tc>
        <w:tc>
          <w:tcPr>
            <w:tcW w:w="550" w:type="dxa"/>
          </w:tcPr>
          <w:p>
            <w:pPr>
              <w:jc w:val="right"/>
              <w:spacing w:before="10" w:after="10"/>
            </w:pPr>
            <w:r/>
            <w:r>
              <w:rPr>
                <w:sz w:val="16"/>
              </w:rPr>
              <w:t>0.1</w:t>
            </w:r>
          </w:p>
        </w:tc>
        <w:tc>
          <w:tcPr>
            <w:tcW w:w="450" w:type="dxa"/>
          </w:tcPr>
          <w:p>
            <w:pPr>
              <w:jc w:val="right"/>
              <w:spacing w:before="10" w:after="10"/>
            </w:pPr>
            <w:r/>
            <w:r>
              <w:rPr>
                <w:sz w:val="16"/>
              </w:rPr>
              <w:t>0.86</w:t>
            </w:r>
          </w:p>
        </w:tc>
        <w:tc>
          <w:tcPr>
            <w:tcW w:w="650" w:type="dxa"/>
          </w:tcPr>
          <w:p>
            <w:pPr>
              <w:jc w:val="right"/>
              <w:spacing w:before="10" w:after="10"/>
            </w:pPr>
            <w:r/>
            <w:r>
              <w:rPr>
                <w:sz w:val="16"/>
              </w:rPr>
              <w:t>$1.54</w:t>
            </w:r>
          </w:p>
        </w:tc>
        <w:tc>
          <w:tcPr>
            <w:tcW w:w="700" w:type="dxa"/>
          </w:tcPr>
          <w:p>
            <w:pPr>
              <w:jc w:val="right"/>
              <w:spacing w:before="10" w:after="10"/>
            </w:pPr>
            <w:r/>
            <w:r>
              <w:rPr>
                <w:sz w:val="16"/>
              </w:rPr>
              <w:t>$0.155</w:t>
            </w:r>
          </w:p>
        </w:tc>
      </w:tr>
      <w:tr>
        <w:tc>
          <w:tcPr>
            <w:tcW w:w="1500" w:type="dxa"/>
          </w:tcPr>
          <w:p>
            <w:pPr>
              <w:spacing w:before="10" w:after="10"/>
            </w:pPr>
            <w:r/>
            <w:r>
              <w:rPr>
                <w:sz w:val="16"/>
              </w:rPr>
              <w:t>Slovakia</w:t>
            </w:r>
          </w:p>
        </w:tc>
        <w:tc>
          <w:tcPr>
            <w:tcW w:w="650" w:type="dxa"/>
          </w:tcPr>
          <w:p>
            <w:pPr>
              <w:spacing w:before="10" w:after="10"/>
            </w:pPr>
            <w:r/>
            <w:r>
              <w:rPr>
                <w:sz w:val="16"/>
              </w:rPr>
              <w:t>$0.164</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00" w:type="dxa"/>
          </w:tcPr>
          <w:p>
            <w:pPr>
              <w:jc w:val="right"/>
              <w:spacing w:before="10" w:after="10"/>
            </w:pPr>
            <w:r/>
            <w:r>
              <w:rPr>
                <w:sz w:val="16"/>
              </w:rPr>
              <w:t>$10.02</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450" w:type="dxa"/>
          </w:tcPr>
          <w:p>
            <w:pPr>
              <w:jc w:val="right"/>
              <w:spacing w:before="10" w:after="10"/>
            </w:pPr>
            <w:r/>
            <w:r>
              <w:rPr>
                <w:sz w:val="16"/>
              </w:rPr>
              <w:t>0.94</w:t>
            </w:r>
          </w:p>
        </w:tc>
        <w:tc>
          <w:tcPr>
            <w:tcW w:w="650" w:type="dxa"/>
          </w:tcPr>
          <w:p>
            <w:pPr>
              <w:jc w:val="right"/>
              <w:spacing w:before="10" w:after="10"/>
            </w:pPr>
            <w:r/>
            <w:r>
              <w:rPr>
                <w:sz w:val="16"/>
              </w:rPr>
              <w:t>$1.55</w:t>
            </w:r>
          </w:p>
        </w:tc>
        <w:tc>
          <w:tcPr>
            <w:tcW w:w="700" w:type="dxa"/>
          </w:tcPr>
          <w:p>
            <w:pPr>
              <w:jc w:val="right"/>
              <w:spacing w:before="10" w:after="10"/>
            </w:pPr>
            <w:r/>
            <w:r>
              <w:rPr>
                <w:sz w:val="16"/>
              </w:rPr>
              <w:t>$0.164</w:t>
            </w:r>
          </w:p>
        </w:tc>
      </w:tr>
      <w:tr>
        <w:tc>
          <w:tcPr>
            <w:tcW w:w="1500" w:type="dxa"/>
          </w:tcPr>
          <w:p>
            <w:pPr>
              <w:spacing w:before="10" w:after="10"/>
            </w:pPr>
            <w:r/>
            <w:r>
              <w:rPr>
                <w:sz w:val="16"/>
              </w:rPr>
              <w:t>Austria</w:t>
            </w:r>
          </w:p>
        </w:tc>
        <w:tc>
          <w:tcPr>
            <w:tcW w:w="650" w:type="dxa"/>
          </w:tcPr>
          <w:p>
            <w:pPr>
              <w:spacing w:before="10" w:after="10"/>
            </w:pPr>
            <w:r/>
            <w:r>
              <w:rPr>
                <w:sz w:val="16"/>
              </w:rPr>
              <w:t>$0.160</w:t>
            </w:r>
          </w:p>
        </w:tc>
        <w:tc>
          <w:tcPr>
            <w:tcW w:w="550" w:type="dxa"/>
          </w:tcPr>
          <w:p>
            <w:pPr>
              <w:jc w:val="right"/>
              <w:spacing w:before="10" w:after="10"/>
            </w:pPr>
            <w:r/>
            <w:r>
              <w:rPr>
                <w:sz w:val="16"/>
              </w:rPr>
              <w:t>18.6</w:t>
            </w:r>
          </w:p>
        </w:tc>
        <w:tc>
          <w:tcPr>
            <w:tcW w:w="500" w:type="dxa"/>
          </w:tcPr>
          <w:p>
            <w:pPr>
              <w:jc w:val="right"/>
              <w:spacing w:before="10" w:after="10"/>
            </w:pPr>
            <w:r/>
            <w:r>
              <w:rPr>
                <w:sz w:val="16"/>
              </w:rPr>
              <w:t>1.13</w:t>
            </w:r>
          </w:p>
        </w:tc>
        <w:tc>
          <w:tcPr>
            <w:tcW w:w="600" w:type="dxa"/>
          </w:tcPr>
          <w:p>
            <w:pPr>
              <w:jc w:val="right"/>
              <w:spacing w:before="10" w:after="10"/>
            </w:pPr>
            <w:r/>
            <w:r>
              <w:rPr>
                <w:sz w:val="16"/>
              </w:rPr>
              <w:t>$11.81</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0.99</w:t>
            </w:r>
          </w:p>
        </w:tc>
        <w:tc>
          <w:tcPr>
            <w:tcW w:w="650" w:type="dxa"/>
          </w:tcPr>
          <w:p>
            <w:pPr>
              <w:jc w:val="right"/>
              <w:spacing w:before="10" w:after="10"/>
            </w:pPr>
            <w:r/>
            <w:r>
              <w:rPr>
                <w:sz w:val="16"/>
              </w:rPr>
              <w:t>$1.55</w:t>
            </w:r>
          </w:p>
        </w:tc>
        <w:tc>
          <w:tcPr>
            <w:tcW w:w="700" w:type="dxa"/>
          </w:tcPr>
          <w:p>
            <w:pPr>
              <w:jc w:val="right"/>
              <w:spacing w:before="10" w:after="10"/>
            </w:pPr>
            <w:r/>
            <w:r>
              <w:rPr>
                <w:sz w:val="16"/>
              </w:rPr>
              <w:t>$0.160</w:t>
            </w:r>
          </w:p>
        </w:tc>
      </w:tr>
      <w:tr>
        <w:tc>
          <w:tcPr>
            <w:tcW w:w="1500" w:type="dxa"/>
          </w:tcPr>
          <w:p>
            <w:pPr>
              <w:spacing w:before="10" w:after="10"/>
            </w:pPr>
            <w:r/>
            <w:r>
              <w:rPr>
                <w:sz w:val="16"/>
              </w:rPr>
              <w:t>Italy</w:t>
            </w:r>
          </w:p>
        </w:tc>
        <w:tc>
          <w:tcPr>
            <w:tcW w:w="650" w:type="dxa"/>
          </w:tcPr>
          <w:p>
            <w:pPr>
              <w:spacing w:before="10" w:after="10"/>
            </w:pPr>
            <w:r/>
            <w:r>
              <w:rPr>
                <w:sz w:val="16"/>
              </w:rPr>
              <w:t>$0.162</w:t>
            </w:r>
          </w:p>
        </w:tc>
        <w:tc>
          <w:tcPr>
            <w:tcW w:w="550" w:type="dxa"/>
          </w:tcPr>
          <w:p>
            <w:pPr>
              <w:jc w:val="right"/>
              <w:spacing w:before="10" w:after="10"/>
            </w:pPr>
            <w:r/>
            <w:r>
              <w:rPr>
                <w:sz w:val="16"/>
              </w:rPr>
              <w:t>24.0</w:t>
            </w:r>
          </w:p>
        </w:tc>
        <w:tc>
          <w:tcPr>
            <w:tcW w:w="500" w:type="dxa"/>
          </w:tcPr>
          <w:p>
            <w:pPr>
              <w:jc w:val="right"/>
              <w:spacing w:before="10" w:after="10"/>
            </w:pPr>
            <w:r/>
            <w:r>
              <w:rPr>
                <w:sz w:val="16"/>
              </w:rPr>
              <w:t>1.22</w:t>
            </w:r>
          </w:p>
        </w:tc>
        <w:tc>
          <w:tcPr>
            <w:tcW w:w="600" w:type="dxa"/>
          </w:tcPr>
          <w:p>
            <w:pPr>
              <w:jc w:val="right"/>
              <w:spacing w:before="10" w:after="10"/>
            </w:pPr>
            <w:r/>
            <w:r>
              <w:rPr>
                <w:sz w:val="16"/>
              </w:rPr>
              <w:t>$9.79</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450" w:type="dxa"/>
          </w:tcPr>
          <w:p>
            <w:pPr>
              <w:jc w:val="right"/>
              <w:spacing w:before="10" w:after="10"/>
            </w:pPr>
            <w:r/>
            <w:r>
              <w:rPr>
                <w:sz w:val="16"/>
              </w:rPr>
              <w:t>0.95</w:t>
            </w:r>
          </w:p>
        </w:tc>
        <w:tc>
          <w:tcPr>
            <w:tcW w:w="650" w:type="dxa"/>
          </w:tcPr>
          <w:p>
            <w:pPr>
              <w:jc w:val="right"/>
              <w:spacing w:before="10" w:after="10"/>
            </w:pPr>
            <w:r/>
            <w:r>
              <w:rPr>
                <w:sz w:val="16"/>
              </w:rPr>
              <w:t>$1.55</w:t>
            </w:r>
          </w:p>
        </w:tc>
        <w:tc>
          <w:tcPr>
            <w:tcW w:w="700" w:type="dxa"/>
          </w:tcPr>
          <w:p>
            <w:pPr>
              <w:jc w:val="right"/>
              <w:spacing w:before="10" w:after="10"/>
            </w:pPr>
            <w:r/>
            <w:r>
              <w:rPr>
                <w:sz w:val="16"/>
              </w:rPr>
              <w:t>$0.162</w:t>
            </w:r>
          </w:p>
        </w:tc>
      </w:tr>
      <w:tr>
        <w:tc>
          <w:tcPr>
            <w:tcW w:w="1500" w:type="dxa"/>
          </w:tcPr>
          <w:p>
            <w:pPr>
              <w:spacing w:before="10" w:after="10"/>
            </w:pPr>
            <w:r/>
            <w:r>
              <w:rPr>
                <w:sz w:val="16"/>
              </w:rPr>
              <w:t>Japan</w:t>
            </w:r>
          </w:p>
        </w:tc>
        <w:tc>
          <w:tcPr>
            <w:tcW w:w="650" w:type="dxa"/>
          </w:tcPr>
          <w:p>
            <w:pPr>
              <w:spacing w:before="10" w:after="10"/>
            </w:pPr>
            <w:r/>
            <w:r>
              <w:rPr>
                <w:sz w:val="16"/>
              </w:rPr>
              <w:t>$0.135</w:t>
            </w:r>
          </w:p>
        </w:tc>
        <w:tc>
          <w:tcPr>
            <w:tcW w:w="550" w:type="dxa"/>
          </w:tcPr>
          <w:p>
            <w:pPr>
              <w:jc w:val="right"/>
              <w:spacing w:before="10" w:after="10"/>
            </w:pPr>
            <w:r/>
            <w:r>
              <w:rPr>
                <w:sz w:val="16"/>
              </w:rPr>
              <w:t>25.2</w:t>
            </w:r>
          </w:p>
        </w:tc>
        <w:tc>
          <w:tcPr>
            <w:tcW w:w="500" w:type="dxa"/>
          </w:tcPr>
          <w:p>
            <w:pPr>
              <w:jc w:val="right"/>
              <w:spacing w:before="10" w:after="10"/>
            </w:pPr>
            <w:r/>
            <w:r>
              <w:rPr>
                <w:sz w:val="16"/>
              </w:rPr>
              <w:t>1.23</w:t>
            </w:r>
          </w:p>
        </w:tc>
        <w:tc>
          <w:tcPr>
            <w:tcW w:w="600" w:type="dxa"/>
          </w:tcPr>
          <w:p>
            <w:pPr>
              <w:jc w:val="right"/>
              <w:spacing w:before="10" w:after="10"/>
            </w:pPr>
            <w:r/>
            <w:r>
              <w:rPr>
                <w:sz w:val="16"/>
              </w:rPr>
              <w:t>$14.64</w:t>
            </w:r>
          </w:p>
        </w:tc>
        <w:tc>
          <w:tcPr>
            <w:tcW w:w="650" w:type="dxa"/>
          </w:tcPr>
          <w:p>
            <w:pPr>
              <w:jc w:val="right"/>
              <w:spacing w:before="10" w:after="10"/>
            </w:pPr>
            <w:r/>
            <w:r>
              <w:rPr>
                <w:sz w:val="16"/>
              </w:rPr>
              <w:t>2,400</w:t>
            </w:r>
          </w:p>
        </w:tc>
        <w:tc>
          <w:tcPr>
            <w:tcW w:w="550" w:type="dxa"/>
          </w:tcPr>
          <w:p>
            <w:pPr>
              <w:jc w:val="right"/>
              <w:spacing w:before="10" w:after="10"/>
            </w:pPr>
            <w:r/>
            <w:r>
              <w:rPr>
                <w:sz w:val="16"/>
              </w:rPr>
              <w:t>1.9</w:t>
            </w:r>
          </w:p>
        </w:tc>
        <w:tc>
          <w:tcPr>
            <w:tcW w:w="450" w:type="dxa"/>
          </w:tcPr>
          <w:p>
            <w:pPr>
              <w:jc w:val="right"/>
              <w:spacing w:before="10" w:after="10"/>
            </w:pPr>
            <w:r/>
            <w:r>
              <w:rPr>
                <w:sz w:val="16"/>
              </w:rPr>
              <w:t>0.99</w:t>
            </w:r>
          </w:p>
        </w:tc>
        <w:tc>
          <w:tcPr>
            <w:tcW w:w="650" w:type="dxa"/>
          </w:tcPr>
          <w:p>
            <w:pPr>
              <w:jc w:val="right"/>
              <w:spacing w:before="10" w:after="10"/>
            </w:pPr>
            <w:r/>
            <w:r>
              <w:rPr>
                <w:sz w:val="16"/>
              </w:rPr>
              <w:t>$1.55</w:t>
            </w:r>
          </w:p>
        </w:tc>
        <w:tc>
          <w:tcPr>
            <w:tcW w:w="700" w:type="dxa"/>
          </w:tcPr>
          <w:p>
            <w:pPr>
              <w:jc w:val="right"/>
              <w:spacing w:before="10" w:after="10"/>
            </w:pPr>
            <w:r/>
            <w:r>
              <w:rPr>
                <w:sz w:val="16"/>
              </w:rPr>
              <w:t>$0.135</w:t>
            </w:r>
          </w:p>
        </w:tc>
      </w:tr>
      <w:tr>
        <w:tc>
          <w:tcPr>
            <w:tcW w:w="1500" w:type="dxa"/>
          </w:tcPr>
          <w:p>
            <w:pPr>
              <w:spacing w:before="10" w:after="10"/>
            </w:pPr>
            <w:r/>
            <w:r>
              <w:rPr>
                <w:sz w:val="16"/>
              </w:rPr>
              <w:t>Czechia</w:t>
            </w:r>
          </w:p>
        </w:tc>
        <w:tc>
          <w:tcPr>
            <w:tcW w:w="650" w:type="dxa"/>
          </w:tcPr>
          <w:p>
            <w:pPr>
              <w:spacing w:before="10" w:after="10"/>
            </w:pPr>
            <w:r/>
            <w:r>
              <w:rPr>
                <w:sz w:val="16"/>
              </w:rPr>
              <w:t>$0.172</w:t>
            </w:r>
          </w:p>
        </w:tc>
        <w:tc>
          <w:tcPr>
            <w:tcW w:w="550" w:type="dxa"/>
          </w:tcPr>
          <w:p>
            <w:pPr>
              <w:jc w:val="right"/>
              <w:spacing w:before="10" w:after="10"/>
            </w:pPr>
            <w:r/>
            <w:r>
              <w:rPr>
                <w:sz w:val="16"/>
              </w:rPr>
              <w:t>19.1</w:t>
            </w:r>
          </w:p>
        </w:tc>
        <w:tc>
          <w:tcPr>
            <w:tcW w:w="500" w:type="dxa"/>
          </w:tcPr>
          <w:p>
            <w:pPr>
              <w:jc w:val="right"/>
              <w:spacing w:before="10" w:after="10"/>
            </w:pPr>
            <w:r/>
            <w:r>
              <w:rPr>
                <w:sz w:val="16"/>
              </w:rPr>
              <w:t>1.14</w:t>
            </w:r>
          </w:p>
        </w:tc>
        <w:tc>
          <w:tcPr>
            <w:tcW w:w="600" w:type="dxa"/>
          </w:tcPr>
          <w:p>
            <w:pPr>
              <w:jc w:val="right"/>
              <w:spacing w:before="10" w:after="10"/>
            </w:pPr>
            <w:r/>
            <w:r>
              <w:rPr>
                <w:sz w:val="16"/>
              </w:rPr>
              <w:t>$10.93</w:t>
            </w:r>
          </w:p>
        </w:tc>
        <w:tc>
          <w:tcPr>
            <w:tcW w:w="650" w:type="dxa"/>
          </w:tcPr>
          <w:p>
            <w:pPr>
              <w:jc w:val="right"/>
              <w:spacing w:before="10" w:after="10"/>
            </w:pPr>
            <w:r/>
            <w:r>
              <w:rPr>
                <w:sz w:val="16"/>
              </w:rPr>
              <w:t>130</w:t>
            </w:r>
          </w:p>
        </w:tc>
        <w:tc>
          <w:tcPr>
            <w:tcW w:w="550" w:type="dxa"/>
          </w:tcPr>
          <w:p>
            <w:pPr>
              <w:jc w:val="right"/>
              <w:spacing w:before="10" w:after="10"/>
            </w:pPr>
            <w:r/>
            <w:r>
              <w:rPr>
                <w:sz w:val="16"/>
              </w:rPr>
              <w:t>0.1</w:t>
            </w:r>
          </w:p>
        </w:tc>
        <w:tc>
          <w:tcPr>
            <w:tcW w:w="450" w:type="dxa"/>
          </w:tcPr>
          <w:p>
            <w:pPr>
              <w:jc w:val="right"/>
              <w:spacing w:before="10" w:after="10"/>
            </w:pPr>
            <w:r/>
            <w:r>
              <w:rPr>
                <w:sz w:val="16"/>
              </w:rPr>
              <w:t>0.95</w:t>
            </w:r>
          </w:p>
        </w:tc>
        <w:tc>
          <w:tcPr>
            <w:tcW w:w="650" w:type="dxa"/>
          </w:tcPr>
          <w:p>
            <w:pPr>
              <w:jc w:val="right"/>
              <w:spacing w:before="10" w:after="10"/>
            </w:pPr>
            <w:r/>
            <w:r>
              <w:rPr>
                <w:sz w:val="16"/>
              </w:rPr>
              <w:t>$1.55</w:t>
            </w:r>
          </w:p>
        </w:tc>
        <w:tc>
          <w:tcPr>
            <w:tcW w:w="700" w:type="dxa"/>
          </w:tcPr>
          <w:p>
            <w:pPr>
              <w:jc w:val="right"/>
              <w:spacing w:before="10" w:after="10"/>
            </w:pPr>
            <w:r/>
            <w:r>
              <w:rPr>
                <w:sz w:val="16"/>
              </w:rPr>
              <w:t>$0.172</w:t>
            </w:r>
          </w:p>
        </w:tc>
      </w:tr>
      <w:tr>
        <w:tc>
          <w:tcPr>
            <w:tcW w:w="1500" w:type="dxa"/>
          </w:tcPr>
          <w:p>
            <w:pPr>
              <w:spacing w:before="10" w:after="10"/>
            </w:pPr>
            <w:r/>
            <w:r>
              <w:rPr>
                <w:sz w:val="16"/>
              </w:rPr>
              <w:t>Switzerland</w:t>
            </w:r>
          </w:p>
        </w:tc>
        <w:tc>
          <w:tcPr>
            <w:tcW w:w="650" w:type="dxa"/>
          </w:tcPr>
          <w:p>
            <w:pPr>
              <w:spacing w:before="10" w:after="10"/>
            </w:pPr>
            <w:r/>
            <w:r>
              <w:rPr>
                <w:sz w:val="16"/>
              </w:rPr>
              <w:t>$0.160</w:t>
            </w:r>
          </w:p>
        </w:tc>
        <w:tc>
          <w:tcPr>
            <w:tcW w:w="550" w:type="dxa"/>
          </w:tcPr>
          <w:p>
            <w:pPr>
              <w:jc w:val="right"/>
              <w:spacing w:before="10" w:after="10"/>
            </w:pPr>
            <w:r/>
            <w:r>
              <w:rPr>
                <w:sz w:val="16"/>
              </w:rPr>
              <w:t>15.7</w:t>
            </w:r>
          </w:p>
        </w:tc>
        <w:tc>
          <w:tcPr>
            <w:tcW w:w="500" w:type="dxa"/>
          </w:tcPr>
          <w:p>
            <w:pPr>
              <w:jc w:val="right"/>
              <w:spacing w:before="10" w:after="10"/>
            </w:pPr>
            <w:r/>
            <w:r>
              <w:rPr>
                <w:sz w:val="16"/>
              </w:rPr>
              <w:t>1.09</w:t>
            </w:r>
          </w:p>
        </w:tc>
        <w:tc>
          <w:tcPr>
            <w:tcW w:w="600" w:type="dxa"/>
          </w:tcPr>
          <w:p>
            <w:pPr>
              <w:jc w:val="right"/>
              <w:spacing w:before="10" w:after="10"/>
            </w:pPr>
            <w:r/>
            <w:r>
              <w:rPr>
                <w:sz w:val="16"/>
              </w:rPr>
              <w:t>$14.24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1.00</w:t>
            </w:r>
          </w:p>
        </w:tc>
        <w:tc>
          <w:tcPr>
            <w:tcW w:w="650" w:type="dxa"/>
          </w:tcPr>
          <w:p>
            <w:pPr>
              <w:jc w:val="right"/>
              <w:spacing w:before="10" w:after="10"/>
            </w:pPr>
            <w:r/>
            <w:r>
              <w:rPr>
                <w:sz w:val="16"/>
              </w:rPr>
              <w:t>$1.56</w:t>
            </w:r>
          </w:p>
        </w:tc>
        <w:tc>
          <w:tcPr>
            <w:tcW w:w="700" w:type="dxa"/>
          </w:tcPr>
          <w:p>
            <w:pPr>
              <w:jc w:val="right"/>
              <w:spacing w:before="10" w:after="10"/>
            </w:pPr>
            <w:r/>
            <w:r>
              <w:rPr>
                <w:sz w:val="16"/>
              </w:rPr>
              <w:t>$0.160</w:t>
            </w:r>
          </w:p>
        </w:tc>
      </w:tr>
      <w:tr>
        <w:tc>
          <w:tcPr>
            <w:tcW w:w="1500" w:type="dxa"/>
          </w:tcPr>
          <w:p>
            <w:pPr>
              <w:spacing w:before="10" w:after="10"/>
            </w:pPr>
            <w:r/>
            <w:r>
              <w:rPr>
                <w:sz w:val="16"/>
              </w:rPr>
              <w:t>Hungary</w:t>
            </w:r>
          </w:p>
        </w:tc>
        <w:tc>
          <w:tcPr>
            <w:tcW w:w="650" w:type="dxa"/>
          </w:tcPr>
          <w:p>
            <w:pPr>
              <w:spacing w:before="10" w:after="10"/>
            </w:pPr>
            <w:r/>
            <w:r>
              <w:rPr>
                <w:sz w:val="16"/>
              </w:rPr>
              <w:t>$0.176</w:t>
            </w:r>
          </w:p>
        </w:tc>
        <w:tc>
          <w:tcPr>
            <w:tcW w:w="550" w:type="dxa"/>
          </w:tcPr>
          <w:p>
            <w:pPr>
              <w:jc w:val="right"/>
              <w:spacing w:before="10" w:after="10"/>
            </w:pPr>
            <w:r/>
            <w:r>
              <w:rPr>
                <w:sz w:val="16"/>
              </w:rPr>
              <w:t>23.6</w:t>
            </w:r>
          </w:p>
        </w:tc>
        <w:tc>
          <w:tcPr>
            <w:tcW w:w="500" w:type="dxa"/>
          </w:tcPr>
          <w:p>
            <w:pPr>
              <w:jc w:val="right"/>
              <w:spacing w:before="10" w:after="10"/>
            </w:pPr>
            <w:r/>
            <w:r>
              <w:rPr>
                <w:sz w:val="16"/>
              </w:rPr>
              <w:t>1.21</w:t>
            </w:r>
          </w:p>
        </w:tc>
        <w:tc>
          <w:tcPr>
            <w:tcW w:w="600" w:type="dxa"/>
          </w:tcPr>
          <w:p>
            <w:pPr>
              <w:jc w:val="right"/>
              <w:spacing w:before="10" w:after="10"/>
            </w:pPr>
            <w:r/>
            <w:r>
              <w:rPr>
                <w:sz w:val="16"/>
              </w:rPr>
              <w:t>$10.73</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0.92</w:t>
            </w:r>
          </w:p>
        </w:tc>
        <w:tc>
          <w:tcPr>
            <w:tcW w:w="650" w:type="dxa"/>
          </w:tcPr>
          <w:p>
            <w:pPr>
              <w:jc w:val="right"/>
              <w:spacing w:before="10" w:after="10"/>
            </w:pPr>
            <w:r/>
            <w:r>
              <w:rPr>
                <w:sz w:val="16"/>
              </w:rPr>
              <w:t>$1.56</w:t>
            </w:r>
          </w:p>
        </w:tc>
        <w:tc>
          <w:tcPr>
            <w:tcW w:w="700" w:type="dxa"/>
          </w:tcPr>
          <w:p>
            <w:pPr>
              <w:jc w:val="right"/>
              <w:spacing w:before="10" w:after="10"/>
            </w:pPr>
            <w:r/>
            <w:r>
              <w:rPr>
                <w:sz w:val="16"/>
              </w:rPr>
              <w:t>$0.176</w:t>
            </w:r>
          </w:p>
        </w:tc>
      </w:tr>
      <w:tr>
        <w:tc>
          <w:tcPr>
            <w:tcW w:w="1500" w:type="dxa"/>
          </w:tcPr>
          <w:p>
            <w:pPr>
              <w:spacing w:before="10" w:after="10"/>
            </w:pPr>
            <w:r/>
            <w:r>
              <w:rPr>
                <w:sz w:val="16"/>
              </w:rPr>
              <w:t>Singapore</w:t>
            </w:r>
          </w:p>
        </w:tc>
        <w:tc>
          <w:tcPr>
            <w:tcW w:w="650" w:type="dxa"/>
          </w:tcPr>
          <w:p>
            <w:pPr>
              <w:spacing w:before="10" w:after="10"/>
            </w:pPr>
            <w:r/>
            <w:r>
              <w:rPr>
                <w:sz w:val="16"/>
              </w:rPr>
              <w:t>$0.145</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00" w:type="dxa"/>
          </w:tcPr>
          <w:p>
            <w:pPr>
              <w:jc w:val="right"/>
              <w:spacing w:before="10" w:after="10"/>
            </w:pPr>
            <w:r/>
            <w:r>
              <w:rPr>
                <w:sz w:val="16"/>
              </w:rPr>
              <w:t>$14.53</w:t>
            </w:r>
          </w:p>
        </w:tc>
        <w:tc>
          <w:tcPr>
            <w:tcW w:w="650" w:type="dxa"/>
          </w:tcPr>
          <w:p>
            <w:pPr>
              <w:jc w:val="right"/>
              <w:spacing w:before="10" w:after="10"/>
            </w:pPr>
            <w:r/>
            <w:r>
              <w:rPr>
                <w:sz w:val="16"/>
              </w:rPr>
              <w:t>1,130</w:t>
            </w:r>
          </w:p>
        </w:tc>
        <w:tc>
          <w:tcPr>
            <w:tcW w:w="550" w:type="dxa"/>
          </w:tcPr>
          <w:p>
            <w:pPr>
              <w:jc w:val="right"/>
              <w:spacing w:before="10" w:after="10"/>
            </w:pPr>
            <w:r/>
            <w:r>
              <w:rPr>
                <w:sz w:val="16"/>
              </w:rPr>
              <w:t>0.9</w:t>
            </w:r>
          </w:p>
        </w:tc>
        <w:tc>
          <w:tcPr>
            <w:tcW w:w="450" w:type="dxa"/>
          </w:tcPr>
          <w:p>
            <w:pPr>
              <w:jc w:val="right"/>
              <w:spacing w:before="10" w:after="10"/>
            </w:pPr>
            <w:r/>
            <w:r>
              <w:rPr>
                <w:sz w:val="16"/>
              </w:rPr>
              <w:t>1.00</w:t>
            </w:r>
          </w:p>
        </w:tc>
        <w:tc>
          <w:tcPr>
            <w:tcW w:w="650" w:type="dxa"/>
          </w:tcPr>
          <w:p>
            <w:pPr>
              <w:jc w:val="right"/>
              <w:spacing w:before="10" w:after="10"/>
            </w:pPr>
            <w:r/>
            <w:r>
              <w:rPr>
                <w:sz w:val="16"/>
              </w:rPr>
              <w:t>$1.57</w:t>
            </w:r>
          </w:p>
        </w:tc>
        <w:tc>
          <w:tcPr>
            <w:tcW w:w="700" w:type="dxa"/>
          </w:tcPr>
          <w:p>
            <w:pPr>
              <w:jc w:val="right"/>
              <w:spacing w:before="10" w:after="10"/>
            </w:pPr>
            <w:r/>
            <w:r>
              <w:rPr>
                <w:sz w:val="16"/>
              </w:rPr>
              <w:t>$0.145</w:t>
            </w:r>
          </w:p>
        </w:tc>
      </w:tr>
      <w:tr>
        <w:tc>
          <w:tcPr>
            <w:tcW w:w="1500" w:type="dxa"/>
          </w:tcPr>
          <w:p>
            <w:pPr>
              <w:spacing w:before="10" w:after="10"/>
            </w:pPr>
            <w:r/>
            <w:r>
              <w:rPr>
                <w:sz w:val="16"/>
              </w:rPr>
              <w:t>Cyprus</w:t>
            </w:r>
          </w:p>
        </w:tc>
        <w:tc>
          <w:tcPr>
            <w:tcW w:w="650" w:type="dxa"/>
          </w:tcPr>
          <w:p>
            <w:pPr>
              <w:spacing w:before="10" w:after="10"/>
            </w:pPr>
            <w:r/>
            <w:r>
              <w:rPr>
                <w:sz w:val="16"/>
              </w:rPr>
              <w:t>$0.185</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00" w:type="dxa"/>
          </w:tcPr>
          <w:p>
            <w:pPr>
              <w:jc w:val="right"/>
              <w:spacing w:before="10" w:after="10"/>
            </w:pPr>
            <w:r/>
            <w:r>
              <w:rPr>
                <w:sz w:val="16"/>
              </w:rPr>
              <w:t>$10.29</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450" w:type="dxa"/>
          </w:tcPr>
          <w:p>
            <w:pPr>
              <w:jc w:val="right"/>
              <w:spacing w:before="10" w:after="10"/>
            </w:pPr>
            <w:r/>
            <w:r>
              <w:rPr>
                <w:sz w:val="16"/>
              </w:rPr>
              <w:t>1.00</w:t>
            </w:r>
          </w:p>
        </w:tc>
        <w:tc>
          <w:tcPr>
            <w:tcW w:w="650" w:type="dxa"/>
          </w:tcPr>
          <w:p>
            <w:pPr>
              <w:jc w:val="right"/>
              <w:spacing w:before="10" w:after="10"/>
            </w:pPr>
            <w:r/>
            <w:r>
              <w:rPr>
                <w:sz w:val="16"/>
              </w:rPr>
              <w:t>$1.58</w:t>
            </w:r>
          </w:p>
        </w:tc>
        <w:tc>
          <w:tcPr>
            <w:tcW w:w="700" w:type="dxa"/>
          </w:tcPr>
          <w:p>
            <w:pPr>
              <w:jc w:val="right"/>
              <w:spacing w:before="10" w:after="10"/>
            </w:pPr>
            <w:r/>
            <w:r>
              <w:rPr>
                <w:sz w:val="16"/>
              </w:rPr>
              <w:t>$0.185</w:t>
            </w:r>
          </w:p>
        </w:tc>
      </w:tr>
      <w:tr>
        <w:tc>
          <w:tcPr>
            <w:tcW w:w="1500" w:type="dxa"/>
          </w:tcPr>
          <w:p>
            <w:pPr>
              <w:spacing w:before="10" w:after="10"/>
            </w:pPr>
            <w:r/>
            <w:r>
              <w:rPr>
                <w:sz w:val="16"/>
              </w:rPr>
              <w:t>Senegal</w:t>
            </w:r>
          </w:p>
        </w:tc>
        <w:tc>
          <w:tcPr>
            <w:tcW w:w="650" w:type="dxa"/>
          </w:tcPr>
          <w:p>
            <w:pPr>
              <w:spacing w:before="10" w:after="10"/>
            </w:pPr>
            <w:r/>
            <w:r>
              <w:rPr>
                <w:sz w:val="16"/>
              </w:rPr>
              <w:t>$0.180</w:t>
            </w:r>
          </w:p>
        </w:tc>
        <w:tc>
          <w:tcPr>
            <w:tcW w:w="550" w:type="dxa"/>
          </w:tcPr>
          <w:p>
            <w:pPr>
              <w:jc w:val="right"/>
              <w:spacing w:before="10" w:after="10"/>
            </w:pPr>
            <w:r/>
            <w:r>
              <w:rPr>
                <w:sz w:val="16"/>
              </w:rPr>
              <w:t>32.4</w:t>
            </w:r>
          </w:p>
        </w:tc>
        <w:tc>
          <w:tcPr>
            <w:tcW w:w="500" w:type="dxa"/>
          </w:tcPr>
          <w:p>
            <w:pPr>
              <w:jc w:val="right"/>
              <w:spacing w:before="10" w:after="10"/>
            </w:pPr>
            <w:r/>
            <w:r>
              <w:rPr>
                <w:sz w:val="16"/>
              </w:rPr>
              <w:t>1.34</w:t>
            </w:r>
          </w:p>
        </w:tc>
        <w:tc>
          <w:tcPr>
            <w:tcW w:w="600" w:type="dxa"/>
          </w:tcPr>
          <w:p>
            <w:pPr>
              <w:jc w:val="right"/>
              <w:spacing w:before="10" w:after="10"/>
            </w:pPr>
            <w:r/>
            <w:r>
              <w:rPr>
                <w:sz w:val="16"/>
              </w:rPr>
              <w:t>$10.50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0.83</w:t>
            </w:r>
          </w:p>
        </w:tc>
        <w:tc>
          <w:tcPr>
            <w:tcW w:w="650" w:type="dxa"/>
          </w:tcPr>
          <w:p>
            <w:pPr>
              <w:jc w:val="right"/>
              <w:spacing w:before="10" w:after="10"/>
            </w:pPr>
            <w:r/>
            <w:r>
              <w:rPr>
                <w:sz w:val="16"/>
              </w:rPr>
              <w:t>$1.58</w:t>
            </w:r>
          </w:p>
        </w:tc>
        <w:tc>
          <w:tcPr>
            <w:tcW w:w="700" w:type="dxa"/>
          </w:tcPr>
          <w:p>
            <w:pPr>
              <w:jc w:val="right"/>
              <w:spacing w:before="10" w:after="10"/>
            </w:pPr>
            <w:r/>
            <w:r>
              <w:rPr>
                <w:sz w:val="16"/>
              </w:rPr>
              <w:t>$0.180</w:t>
            </w:r>
          </w:p>
        </w:tc>
      </w:tr>
      <w:tr>
        <w:tc>
          <w:tcPr>
            <w:tcW w:w="1500" w:type="dxa"/>
          </w:tcPr>
          <w:p>
            <w:pPr>
              <w:spacing w:before="10" w:after="10"/>
            </w:pPr>
            <w:r/>
            <w:r>
              <w:rPr>
                <w:sz w:val="16"/>
              </w:rPr>
              <w:t>Croatia</w:t>
            </w:r>
          </w:p>
        </w:tc>
        <w:tc>
          <w:tcPr>
            <w:tcW w:w="650" w:type="dxa"/>
          </w:tcPr>
          <w:p>
            <w:pPr>
              <w:spacing w:before="10" w:after="10"/>
            </w:pPr>
            <w:r/>
            <w:r>
              <w:rPr>
                <w:sz w:val="16"/>
              </w:rPr>
              <w:t>$0.206</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00" w:type="dxa"/>
          </w:tcPr>
          <w:p>
            <w:pPr>
              <w:jc w:val="right"/>
              <w:spacing w:before="10" w:after="10"/>
            </w:pPr>
            <w:r/>
            <w:r>
              <w:rPr>
                <w:sz w:val="16"/>
              </w:rPr>
              <w:t>$9.77</w:t>
            </w:r>
          </w:p>
        </w:tc>
        <w:tc>
          <w:tcPr>
            <w:tcW w:w="650" w:type="dxa"/>
          </w:tcPr>
          <w:p>
            <w:pPr>
              <w:jc w:val="right"/>
              <w:spacing w:before="10" w:after="10"/>
            </w:pPr>
            <w:r/>
            <w:r>
              <w:rPr>
                <w:sz w:val="16"/>
              </w:rPr>
              <w:t>30</w:t>
            </w:r>
          </w:p>
        </w:tc>
        <w:tc>
          <w:tcPr>
            <w:tcW w:w="550" w:type="dxa"/>
          </w:tcPr>
          <w:p>
            <w:pPr>
              <w:jc w:val="right"/>
              <w:spacing w:before="10" w:after="10"/>
            </w:pPr>
            <w:r/>
            <w:r>
              <w:rPr>
                <w:sz w:val="16"/>
              </w:rPr>
              <w:t>0.0</w:t>
            </w:r>
          </w:p>
        </w:tc>
        <w:tc>
          <w:tcPr>
            <w:tcW w:w="450" w:type="dxa"/>
          </w:tcPr>
          <w:p>
            <w:pPr>
              <w:jc w:val="right"/>
              <w:spacing w:before="10" w:after="10"/>
            </w:pPr>
            <w:r/>
            <w:r>
              <w:rPr>
                <w:sz w:val="16"/>
              </w:rPr>
              <w:t>0.92</w:t>
            </w:r>
          </w:p>
        </w:tc>
        <w:tc>
          <w:tcPr>
            <w:tcW w:w="650" w:type="dxa"/>
          </w:tcPr>
          <w:p>
            <w:pPr>
              <w:jc w:val="right"/>
              <w:spacing w:before="10" w:after="10"/>
            </w:pPr>
            <w:r/>
            <w:r>
              <w:rPr>
                <w:sz w:val="16"/>
              </w:rPr>
              <w:t>$1.58</w:t>
            </w:r>
          </w:p>
        </w:tc>
        <w:tc>
          <w:tcPr>
            <w:tcW w:w="700" w:type="dxa"/>
          </w:tcPr>
          <w:p>
            <w:pPr>
              <w:jc w:val="right"/>
              <w:spacing w:before="10" w:after="10"/>
            </w:pPr>
            <w:r/>
            <w:r>
              <w:rPr>
                <w:sz w:val="16"/>
              </w:rPr>
              <w:t>$0.206</w:t>
            </w:r>
          </w:p>
        </w:tc>
      </w:tr>
      <w:tr>
        <w:tc>
          <w:tcPr>
            <w:tcW w:w="1500" w:type="dxa"/>
          </w:tcPr>
          <w:p>
            <w:pPr>
              <w:spacing w:before="10" w:after="10"/>
            </w:pPr>
            <w:r/>
            <w:r>
              <w:rPr>
                <w:sz w:val="16"/>
              </w:rPr>
              <w:t>Ireland</w:t>
            </w:r>
          </w:p>
        </w:tc>
        <w:tc>
          <w:tcPr>
            <w:tcW w:w="650" w:type="dxa"/>
          </w:tcPr>
          <w:p>
            <w:pPr>
              <w:spacing w:before="10" w:after="10"/>
            </w:pPr>
            <w:r/>
            <w:r>
              <w:rPr>
                <w:sz w:val="16"/>
              </w:rPr>
              <w:t>$0.228</w:t>
            </w:r>
          </w:p>
        </w:tc>
        <w:tc>
          <w:tcPr>
            <w:tcW w:w="550" w:type="dxa"/>
          </w:tcPr>
          <w:p>
            <w:pPr>
              <w:jc w:val="right"/>
              <w:spacing w:before="10" w:after="10"/>
            </w:pPr>
            <w:r/>
            <w:r>
              <w:rPr>
                <w:sz w:val="16"/>
              </w:rPr>
              <w:t>15.3</w:t>
            </w:r>
          </w:p>
        </w:tc>
        <w:tc>
          <w:tcPr>
            <w:tcW w:w="500" w:type="dxa"/>
          </w:tcPr>
          <w:p>
            <w:pPr>
              <w:jc w:val="right"/>
              <w:spacing w:before="10" w:after="10"/>
            </w:pPr>
            <w:r/>
            <w:r>
              <w:rPr>
                <w:sz w:val="16"/>
              </w:rPr>
              <w:t>1.08</w:t>
            </w:r>
          </w:p>
        </w:tc>
        <w:tc>
          <w:tcPr>
            <w:tcW w:w="600" w:type="dxa"/>
          </w:tcPr>
          <w:p>
            <w:pPr>
              <w:jc w:val="right"/>
              <w:spacing w:before="10" w:after="10"/>
            </w:pPr>
            <w:r/>
            <w:r>
              <w:rPr>
                <w:sz w:val="16"/>
              </w:rPr>
              <w:t>$10.05</w:t>
            </w:r>
          </w:p>
        </w:tc>
        <w:tc>
          <w:tcPr>
            <w:tcW w:w="650" w:type="dxa"/>
          </w:tcPr>
          <w:p>
            <w:pPr>
              <w:jc w:val="right"/>
              <w:spacing w:before="10" w:after="10"/>
            </w:pPr>
            <w:r/>
            <w:r>
              <w:rPr>
                <w:sz w:val="16"/>
              </w:rPr>
              <w:t>1,260</w:t>
            </w:r>
          </w:p>
        </w:tc>
        <w:tc>
          <w:tcPr>
            <w:tcW w:w="550" w:type="dxa"/>
          </w:tcPr>
          <w:p>
            <w:pPr>
              <w:jc w:val="right"/>
              <w:spacing w:before="10" w:after="10"/>
            </w:pPr>
            <w:r/>
            <w:r>
              <w:rPr>
                <w:sz w:val="16"/>
              </w:rPr>
              <w:t>1.0</w:t>
            </w:r>
          </w:p>
        </w:tc>
        <w:tc>
          <w:tcPr>
            <w:tcW w:w="450" w:type="dxa"/>
          </w:tcPr>
          <w:p>
            <w:pPr>
              <w:jc w:val="right"/>
              <w:spacing w:before="10" w:after="10"/>
            </w:pPr>
            <w:r/>
            <w:r>
              <w:rPr>
                <w:sz w:val="16"/>
              </w:rPr>
              <w:t>0.99</w:t>
            </w:r>
          </w:p>
        </w:tc>
        <w:tc>
          <w:tcPr>
            <w:tcW w:w="650" w:type="dxa"/>
          </w:tcPr>
          <w:p>
            <w:pPr>
              <w:jc w:val="right"/>
              <w:spacing w:before="10" w:after="10"/>
            </w:pPr>
            <w:r/>
            <w:r>
              <w:rPr>
                <w:sz w:val="16"/>
              </w:rPr>
              <w:t>$1.58</w:t>
            </w:r>
          </w:p>
        </w:tc>
        <w:tc>
          <w:tcPr>
            <w:tcW w:w="700" w:type="dxa"/>
          </w:tcPr>
          <w:p>
            <w:pPr>
              <w:jc w:val="right"/>
              <w:spacing w:before="10" w:after="10"/>
            </w:pPr>
            <w:r/>
            <w:r>
              <w:rPr>
                <w:sz w:val="16"/>
              </w:rPr>
              <w:t>$0.228</w:t>
            </w:r>
          </w:p>
        </w:tc>
      </w:tr>
      <w:tr>
        <w:tc>
          <w:tcPr>
            <w:tcBorders>
              <w:bottom w:val="double" w:sz="4" w:space="0" w:color="auto"/>
            </w:tcBorders>
            <w:tcW w:w="1500" w:type="dxa"/>
          </w:tcPr>
          <w:p>
            <w:pPr>
              <w:spacing w:before="10" w:after="10"/>
            </w:pPr>
            <w:r/>
            <w:r>
              <w:rPr>
                <w:sz w:val="16"/>
              </w:rPr>
              <w:t>Greenland</w:t>
            </w:r>
          </w:p>
        </w:tc>
        <w:tc>
          <w:tcPr>
            <w:tcBorders>
              <w:bottom w:val="double" w:sz="4" w:space="0" w:color="auto"/>
            </w:tcBorders>
            <w:tcW w:w="650" w:type="dxa"/>
          </w:tcPr>
          <w:p>
            <w:pPr>
              <w:spacing w:before="10" w:after="10"/>
            </w:pPr>
            <w:r/>
            <w:r>
              <w:rPr>
                <w:sz w:val="16"/>
              </w:rPr>
              <w:t>$0.263</w:t>
            </w:r>
          </w:p>
        </w:tc>
        <w:tc>
          <w:tcPr>
            <w:tcBorders>
              <w:bottom w:val="double" w:sz="4" w:space="0" w:color="auto"/>
            </w:tcBorders>
            <w:tcW w:w="550" w:type="dxa"/>
          </w:tcPr>
          <w:p>
            <w:pPr>
              <w:jc w:val="right"/>
              <w:spacing w:before="10" w:after="10"/>
            </w:pPr>
            <w:r/>
            <w:r>
              <w:rPr>
                <w:sz w:val="16"/>
              </w:rPr>
              <w:t>-3.1</w:t>
            </w:r>
          </w:p>
        </w:tc>
        <w:tc>
          <w:tcPr>
            <w:tcBorders>
              <w:bottom w:val="double" w:sz="4" w:space="0" w:color="auto"/>
            </w:tcBorders>
            <w:tcW w:w="500" w:type="dxa"/>
          </w:tcPr>
          <w:p>
            <w:pPr>
              <w:jc w:val="right"/>
              <w:spacing w:before="10" w:after="10"/>
            </w:pPr>
            <w:r/>
            <w:r>
              <w:rPr>
                <w:sz w:val="16"/>
              </w:rPr>
              <w:t>1.08</w:t>
            </w:r>
          </w:p>
        </w:tc>
        <w:tc>
          <w:tcPr>
            <w:tcBorders>
              <w:bottom w:val="double" w:sz="4" w:space="0" w:color="auto"/>
            </w:tcBorders>
            <w:tcW w:w="600" w:type="dxa"/>
          </w:tcPr>
          <w:p>
            <w:pPr>
              <w:jc w:val="right"/>
              <w:spacing w:before="10" w:after="10"/>
            </w:pPr>
            <w:r/>
            <w:r>
              <w:rPr>
                <w:sz w:val="16"/>
              </w:rPr>
              <w:t>$11.12</w:t>
            </w:r>
          </w:p>
        </w:tc>
        <w:tc>
          <w:tcPr>
            <w:tcBorders>
              <w:bottom w:val="double" w:sz="4" w:space="0" w:color="auto"/>
            </w:tcBorders>
            <w:tcW w:w="650" w:type="dxa"/>
          </w:tcPr>
          <w:p>
            <w:pPr>
              <w:jc w:val="right"/>
              <w:spacing w:before="10" w:after="10"/>
            </w:pPr>
            <w:r/>
            <w:r>
              <w:rPr>
                <w:sz w:val="16"/>
              </w:rPr>
              <w:t>5</w:t>
            </w:r>
          </w:p>
        </w:tc>
        <w:tc>
          <w:tcPr>
            <w:tcBorders>
              <w:bottom w:val="double" w:sz="4" w:space="0" w:color="auto"/>
            </w:tcBorders>
            <w:tcW w:w="550" w:type="dxa"/>
          </w:tcPr>
          <w:p>
            <w:pPr>
              <w:jc w:val="right"/>
              <w:spacing w:before="10" w:after="10"/>
            </w:pPr>
            <w:r/>
            <w:r>
              <w:rPr>
                <w:sz w:val="16"/>
              </w:rPr>
              <w:t>0.0</w:t>
            </w:r>
          </w:p>
        </w:tc>
        <w:tc>
          <w:tcPr>
            <w:tcBorders>
              <w:bottom w:val="double" w:sz="4" w:space="0" w:color="auto"/>
            </w:tcBorders>
            <w:tcW w:w="450" w:type="dxa"/>
          </w:tcPr>
          <w:p>
            <w:pPr>
              <w:jc w:val="right"/>
              <w:spacing w:before="10" w:after="10"/>
            </w:pPr>
            <w:r/>
            <w:r>
              <w:rPr>
                <w:sz w:val="16"/>
              </w:rPr>
              <w:t>0.97</w:t>
            </w:r>
          </w:p>
        </w:tc>
        <w:tc>
          <w:tcPr>
            <w:tcBorders>
              <w:bottom w:val="double" w:sz="4" w:space="0" w:color="auto"/>
            </w:tcBorders>
            <w:tcW w:w="650" w:type="dxa"/>
          </w:tcPr>
          <w:p>
            <w:pPr>
              <w:jc w:val="right"/>
              <w:spacing w:before="10" w:after="10"/>
            </w:pPr>
            <w:r/>
            <w:r>
              <w:rPr>
                <w:sz w:val="16"/>
              </w:rPr>
              <w:t>$1.62</w:t>
            </w:r>
          </w:p>
        </w:tc>
        <w:tc>
          <w:tcPr>
            <w:tcBorders>
              <w:bottom w:val="double" w:sz="4" w:space="0" w:color="auto"/>
            </w:tcBorders>
            <w:tcW w:w="700" w:type="dxa"/>
          </w:tcPr>
          <w:p>
            <w:pPr>
              <w:jc w:val="right"/>
              <w:spacing w:before="10" w:after="10"/>
            </w:pPr>
            <w:r/>
            <w:r>
              <w:rPr>
                <w:sz w:val="16"/>
              </w:rPr>
              <w:t>$0.263</w:t>
            </w:r>
          </w:p>
        </w:tc>
      </w:tr>
    </w:tbl>
    <w:p>
      <w:pPr>
        <w:spacing w:before="0" w:after="0" w:line="240" w:lineRule="auto"/>
        <w:ind w:firstLine="0"/>
        <w:jc w:val="left"/>
        <w:sectPr>
          <w:pgSz w:w="15840" w:h="12240" w:orient="landscape"/>
          <w:pgMar w:top="1440" w:right="1440" w:bottom="1440" w:left="1440" w:header="720" w:footer="720"/>
        </w:sectPr>
      </w:pPr>
      <w:r>
        <w:rPr>
          <w:b/>
          <w:sz w:val="20"/>
        </w:rPr>
        <w:t xml:space="preserve">Notes: </w:t>
      </w:r>
      <w:r>
        <w:rPr>
          <w:sz w:val="20"/>
        </w:rPr>
        <w:t xml:space="preserve">Countries sorted by cost-recovery adjusted rank (ascending). pᴱ = national electricity price for industrial/data center consumers ($/kWh). θⱼ = peak summer temperature (°C). PUE = Power Usage Effectiveness. Constr. = predicted data center construction cost ($/W of IT load). k̄ⱼ = installed data center power capacity (MW). ωⱼ = country share of global compute demand from </w:t>
      </w:r>
      <w:bookmarkStart w:id="908" w:name="Eq4txt908"/>
      <w:hyperlink w:anchor="Eq4" w:history="1">
        <w:r>
          <w:rPr>
            <w:sz w:val="20"/>
            <w:color w:val="1F3864"/>
            <w:u w:val="single"/>
          </w:rPr>
          <w:t xml:space="preserve">equation (4)</w:t>
        </w:r>
      </w:hyperlink>
      <w:bookmarkEnd w:id="908"/>
      <w:r>
        <w:rPr>
          <w:sz w:val="20"/>
        </w:rPr>
        <w:t xml:space="preserve">. ξⱼᵉᶠᶠ = production-efficiency index (weighted geometric mean of governance quality and grid reliability, ω = 0.85; see equation 3). Sanctions captured by bilateral λᵢⱼ (equation 2). cⱼ = hourly cost of operating one H100 GPU (electricity + hardware at $1.36/hr + amortized construction; excludes networking η = $0.15/hr, which is added in the equilibrium computations in Section 6). Cost-Rec. pᴱ = cost-recovery electricity price. For 13 countries with subsidized tariffs, this is the estimated long-run marginal cost of electricity generation (shown in bold). For all other countries, the cost-recovery price equals the observed tariff.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p>
    <w:p>
      <w:pPr>
        <w:spacing w:before="0" w:after="60"/>
        <w:ind w:firstLine="0"/>
        <w:jc w:val="both"/>
      </w:pPr>
      <w:bookmarkStart w:id="140" w:name="TableA2"/>
      <w:hyperlink w:anchor="TableA2txt" w:history="1">
        <w:r>
          <w:rPr>
            <w:b/>
            <w:sz w:val="20"/>
            <w:color w:val="1F3864"/>
            <w:u w:val="single"/>
          </w:rPr>
          <w:t>Table A2</w:t>
        </w:r>
      </w:hyperlink>
      <w:bookmarkEnd w:id="140"/>
      <w:r>
        <w:rPr>
          <w:b/>
          <w:sz w:val="20"/>
        </w:rPr>
        <w:t>. Country rankings under alternative cost specifications (all countries)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Borders>
              <w:top w:val="single" w:sz="4" w:space="0" w:color="auto"/>
              <w:bottom w:val="single" w:sz="4" w:space="0" w:color="auto"/>
            </w:tcBorders>
            <w:tcW w:w="1800" w:type="dxa"/>
          </w:tcPr>
          <w:p>
            <w:pPr>
              <w:jc w:val="center"/>
              <w:spacing w:before="5" w:after="5"/>
            </w:pPr>
            <w:r/>
            <w:r>
              <w:rPr>
                <w:rFonts w:ascii="Times New Roman" w:hAnsi="Times New Roman"/>
                <w:sz w:val="14"/>
              </w:rPr>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5" w:after="5"/>
              <w:spacing w:before="5" w:after="5"/>
              <w:spacing w:before="5" w:after="5"/>
            </w:pPr>
            <w:r/>
            <w:r>
              <w:rPr>
                <w:rFonts w:ascii="Times New Roman" w:hAnsi="Times New Roman"/>
                <w:b/>
                <w:sz w:val="14"/>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5" w:after="5"/>
              <w:spacing w:before="5" w:after="5"/>
              <w:spacing w:before="5" w:after="5"/>
            </w:pPr>
            <w:r/>
            <w:r>
              <w:rPr>
                <w:rFonts w:ascii="Times New Roman" w:hAnsi="Times New Roman"/>
                <w:b/>
                <w:sz w:val="14"/>
              </w:rPr>
              <w:t>(2) Cost-Recovery</w:t>
            </w:r>
          </w:p>
        </w:tc>
        <w:tc>
          <w:tcPr>
            <w:gridSpan w:val="4"/>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5" w:after="5"/>
              <w:spacing w:before="5" w:after="5"/>
              <w:spacing w:before="5" w:after="5"/>
              <w:spacing w:before="5" w:after="5"/>
            </w:pPr>
            <w:r/>
            <w:r>
              <w:rPr>
                <w:rFonts w:ascii="Times New Roman" w:hAnsi="Times New Roman"/>
                <w:b/>
                <w:sz w:val="14"/>
              </w:rPr>
              <w:t>(3) Efficiency-Adjusted</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5" w:after="5"/>
              <w:spacing w:before="5" w:after="5"/>
              <w:spacing w:before="5" w:after="5"/>
            </w:pPr>
            <w:r/>
            <w:r>
              <w:rPr>
                <w:rFonts w:ascii="Times New Roman" w:hAnsi="Times New Roman"/>
                <w:b/>
                <w:sz w:val="14"/>
              </w:rPr>
              <w:t>(4) Bilateral λᵢⱼ</w:t>
            </w:r>
          </w:p>
        </w:tc>
        <w:tc>
          <w:tcPr>
            <w:tcBorders>
              <w:top w:val="single" w:sz="4" w:space="0" w:color="auto"/>
              <w:bottom w:val="single" w:sz="4" w:space="0" w:color="auto"/>
            </w:tcBorders>
            <w:tcW w:w="540" w:type="dxa"/>
          </w:tcPr>
          <w:p>
            <w:pPr>
              <w:jc w:val="center"/>
              <w:spacing w:before="5" w:after="5"/>
            </w:pPr>
            <w:r/>
            <w:r>
              <w:rPr>
                <w:rFonts w:ascii="Times New Roman" w:hAnsi="Times New Roman"/>
                <w:sz w:val="14"/>
              </w:rPr>
            </w:r>
          </w:p>
        </w:tc>
      </w:tr>
      <w:tr>
        <w:tc>
          <w:tcPr>
            <w:tcBorders>
              <w:top w:val="single" w:sz="4" w:space="0" w:color="auto"/>
              <w:bottom w:val="single" w:sz="4" w:space="0" w:color="auto"/>
            </w:tcBorders>
            <w:tcW w:w="1800" w:type="dxa"/>
          </w:tcPr>
          <w:p>
            <w:pPr>
              <w:jc w:val="left"/>
              <w:spacing w:before="5" w:after="5"/>
            </w:pPr>
            <w:r/>
            <w:r>
              <w:rPr>
                <w:rFonts w:ascii="Times New Roman" w:hAnsi="Times New Roman"/>
                <w:b/>
                <w:sz w:val="14"/>
              </w:rPr>
              <w:t>Country</w:t>
            </w:r>
          </w:p>
        </w:tc>
        <w:tc>
          <w:tcPr>
            <w:tcBorders>
              <w:top w:val="single" w:sz="4" w:space="0" w:color="auto"/>
              <w:bottom w:val="single" w:sz="4" w:space="0" w:color="auto"/>
            </w:tcBorders>
            <w:tcW w:w="90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90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900" w:type="dxa"/>
          </w:tcPr>
          <w:p>
            <w:pPr>
              <w:jc w:val="center"/>
              <w:spacing w:before="5" w:after="5"/>
            </w:pPr>
            <w:r/>
            <w:r>
              <w:rPr>
                <w:rFonts w:ascii="Times New Roman" w:hAnsi="Times New Roman"/>
                <w:b/>
                <w:sz w:val="14"/>
              </w:rPr>
              <w:t>cⱼ/ξⱼᵉᶠᶠ</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ξⱼᵉᶠᶠ</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900" w:type="dxa"/>
          </w:tcPr>
          <w:p>
            <w:pPr>
              <w:jc w:val="center"/>
              <w:spacing w:before="5" w:after="5"/>
            </w:pPr>
            <w:r/>
            <w:r>
              <w:rPr>
                <w:rFonts w:ascii="Times New Roman" w:hAnsi="Times New Roman"/>
                <w:b/>
                <w:sz w:val="14"/>
              </w:rPr>
              <w:t>pⱼ</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Δ</w:t>
            </w:r>
          </w:p>
        </w:tc>
      </w:tr>
      <w:tr>
        <w:tc>
          <w:tcPr>
            <w:tcW w:w="1800" w:type="dxa"/>
          </w:tcPr>
          <w:p>
            <w:pPr>
              <w:jc w:val="left"/>
              <w:spacing w:before="5" w:after="5"/>
            </w:pPr>
            <w:r/>
            <w:r>
              <w:rPr>
                <w:rFonts w:ascii="Times New Roman" w:hAnsi="Times New Roman"/>
                <w:sz w:val="14"/>
              </w:rPr>
              <w:t>Canada</w:t>
            </w:r>
          </w:p>
        </w:tc>
        <w:tc>
          <w:tcPr>
            <w:tcW w:w="900" w:type="dxa"/>
          </w:tcPr>
          <w:p>
            <w:pPr>
              <w:jc w:val="center"/>
              <w:spacing w:before="5" w:after="5"/>
            </w:pPr>
            <w:r/>
            <w:r>
              <w:rPr>
                <w:rFonts w:ascii="Times New Roman" w:hAnsi="Times New Roman"/>
                <w:sz w:val="14"/>
              </w:rPr>
              <w:t>$1.44</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$1.44</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$1.46</w:t>
            </w:r>
          </w:p>
        </w:tc>
        <w:tc>
          <w:tcPr>
            <w:tcW w:w="450" w:type="dxa"/>
          </w:tcPr>
          <w:p>
            <w:pPr>
              <w:jc w:val="center"/>
              <w:spacing w:before="5" w:after="5"/>
            </w:pPr>
            <w:r/>
            <w:r>
              <w:rPr>
                <w:rFonts w:ascii="Times New Roman" w:hAnsi="Times New Roman"/>
                <w:sz w:val="14"/>
              </w:rPr>
              <w:t>0.99</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540" w:type="dxa"/>
          </w:tcPr>
          <w:p>
            <w:pPr>
              <w:jc w:val="center"/>
              <w:spacing w:before="5" w:after="5"/>
            </w:pPr>
            <w:r/>
            <w:r>
              <w:rPr>
                <w:rFonts w:ascii="Times New Roman" w:hAnsi="Times New Roman"/>
                <w:sz w:val="14"/>
              </w:rPr>
              <w:t>+6</w:t>
            </w:r>
          </w:p>
        </w:tc>
      </w:tr>
      <w:tr>
        <w:tc>
          <w:tcPr>
            <w:tcW w:w="1800" w:type="dxa"/>
          </w:tcPr>
          <w:p>
            <w:pPr>
              <w:jc w:val="left"/>
              <w:spacing w:before="5" w:after="5"/>
            </w:pPr>
            <w:r/>
            <w:r>
              <w:rPr>
                <w:rFonts w:ascii="Times New Roman" w:hAnsi="Times New Roman"/>
                <w:sz w:val="14"/>
              </w:rPr>
              <w:t>Norway</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+23</w:t>
            </w:r>
          </w:p>
        </w:tc>
      </w:tr>
      <w:tr>
        <w:tc>
          <w:tcPr>
            <w:tcW w:w="1800" w:type="dxa"/>
          </w:tcPr>
          <w:p>
            <w:pPr>
              <w:jc w:val="left"/>
              <w:spacing w:before="5" w:after="5"/>
            </w:pPr>
            <w:r/>
            <w:r>
              <w:rPr>
                <w:rFonts w:ascii="Times New Roman" w:hAnsi="Times New Roman"/>
                <w:sz w:val="14"/>
              </w:rPr>
              <w:t>Finland</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+23</w:t>
            </w:r>
          </w:p>
        </w:tc>
      </w:tr>
      <w:tr>
        <w:tc>
          <w:tcPr>
            <w:tcW w:w="1800" w:type="dxa"/>
          </w:tcPr>
          <w:p>
            <w:pPr>
              <w:jc w:val="left"/>
              <w:spacing w:before="5" w:after="5"/>
            </w:pPr>
            <w:r/>
            <w:r>
              <w:rPr>
                <w:rFonts w:ascii="Times New Roman" w:hAnsi="Times New Roman"/>
                <w:sz w:val="14"/>
              </w:rPr>
              <w:t>Sweden</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+26</w:t>
            </w:r>
          </w:p>
        </w:tc>
      </w:tr>
      <w:tr>
        <w:tc>
          <w:tcPr>
            <w:tcW w:w="1800" w:type="dxa"/>
          </w:tcPr>
          <w:p>
            <w:pPr>
              <w:jc w:val="left"/>
              <w:spacing w:before="5" w:after="5"/>
            </w:pPr>
            <w:r/>
            <w:r>
              <w:rPr>
                <w:rFonts w:ascii="Times New Roman" w:hAnsi="Times New Roman"/>
                <w:sz w:val="14"/>
              </w:rPr>
              <w:t>South Africa</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+6</w:t>
            </w:r>
          </w:p>
        </w:tc>
      </w:tr>
      <w:tr>
        <w:tc>
          <w:tcPr>
            <w:tcW w:w="1800" w:type="dxa"/>
          </w:tcPr>
          <w:p>
            <w:pPr>
              <w:jc w:val="left"/>
              <w:spacing w:before="5" w:after="5"/>
            </w:pPr>
            <w:r/>
            <w:r>
              <w:rPr>
                <w:rFonts w:ascii="Times New Roman" w:hAnsi="Times New Roman"/>
                <w:sz w:val="14"/>
              </w:rPr>
              <w:t>Iceland</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+32</w:t>
            </w:r>
          </w:p>
        </w:tc>
      </w:tr>
      <w:tr>
        <w:tc>
          <w:tcPr>
            <w:tcW w:w="1800" w:type="dxa"/>
          </w:tcPr>
          <w:p>
            <w:pPr>
              <w:jc w:val="left"/>
              <w:spacing w:before="5" w:after="5"/>
            </w:pPr>
            <w:r/>
            <w:r>
              <w:rPr>
                <w:rFonts w:ascii="Times New Roman" w:hAnsi="Times New Roman"/>
                <w:sz w:val="14"/>
              </w:rPr>
              <w:t>Malta</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+40</w:t>
            </w:r>
          </w:p>
        </w:tc>
      </w:tr>
      <w:tr>
        <w:tc>
          <w:tcPr>
            <w:tcW w:w="1800" w:type="dxa"/>
          </w:tcPr>
          <w:p>
            <w:pPr>
              <w:jc w:val="left"/>
              <w:spacing w:before="5" w:after="5"/>
            </w:pPr>
            <w:r/>
            <w:r>
              <w:rPr>
                <w:rFonts w:ascii="Times New Roman" w:hAnsi="Times New Roman"/>
                <w:sz w:val="14"/>
              </w:rPr>
              <w:t>New Zealand</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450" w:type="dxa"/>
          </w:tcPr>
          <w:p>
            <w:pPr>
              <w:jc w:val="center"/>
              <w:spacing w:before="5" w:after="5"/>
            </w:pPr>
            <w:r/>
            <w:r>
              <w:rPr>
                <w:rFonts w:ascii="Times New Roman" w:hAnsi="Times New Roman"/>
                <w:sz w:val="14"/>
              </w:rPr>
              <w:t>0.99</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+38</w:t>
            </w:r>
          </w:p>
        </w:tc>
      </w:tr>
      <w:tr>
        <w:tc>
          <w:tcPr>
            <w:tcW w:w="1800" w:type="dxa"/>
          </w:tcPr>
          <w:p>
            <w:pPr>
              <w:jc w:val="left"/>
              <w:spacing w:before="5" w:after="5"/>
            </w:pPr>
            <w:r/>
            <w:r>
              <w:rPr>
                <w:rFonts w:ascii="Times New Roman" w:hAnsi="Times New Roman"/>
                <w:sz w:val="14"/>
              </w:rPr>
              <w:t>Australia</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450" w:type="dxa"/>
          </w:tcPr>
          <w:p>
            <w:pPr>
              <w:jc w:val="center"/>
              <w:spacing w:before="5" w:after="5"/>
            </w:pPr>
            <w:r/>
            <w:r>
              <w:rPr>
                <w:rFonts w:ascii="Times New Roman" w:hAnsi="Times New Roman"/>
                <w:sz w:val="14"/>
              </w:rPr>
              <w:t>0.99</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+28</w:t>
            </w:r>
          </w:p>
        </w:tc>
      </w:tr>
      <w:tr>
        <w:tc>
          <w:tcPr>
            <w:tcW w:w="1800" w:type="dxa"/>
          </w:tcPr>
          <w:p>
            <w:pPr>
              <w:jc w:val="left"/>
              <w:spacing w:before="5" w:after="5"/>
            </w:pPr>
            <w:r/>
            <w:r>
              <w:rPr>
                <w:rFonts w:ascii="Times New Roman" w:hAnsi="Times New Roman"/>
                <w:sz w:val="14"/>
              </w:rPr>
              <w:t>Luxembourg</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+48</w:t>
            </w:r>
          </w:p>
        </w:tc>
      </w:tr>
      <w:tr>
        <w:tc>
          <w:tcPr>
            <w:tcW w:w="1800" w:type="dxa"/>
          </w:tcPr>
          <w:p>
            <w:pPr>
              <w:jc w:val="left"/>
              <w:spacing w:before="5" w:after="5"/>
            </w:pPr>
            <w:r/>
            <w:r>
              <w:rPr>
                <w:rFonts w:ascii="Times New Roman" w:hAnsi="Times New Roman"/>
                <w:sz w:val="14"/>
              </w:rPr>
              <w:t>Denmark</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+54</w:t>
            </w:r>
          </w:p>
        </w:tc>
      </w:tr>
      <w:tr>
        <w:tc>
          <w:tcPr>
            <w:tcW w:w="1800" w:type="dxa"/>
          </w:tcPr>
          <w:p>
            <w:pPr>
              <w:jc w:val="left"/>
              <w:spacing w:before="5" w:after="5"/>
            </w:pPr>
            <w:r/>
            <w:r>
              <w:rPr>
                <w:rFonts w:ascii="Times New Roman" w:hAnsi="Times New Roman"/>
                <w:sz w:val="14"/>
              </w:rPr>
              <w:t>Belgium</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450" w:type="dxa"/>
          </w:tcPr>
          <w:p>
            <w:pPr>
              <w:jc w:val="center"/>
              <w:spacing w:before="5" w:after="5"/>
            </w:pPr>
            <w:r/>
            <w:r>
              <w:rPr>
                <w:rFonts w:ascii="Times New Roman" w:hAnsi="Times New Roman"/>
                <w:sz w:val="14"/>
              </w:rPr>
              <w:t>0.99</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+44</w:t>
            </w:r>
          </w:p>
        </w:tc>
      </w:tr>
      <w:tr>
        <w:tc>
          <w:tcPr>
            <w:tcW w:w="1800" w:type="dxa"/>
          </w:tcPr>
          <w:p>
            <w:pPr>
              <w:jc w:val="left"/>
              <w:spacing w:before="5" w:after="5"/>
            </w:pPr>
            <w:r/>
            <w:r>
              <w:rPr>
                <w:rFonts w:ascii="Times New Roman" w:hAnsi="Times New Roman"/>
                <w:sz w:val="14"/>
              </w:rPr>
              <w:t>France</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450" w:type="dxa"/>
          </w:tcPr>
          <w:p>
            <w:pPr>
              <w:jc w:val="center"/>
              <w:spacing w:before="5" w:after="5"/>
            </w:pPr>
            <w:r/>
            <w:r>
              <w:rPr>
                <w:rFonts w:ascii="Times New Roman" w:hAnsi="Times New Roman"/>
                <w:sz w:val="14"/>
              </w:rPr>
              <w:t>0.98</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+28</w:t>
            </w:r>
          </w:p>
        </w:tc>
      </w:tr>
      <w:tr>
        <w:tc>
          <w:tcPr>
            <w:tcW w:w="1800" w:type="dxa"/>
          </w:tcPr>
          <w:p>
            <w:pPr>
              <w:jc w:val="left"/>
              <w:spacing w:before="5" w:after="5"/>
            </w:pPr>
            <w:r/>
            <w:r>
              <w:rPr>
                <w:rFonts w:ascii="Times New Roman" w:hAnsi="Times New Roman"/>
                <w:sz w:val="14"/>
              </w:rPr>
              <w:t>Netherlands</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450" w:type="dxa"/>
          </w:tcPr>
          <w:p>
            <w:pPr>
              <w:jc w:val="center"/>
              <w:spacing w:before="5" w:after="5"/>
            </w:pPr>
            <w:r/>
            <w:r>
              <w:rPr>
                <w:rFonts w:ascii="Times New Roman" w:hAnsi="Times New Roman"/>
                <w:sz w:val="14"/>
              </w:rPr>
              <w:t>0.99</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+47</w:t>
            </w:r>
          </w:p>
        </w:tc>
      </w:tr>
      <w:tr>
        <w:tc>
          <w:tcPr>
            <w:tcW w:w="1800" w:type="dxa"/>
          </w:tcPr>
          <w:p>
            <w:pPr>
              <w:jc w:val="left"/>
              <w:spacing w:before="5" w:after="5"/>
            </w:pPr>
            <w:r/>
            <w:r>
              <w:rPr>
                <w:rFonts w:ascii="Times New Roman" w:hAnsi="Times New Roman"/>
                <w:sz w:val="14"/>
              </w:rPr>
              <w:t>UK</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450" w:type="dxa"/>
          </w:tcPr>
          <w:p>
            <w:pPr>
              <w:jc w:val="center"/>
              <w:spacing w:before="5" w:after="5"/>
            </w:pPr>
            <w:r/>
            <w:r>
              <w:rPr>
                <w:rFonts w:ascii="Times New Roman" w:hAnsi="Times New Roman"/>
                <w:sz w:val="14"/>
              </w:rPr>
              <w:t>0.98</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+29</w:t>
            </w:r>
          </w:p>
        </w:tc>
      </w:tr>
      <w:tr>
        <w:tc>
          <w:tcPr>
            <w:tcW w:w="1800" w:type="dxa"/>
          </w:tcPr>
          <w:p>
            <w:pPr>
              <w:jc w:val="left"/>
              <w:spacing w:before="5" w:after="5"/>
            </w:pPr>
            <w:r/>
            <w:r>
              <w:rPr>
                <w:rFonts w:ascii="Times New Roman" w:hAnsi="Times New Roman"/>
                <w:sz w:val="14"/>
              </w:rPr>
              <w:t>United States of A.</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450" w:type="dxa"/>
          </w:tcPr>
          <w:p>
            <w:pPr>
              <w:jc w:val="center"/>
              <w:spacing w:before="5" w:after="5"/>
            </w:pPr>
            <w:r/>
            <w:r>
              <w:rPr>
                <w:rFonts w:ascii="Times New Roman" w:hAnsi="Times New Roman"/>
                <w:sz w:val="14"/>
              </w:rPr>
              <w:t>0.97</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+16</w:t>
            </w:r>
          </w:p>
        </w:tc>
      </w:tr>
      <w:tr>
        <w:tc>
          <w:tcPr>
            <w:tcW w:w="1800" w:type="dxa"/>
          </w:tcPr>
          <w:p>
            <w:pPr>
              <w:jc w:val="left"/>
              <w:spacing w:before="5" w:after="5"/>
            </w:pPr>
            <w:r/>
            <w:r>
              <w:rPr>
                <w:rFonts w:ascii="Times New Roman" w:hAnsi="Times New Roman"/>
                <w:sz w:val="14"/>
              </w:rPr>
              <w:t>Portugal</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450" w:type="dxa"/>
          </w:tcPr>
          <w:p>
            <w:pPr>
              <w:jc w:val="center"/>
              <w:spacing w:before="5" w:after="5"/>
            </w:pPr>
            <w:r/>
            <w:r>
              <w:rPr>
                <w:rFonts w:ascii="Times New Roman" w:hAnsi="Times New Roman"/>
                <w:sz w:val="14"/>
              </w:rPr>
              <w:t>0.96</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+32</w:t>
            </w:r>
          </w:p>
        </w:tc>
      </w:tr>
      <w:tr>
        <w:tc>
          <w:tcPr>
            <w:tcW w:w="1800" w:type="dxa"/>
          </w:tcPr>
          <w:p>
            <w:pPr>
              <w:jc w:val="left"/>
              <w:spacing w:before="5" w:after="5"/>
            </w:pPr>
            <w:r/>
            <w:r>
              <w:rPr>
                <w:rFonts w:ascii="Times New Roman" w:hAnsi="Times New Roman"/>
                <w:sz w:val="14"/>
              </w:rPr>
              <w:t>Austria</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450" w:type="dxa"/>
          </w:tcPr>
          <w:p>
            <w:pPr>
              <w:jc w:val="center"/>
              <w:spacing w:before="5" w:after="5"/>
            </w:pPr>
            <w:r/>
            <w:r>
              <w:rPr>
                <w:rFonts w:ascii="Times New Roman" w:hAnsi="Times New Roman"/>
                <w:sz w:val="14"/>
              </w:rPr>
              <w:t>0.99</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+57</w:t>
            </w:r>
          </w:p>
        </w:tc>
      </w:tr>
      <w:tr>
        <w:tc>
          <w:tcPr>
            <w:tcW w:w="1800" w:type="dxa"/>
          </w:tcPr>
          <w:p>
            <w:pPr>
              <w:jc w:val="left"/>
              <w:spacing w:before="5" w:after="5"/>
            </w:pPr>
            <w:r/>
            <w:r>
              <w:rPr>
                <w:rFonts w:ascii="Times New Roman" w:hAnsi="Times New Roman"/>
                <w:sz w:val="14"/>
              </w:rPr>
              <w:t>Switzerland</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+60</w:t>
            </w:r>
          </w:p>
        </w:tc>
      </w:tr>
      <w:tr>
        <w:tc>
          <w:tcPr>
            <w:tcW w:w="1800" w:type="dxa"/>
          </w:tcPr>
          <w:p>
            <w:pPr>
              <w:jc w:val="left"/>
              <w:spacing w:before="5" w:after="5"/>
            </w:pPr>
            <w:r/>
            <w:r>
              <w:rPr>
                <w:rFonts w:ascii="Times New Roman" w:hAnsi="Times New Roman"/>
                <w:sz w:val="14"/>
              </w:rPr>
              <w:t>Spain</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0.96</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+33</w:t>
            </w:r>
          </w:p>
        </w:tc>
      </w:tr>
      <w:tr>
        <w:tc>
          <w:tcPr>
            <w:tcW w:w="1800" w:type="dxa"/>
          </w:tcPr>
          <w:p>
            <w:pPr>
              <w:jc w:val="left"/>
              <w:spacing w:before="5" w:after="5"/>
            </w:pPr>
            <w:r/>
            <w:r>
              <w:rPr>
                <w:rFonts w:ascii="Times New Roman" w:hAnsi="Times New Roman"/>
                <w:sz w:val="14"/>
              </w:rPr>
              <w:t>South Korea</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0.97</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+39</w:t>
            </w:r>
          </w:p>
        </w:tc>
      </w:tr>
      <w:tr>
        <w:tc>
          <w:tcPr>
            <w:tcW w:w="1800" w:type="dxa"/>
          </w:tcPr>
          <w:p>
            <w:pPr>
              <w:jc w:val="left"/>
              <w:spacing w:before="5" w:after="5"/>
            </w:pPr>
            <w:r/>
            <w:r>
              <w:rPr>
                <w:rFonts w:ascii="Times New Roman" w:hAnsi="Times New Roman"/>
                <w:sz w:val="14"/>
              </w:rPr>
              <w:t>Germany</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0.98</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+51</w:t>
            </w:r>
          </w:p>
        </w:tc>
      </w:tr>
      <w:tr>
        <w:tc>
          <w:tcPr>
            <w:tcW w:w="1800" w:type="dxa"/>
          </w:tcPr>
          <w:p>
            <w:pPr>
              <w:jc w:val="left"/>
              <w:spacing w:before="5" w:after="5"/>
            </w:pPr>
            <w:r/>
            <w:r>
              <w:rPr>
                <w:rFonts w:ascii="Times New Roman" w:hAnsi="Times New Roman"/>
                <w:sz w:val="14"/>
              </w:rPr>
              <w:t>Estonia</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0.97</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+39</w:t>
            </w:r>
          </w:p>
        </w:tc>
      </w:tr>
      <w:tr>
        <w:tc>
          <w:tcPr>
            <w:tcW w:w="1800" w:type="dxa"/>
          </w:tcPr>
          <w:p>
            <w:pPr>
              <w:jc w:val="left"/>
              <w:spacing w:before="5" w:after="5"/>
            </w:pPr>
            <w:r/>
            <w:r>
              <w:rPr>
                <w:rFonts w:ascii="Times New Roman" w:hAnsi="Times New Roman"/>
                <w:sz w:val="14"/>
              </w:rPr>
              <w:t>Singapore</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+56</w:t>
            </w:r>
          </w:p>
        </w:tc>
      </w:tr>
      <w:tr>
        <w:tc>
          <w:tcPr>
            <w:tcW w:w="1800" w:type="dxa"/>
          </w:tcPr>
          <w:p>
            <w:pPr>
              <w:jc w:val="left"/>
              <w:spacing w:before="5" w:after="5"/>
            </w:pPr>
            <w:r/>
            <w:r>
              <w:rPr>
                <w:rFonts w:ascii="Times New Roman" w:hAnsi="Times New Roman"/>
                <w:sz w:val="14"/>
              </w:rPr>
              <w:t>Israel</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0.96</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+27</w:t>
            </w:r>
          </w:p>
        </w:tc>
      </w:tr>
      <w:tr>
        <w:tc>
          <w:tcPr>
            <w:tcW w:w="1800" w:type="dxa"/>
          </w:tcPr>
          <w:p>
            <w:pPr>
              <w:jc w:val="left"/>
              <w:spacing w:before="5" w:after="5"/>
            </w:pPr>
            <w:r/>
            <w:r>
              <w:rPr>
                <w:rFonts w:ascii="Times New Roman" w:hAnsi="Times New Roman"/>
                <w:sz w:val="14"/>
              </w:rPr>
              <w:t>Cyprus</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+55</w:t>
            </w:r>
          </w:p>
        </w:tc>
      </w:tr>
      <w:tr>
        <w:tc>
          <w:tcPr>
            <w:tcW w:w="1800" w:type="dxa"/>
          </w:tcPr>
          <w:p>
            <w:pPr>
              <w:jc w:val="left"/>
              <w:spacing w:before="5" w:after="5"/>
            </w:pPr>
            <w:r/>
            <w:r>
              <w:rPr>
                <w:rFonts w:ascii="Times New Roman" w:hAnsi="Times New Roman"/>
                <w:sz w:val="14"/>
              </w:rPr>
              <w:t>Japan</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0.99</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+50</w:t>
            </w:r>
          </w:p>
        </w:tc>
      </w:tr>
      <w:tr>
        <w:tc>
          <w:tcPr>
            <w:tcW w:w="1800" w:type="dxa"/>
          </w:tcPr>
          <w:p>
            <w:pPr>
              <w:jc w:val="left"/>
              <w:spacing w:before="5" w:after="5"/>
            </w:pPr>
            <w:r/>
            <w:r>
              <w:rPr>
                <w:rFonts w:ascii="Times New Roman" w:hAnsi="Times New Roman"/>
                <w:sz w:val="14"/>
              </w:rPr>
              <w:t>Chile</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0.94</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+15</w:t>
            </w:r>
          </w:p>
        </w:tc>
      </w:tr>
      <w:tr>
        <w:tc>
          <w:tcPr>
            <w:tcW w:w="1800" w:type="dxa"/>
          </w:tcPr>
          <w:p>
            <w:pPr>
              <w:jc w:val="left"/>
              <w:spacing w:before="5" w:after="5"/>
            </w:pPr>
            <w:r/>
            <w:r>
              <w:rPr>
                <w:rFonts w:ascii="Times New Roman" w:hAnsi="Times New Roman"/>
                <w:sz w:val="14"/>
              </w:rPr>
              <w:t>Slovenia</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0.96</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+39</w:t>
            </w:r>
          </w:p>
        </w:tc>
      </w:tr>
      <w:tr>
        <w:tc>
          <w:tcPr>
            <w:tcW w:w="1800" w:type="dxa"/>
          </w:tcPr>
          <w:p>
            <w:pPr>
              <w:jc w:val="left"/>
              <w:spacing w:before="5" w:after="5"/>
            </w:pPr>
            <w:r/>
            <w:r>
              <w:rPr>
                <w:rFonts w:ascii="Times New Roman" w:hAnsi="Times New Roman"/>
                <w:sz w:val="14"/>
              </w:rPr>
              <w:t>Poland</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0.94</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$1.60</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+15</w:t>
            </w:r>
          </w:p>
        </w:tc>
      </w:tr>
      <w:tr>
        <w:tc>
          <w:tcPr>
            <w:tcW w:w="1800" w:type="dxa"/>
          </w:tcPr>
          <w:p>
            <w:pPr>
              <w:jc w:val="left"/>
              <w:spacing w:before="5" w:after="5"/>
            </w:pPr>
            <w:r/>
            <w:r>
              <w:rPr>
                <w:rFonts w:ascii="Times New Roman" w:hAnsi="Times New Roman"/>
                <w:sz w:val="14"/>
              </w:rPr>
              <w:t>Latvia</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0.94</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+19</w:t>
            </w:r>
          </w:p>
        </w:tc>
      </w:tr>
      <w:tr>
        <w:tc>
          <w:tcPr>
            <w:tcW w:w="1800" w:type="dxa"/>
          </w:tcPr>
          <w:p>
            <w:pPr>
              <w:jc w:val="left"/>
              <w:spacing w:before="5" w:after="5"/>
            </w:pPr>
            <w:r/>
            <w:r>
              <w:rPr>
                <w:rFonts w:ascii="Times New Roman" w:hAnsi="Times New Roman"/>
                <w:sz w:val="14"/>
              </w:rPr>
              <w:t>Ireland</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0.99</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+52</w:t>
            </w:r>
          </w:p>
        </w:tc>
      </w:tr>
      <w:tr>
        <w:tc>
          <w:tcPr>
            <w:tcW w:w="1800" w:type="dxa"/>
          </w:tcPr>
          <w:p>
            <w:pPr>
              <w:jc w:val="left"/>
              <w:spacing w:before="5" w:after="5"/>
            </w:pPr>
            <w:r/>
            <w:r>
              <w:rPr>
                <w:rFonts w:ascii="Times New Roman" w:hAnsi="Times New Roman"/>
                <w:sz w:val="14"/>
              </w:rPr>
              <w:t>UAE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0.93</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-9</w:t>
            </w:r>
          </w:p>
        </w:tc>
      </w:tr>
      <w:tr>
        <w:tc>
          <w:tcPr>
            <w:tcW w:w="1800" w:type="dxa"/>
          </w:tcPr>
          <w:p>
            <w:pPr>
              <w:jc w:val="left"/>
              <w:spacing w:before="5" w:after="5"/>
            </w:pPr>
            <w:r/>
            <w:r>
              <w:rPr>
                <w:rFonts w:ascii="Times New Roman" w:hAnsi="Times New Roman"/>
                <w:sz w:val="14"/>
              </w:rPr>
              <w:t>Lithuania</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0.94</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+30</w:t>
            </w:r>
          </w:p>
        </w:tc>
      </w:tr>
      <w:tr>
        <w:tc>
          <w:tcPr>
            <w:tcW w:w="1800" w:type="dxa"/>
          </w:tcPr>
          <w:p>
            <w:pPr>
              <w:jc w:val="left"/>
              <w:spacing w:before="5" w:after="5"/>
            </w:pPr>
            <w:r/>
            <w:r>
              <w:rPr>
                <w:rFonts w:ascii="Times New Roman" w:hAnsi="Times New Roman"/>
                <w:sz w:val="14"/>
              </w:rPr>
              <w:t>Czechia</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0.95</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+41</w:t>
            </w:r>
          </w:p>
        </w:tc>
      </w:tr>
      <w:tr>
        <w:tc>
          <w:tcPr>
            <w:tcW w:w="1800" w:type="dxa"/>
          </w:tcPr>
          <w:p>
            <w:pPr>
              <w:jc w:val="left"/>
              <w:spacing w:before="5" w:after="5"/>
            </w:pPr>
            <w:r/>
            <w:r>
              <w:rPr>
                <w:rFonts w:ascii="Times New Roman" w:hAnsi="Times New Roman"/>
                <w:sz w:val="14"/>
              </w:rPr>
              <w:t>Italy</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0.95</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+38</w:t>
            </w:r>
          </w:p>
        </w:tc>
      </w:tr>
      <w:tr>
        <w:tc>
          <w:tcPr>
            <w:tcW w:w="1800" w:type="dxa"/>
          </w:tcPr>
          <w:p>
            <w:pPr>
              <w:jc w:val="left"/>
              <w:spacing w:before="5" w:after="5"/>
            </w:pPr>
            <w:r/>
            <w:r>
              <w:rPr>
                <w:rFonts w:ascii="Times New Roman" w:hAnsi="Times New Roman"/>
                <w:sz w:val="14"/>
              </w:rPr>
              <w:t>Slovakia</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0.94</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+35</w:t>
            </w:r>
          </w:p>
        </w:tc>
      </w:tr>
      <w:tr>
        <w:tc>
          <w:tcPr>
            <w:tcW w:w="1800" w:type="dxa"/>
          </w:tcPr>
          <w:p>
            <w:pPr>
              <w:jc w:val="left"/>
              <w:spacing w:before="5" w:after="5"/>
            </w:pPr>
            <w:r/>
            <w:r>
              <w:rPr>
                <w:rFonts w:ascii="Times New Roman" w:hAnsi="Times New Roman"/>
                <w:sz w:val="14"/>
              </w:rPr>
              <w:t>Qatar</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0.92</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-21</w:t>
            </w:r>
          </w:p>
        </w:tc>
      </w:tr>
      <w:tr>
        <w:tc>
          <w:tcPr>
            <w:tcW w:w="1800" w:type="dxa"/>
          </w:tcPr>
          <w:p>
            <w:pPr>
              <w:jc w:val="left"/>
              <w:spacing w:before="5" w:after="5"/>
            </w:pPr>
            <w:r/>
            <w:r>
              <w:rPr>
                <w:rFonts w:ascii="Times New Roman" w:hAnsi="Times New Roman"/>
                <w:sz w:val="14"/>
              </w:rPr>
              <w:t>Greece</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0.93</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+31</w:t>
            </w:r>
          </w:p>
        </w:tc>
      </w:tr>
      <w:tr>
        <w:tc>
          <w:tcPr>
            <w:tcW w:w="1800" w:type="dxa"/>
          </w:tcPr>
          <w:p>
            <w:pPr>
              <w:jc w:val="left"/>
              <w:spacing w:before="5" w:after="5"/>
            </w:pPr>
            <w:r/>
            <w:r>
              <w:rPr>
                <w:rFonts w:ascii="Times New Roman" w:hAnsi="Times New Roman"/>
                <w:sz w:val="14"/>
              </w:rPr>
              <w:t>Malaysia</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0.91</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+14</w:t>
            </w:r>
          </w:p>
        </w:tc>
      </w:tr>
      <w:tr>
        <w:tc>
          <w:tcPr>
            <w:tcW w:w="1800" w:type="dxa"/>
          </w:tcPr>
          <w:p>
            <w:pPr>
              <w:jc w:val="left"/>
              <w:spacing w:before="5" w:after="5"/>
            </w:pPr>
            <w:r/>
            <w:r>
              <w:rPr>
                <w:rFonts w:ascii="Times New Roman" w:hAnsi="Times New Roman"/>
                <w:sz w:val="14"/>
              </w:rPr>
              <w:t>Greenland</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85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85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0.97</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+44</w:t>
            </w:r>
          </w:p>
        </w:tc>
      </w:tr>
      <w:tr>
        <w:tc>
          <w:tcPr>
            <w:tcW w:w="1800" w:type="dxa"/>
          </w:tcPr>
          <w:p>
            <w:pPr>
              <w:jc w:val="left"/>
              <w:spacing w:before="5" w:after="5"/>
            </w:pPr>
            <w:r/>
            <w:r>
              <w:rPr>
                <w:rFonts w:ascii="Times New Roman" w:hAnsi="Times New Roman"/>
                <w:sz w:val="14"/>
              </w:rPr>
              <w:t>Montenegro</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0.86</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-28</w:t>
            </w:r>
          </w:p>
        </w:tc>
      </w:tr>
      <w:tr>
        <w:tc>
          <w:tcPr>
            <w:tcW w:w="1800" w:type="dxa"/>
          </w:tcPr>
          <w:p>
            <w:pPr>
              <w:jc w:val="left"/>
              <w:spacing w:before="5" w:after="5"/>
            </w:pPr>
            <w:r/>
            <w:r>
              <w:rPr>
                <w:rFonts w:ascii="Times New Roman" w:hAnsi="Times New Roman"/>
                <w:sz w:val="14"/>
              </w:rPr>
              <w:t>Hungary</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0.92</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+35</w:t>
            </w:r>
          </w:p>
        </w:tc>
      </w:tr>
      <w:tr>
        <w:tc>
          <w:tcPr>
            <w:tcW w:w="1800" w:type="dxa"/>
          </w:tcPr>
          <w:p>
            <w:pPr>
              <w:jc w:val="left"/>
              <w:spacing w:before="5" w:after="5"/>
            </w:pPr>
            <w:r/>
            <w:r>
              <w:rPr>
                <w:rFonts w:ascii="Times New Roman" w:hAnsi="Times New Roman"/>
                <w:sz w:val="14"/>
              </w:rPr>
              <w:t>Saudi Arabia</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0.89</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-16</w:t>
            </w:r>
          </w:p>
        </w:tc>
      </w:tr>
      <w:tr>
        <w:tc>
          <w:tcPr>
            <w:tcW w:w="1800" w:type="dxa"/>
          </w:tcPr>
          <w:p>
            <w:pPr>
              <w:jc w:val="left"/>
              <w:spacing w:before="5" w:after="5"/>
            </w:pPr>
            <w:r/>
            <w:r>
              <w:rPr>
                <w:rFonts w:ascii="Times New Roman" w:hAnsi="Times New Roman"/>
                <w:sz w:val="14"/>
              </w:rPr>
              <w:t>Croatia</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0.92</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+37</w:t>
            </w:r>
          </w:p>
        </w:tc>
      </w:tr>
      <w:tr>
        <w:tc>
          <w:tcPr>
            <w:tcW w:w="1800" w:type="dxa"/>
          </w:tcPr>
          <w:p>
            <w:pPr>
              <w:jc w:val="left"/>
              <w:spacing w:before="5" w:after="5"/>
            </w:pPr>
            <w:r/>
            <w:r>
              <w:rPr>
                <w:rFonts w:ascii="Times New Roman" w:hAnsi="Times New Roman"/>
                <w:sz w:val="14"/>
              </w:rPr>
              <w:t>Georgia</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0.86</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-15</w:t>
            </w:r>
          </w:p>
        </w:tc>
      </w:tr>
      <w:tr>
        <w:tc>
          <w:tcPr>
            <w:tcW w:w="1800" w:type="dxa"/>
          </w:tcPr>
          <w:p>
            <w:pPr>
              <w:jc w:val="left"/>
              <w:spacing w:before="5" w:after="5"/>
            </w:pPr>
            <w:r/>
            <w:r>
              <w:rPr>
                <w:rFonts w:ascii="Times New Roman" w:hAnsi="Times New Roman"/>
                <w:sz w:val="14"/>
              </w:rPr>
              <w:t>Romania</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$1.74</w:t>
            </w:r>
          </w:p>
        </w:tc>
        <w:tc>
          <w:tcPr>
            <w:tcW w:w="450" w:type="dxa"/>
          </w:tcPr>
          <w:p>
            <w:pPr>
              <w:jc w:val="center"/>
              <w:spacing w:before="5" w:after="5"/>
            </w:pPr>
            <w:r/>
            <w:r>
              <w:rPr>
                <w:rFonts w:ascii="Times New Roman" w:hAnsi="Times New Roman"/>
                <w:sz w:val="14"/>
              </w:rPr>
              <w:t>0.88</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$1.74</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+22</w:t>
            </w:r>
          </w:p>
        </w:tc>
      </w:tr>
      <w:tr>
        <w:tc>
          <w:tcPr>
            <w:tcW w:w="1800" w:type="dxa"/>
          </w:tcPr>
          <w:p>
            <w:pPr>
              <w:jc w:val="left"/>
              <w:spacing w:before="5" w:after="5"/>
            </w:pPr>
            <w:r/>
            <w:r>
              <w:rPr>
                <w:rFonts w:ascii="Times New Roman" w:hAnsi="Times New Roman"/>
                <w:sz w:val="14"/>
              </w:rPr>
              <w:t>Morocco</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$1.75</w:t>
            </w:r>
          </w:p>
        </w:tc>
        <w:tc>
          <w:tcPr>
            <w:tcW w:w="450" w:type="dxa"/>
          </w:tcPr>
          <w:p>
            <w:pPr>
              <w:jc w:val="center"/>
              <w:spacing w:before="5" w:after="5"/>
            </w:pPr>
            <w:r/>
            <w:r>
              <w:rPr>
                <w:rFonts w:ascii="Times New Roman" w:hAnsi="Times New Roman"/>
                <w:sz w:val="14"/>
              </w:rPr>
              <w:t>0.85</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$1.75</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-12</w:t>
            </w:r>
          </w:p>
        </w:tc>
      </w:tr>
      <w:tr>
        <w:tc>
          <w:tcPr>
            <w:tcW w:w="1800" w:type="dxa"/>
          </w:tcPr>
          <w:p>
            <w:pPr>
              <w:jc w:val="left"/>
              <w:spacing w:before="5" w:after="5"/>
            </w:pPr>
            <w:r/>
            <w:r>
              <w:rPr>
                <w:rFonts w:ascii="Times New Roman" w:hAnsi="Times New Roman"/>
                <w:sz w:val="14"/>
              </w:rPr>
              <w:t>Thailand</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$1.75</w:t>
            </w:r>
          </w:p>
        </w:tc>
        <w:tc>
          <w:tcPr>
            <w:tcW w:w="450" w:type="dxa"/>
          </w:tcPr>
          <w:p>
            <w:pPr>
              <w:jc w:val="center"/>
              <w:spacing w:before="5" w:after="5"/>
            </w:pPr>
            <w:r/>
            <w:r>
              <w:rPr>
                <w:rFonts w:ascii="Times New Roman" w:hAnsi="Times New Roman"/>
                <w:sz w:val="14"/>
              </w:rPr>
              <w:t>0.86</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$1.75</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w:t>
            </w:r>
          </w:p>
        </w:tc>
      </w:tr>
      <w:tr>
        <w:tc>
          <w:tcPr>
            <w:tcW w:w="1800" w:type="dxa"/>
          </w:tcPr>
          <w:p>
            <w:pPr>
              <w:jc w:val="left"/>
              <w:spacing w:before="5" w:after="5"/>
            </w:pPr>
            <w:r/>
            <w:r>
              <w:rPr>
                <w:rFonts w:ascii="Times New Roman" w:hAnsi="Times New Roman"/>
                <w:sz w:val="14"/>
              </w:rPr>
              <w:t>China</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$1.76</w:t>
            </w:r>
          </w:p>
        </w:tc>
        <w:tc>
          <w:tcPr>
            <w:tcW w:w="450" w:type="dxa"/>
          </w:tcPr>
          <w:p>
            <w:pPr>
              <w:jc w:val="center"/>
              <w:spacing w:before="5" w:after="5"/>
            </w:pPr>
            <w:r/>
            <w:r>
              <w:rPr>
                <w:rFonts w:ascii="Times New Roman" w:hAnsi="Times New Roman"/>
                <w:sz w:val="14"/>
              </w:rPr>
              <w:t>0.82</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-40</w:t>
            </w:r>
          </w:p>
        </w:tc>
      </w:tr>
      <w:tr>
        <w:tc>
          <w:tcPr>
            <w:tcW w:w="1800" w:type="dxa"/>
          </w:tcPr>
          <w:p>
            <w:pPr>
              <w:jc w:val="left"/>
              <w:spacing w:before="5" w:after="5"/>
            </w:pPr>
            <w:r/>
            <w:r>
              <w:rPr>
                <w:rFonts w:ascii="Times New Roman" w:hAnsi="Times New Roman"/>
                <w:sz w:val="14"/>
              </w:rPr>
              <w:t>India</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$1.77</w:t>
            </w:r>
          </w:p>
        </w:tc>
        <w:tc>
          <w:tcPr>
            <w:tcW w:w="450" w:type="dxa"/>
          </w:tcPr>
          <w:p>
            <w:pPr>
              <w:jc w:val="center"/>
              <w:spacing w:before="5" w:after="5"/>
            </w:pPr>
            <w:r/>
            <w:r>
              <w:rPr>
                <w:rFonts w:ascii="Times New Roman" w:hAnsi="Times New Roman"/>
                <w:sz w:val="14"/>
              </w:rPr>
              <w:t>0.83</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$1.77</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-28</w:t>
            </w:r>
          </w:p>
        </w:tc>
      </w:tr>
      <w:tr>
        <w:tc>
          <w:tcPr>
            <w:tcW w:w="1800" w:type="dxa"/>
          </w:tcPr>
          <w:p>
            <w:pPr>
              <w:jc w:val="left"/>
              <w:spacing w:before="5" w:after="5"/>
            </w:pPr>
            <w:r/>
            <w:r>
              <w:rPr>
                <w:rFonts w:ascii="Times New Roman" w:hAnsi="Times New Roman"/>
                <w:sz w:val="14"/>
              </w:rPr>
              <w:t>Turkey</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$1.78</w:t>
            </w:r>
          </w:p>
        </w:tc>
        <w:tc>
          <w:tcPr>
            <w:tcW w:w="450" w:type="dxa"/>
          </w:tcPr>
          <w:p>
            <w:pPr>
              <w:jc w:val="center"/>
              <w:spacing w:before="5" w:after="5"/>
            </w:pPr>
            <w:r/>
            <w:r>
              <w:rPr>
                <w:rFonts w:ascii="Times New Roman" w:hAnsi="Times New Roman"/>
                <w:sz w:val="14"/>
              </w:rPr>
              <w:t>0.84</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$1.78</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-17</w:t>
            </w:r>
          </w:p>
        </w:tc>
      </w:tr>
      <w:tr>
        <w:tc>
          <w:tcPr>
            <w:tcW w:w="1800" w:type="dxa"/>
          </w:tcPr>
          <w:p>
            <w:pPr>
              <w:jc w:val="left"/>
              <w:spacing w:before="5" w:after="5"/>
            </w:pPr>
            <w:r/>
            <w:r>
              <w:rPr>
                <w:rFonts w:ascii="Times New Roman" w:hAnsi="Times New Roman"/>
                <w:sz w:val="14"/>
              </w:rPr>
              <w:t>Brazil</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$1.78</w:t>
            </w:r>
          </w:p>
        </w:tc>
        <w:tc>
          <w:tcPr>
            <w:tcW w:w="450" w:type="dxa"/>
          </w:tcPr>
          <w:p>
            <w:pPr>
              <w:jc w:val="center"/>
              <w:spacing w:before="5" w:after="5"/>
            </w:pPr>
            <w:r/>
            <w:r>
              <w:rPr>
                <w:rFonts w:ascii="Times New Roman" w:hAnsi="Times New Roman"/>
                <w:sz w:val="14"/>
              </w:rPr>
              <w:t>0.83</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$1.78</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-26</w:t>
            </w:r>
          </w:p>
        </w:tc>
      </w:tr>
      <w:tr>
        <w:tc>
          <w:tcPr>
            <w:tcW w:w="1800" w:type="dxa"/>
          </w:tcPr>
          <w:p>
            <w:pPr>
              <w:jc w:val="left"/>
              <w:spacing w:before="5" w:after="5"/>
            </w:pPr>
            <w:r/>
            <w:r>
              <w:rPr>
                <w:rFonts w:ascii="Times New Roman" w:hAnsi="Times New Roman"/>
                <w:sz w:val="14"/>
              </w:rPr>
              <w:t>Indonesia</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$1.78</w:t>
            </w:r>
          </w:p>
        </w:tc>
        <w:tc>
          <w:tcPr>
            <w:tcW w:w="450" w:type="dxa"/>
          </w:tcPr>
          <w:p>
            <w:pPr>
              <w:jc w:val="center"/>
              <w:spacing w:before="5" w:after="5"/>
            </w:pPr>
            <w:r/>
            <w:r>
              <w:rPr>
                <w:rFonts w:ascii="Times New Roman" w:hAnsi="Times New Roman"/>
                <w:sz w:val="14"/>
              </w:rPr>
              <w:t>0.83</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$1.78</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-25</w:t>
            </w:r>
          </w:p>
        </w:tc>
      </w:tr>
      <w:tr>
        <w:tc>
          <w:tcPr>
            <w:tcW w:w="1800" w:type="dxa"/>
          </w:tcPr>
          <w:p>
            <w:pPr>
              <w:jc w:val="left"/>
              <w:spacing w:before="5" w:after="5"/>
            </w:pPr>
            <w:r/>
            <w:r>
              <w:rPr>
                <w:rFonts w:ascii="Times New Roman" w:hAnsi="Times New Roman"/>
                <w:sz w:val="14"/>
              </w:rPr>
              <w:t>Kosovo</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$1.79</w:t>
            </w:r>
          </w:p>
        </w:tc>
        <w:tc>
          <w:tcPr>
            <w:tcW w:w="450" w:type="dxa"/>
          </w:tcPr>
          <w:p>
            <w:pPr>
              <w:jc w:val="center"/>
              <w:spacing w:before="5" w:after="5"/>
            </w:pPr>
            <w:r/>
            <w:r>
              <w:rPr>
                <w:rFonts w:ascii="Times New Roman" w:hAnsi="Times New Roman"/>
                <w:sz w:val="14"/>
              </w:rPr>
              <w:t>0.81</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$1.79</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-46</w:t>
            </w:r>
          </w:p>
        </w:tc>
      </w:tr>
      <w:tr>
        <w:tc>
          <w:tcPr>
            <w:tcW w:w="1800" w:type="dxa"/>
          </w:tcPr>
          <w:p>
            <w:pPr>
              <w:jc w:val="left"/>
              <w:spacing w:before="5" w:after="5"/>
            </w:pPr>
            <w:r/>
            <w:r>
              <w:rPr>
                <w:rFonts w:ascii="Times New Roman" w:hAnsi="Times New Roman"/>
                <w:sz w:val="14"/>
              </w:rPr>
              <w:t>Bulgaria</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$1.80</w:t>
            </w:r>
          </w:p>
        </w:tc>
        <w:tc>
          <w:tcPr>
            <w:tcW w:w="450" w:type="dxa"/>
          </w:tcPr>
          <w:p>
            <w:pPr>
              <w:jc w:val="center"/>
              <w:spacing w:before="5" w:after="5"/>
            </w:pPr>
            <w:r/>
            <w:r>
              <w:rPr>
                <w:rFonts w:ascii="Times New Roman" w:hAnsi="Times New Roman"/>
                <w:sz w:val="14"/>
              </w:rPr>
              <w:t>0.86</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$1.80</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+15</w:t>
            </w:r>
          </w:p>
        </w:tc>
      </w:tr>
      <w:tr>
        <w:tc>
          <w:tcPr>
            <w:tcW w:w="1800" w:type="dxa"/>
          </w:tcPr>
          <w:p>
            <w:pPr>
              <w:jc w:val="left"/>
              <w:spacing w:before="5" w:after="5"/>
            </w:pPr>
            <w:r/>
            <w:r>
              <w:rPr>
                <w:rFonts w:ascii="Times New Roman" w:hAnsi="Times New Roman"/>
                <w:sz w:val="14"/>
              </w:rPr>
              <w:t>Vietnam</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$1.80</w:t>
            </w:r>
          </w:p>
        </w:tc>
        <w:tc>
          <w:tcPr>
            <w:tcW w:w="450" w:type="dxa"/>
          </w:tcPr>
          <w:p>
            <w:pPr>
              <w:jc w:val="center"/>
              <w:spacing w:before="5" w:after="5"/>
            </w:pPr>
            <w:r/>
            <w:r>
              <w:rPr>
                <w:rFonts w:ascii="Times New Roman" w:hAnsi="Times New Roman"/>
                <w:sz w:val="14"/>
              </w:rPr>
              <w:t>0.82</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$1.80</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-35</w:t>
            </w:r>
          </w:p>
        </w:tc>
      </w:tr>
      <w:tr>
        <w:tc>
          <w:tcPr>
            <w:tcW w:w="1800" w:type="dxa"/>
          </w:tcPr>
          <w:p>
            <w:pPr>
              <w:jc w:val="left"/>
              <w:spacing w:before="5" w:after="5"/>
            </w:pPr>
            <w:r/>
            <w:r>
              <w:rPr>
                <w:rFonts w:ascii="Times New Roman" w:hAnsi="Times New Roman"/>
                <w:sz w:val="14"/>
              </w:rPr>
              <w:t>Colombia</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$1.80</w:t>
            </w:r>
          </w:p>
        </w:tc>
        <w:tc>
          <w:tcPr>
            <w:tcW w:w="450" w:type="dxa"/>
          </w:tcPr>
          <w:p>
            <w:pPr>
              <w:jc w:val="center"/>
              <w:spacing w:before="5" w:after="5"/>
            </w:pPr>
            <w:r/>
            <w:r>
              <w:rPr>
                <w:rFonts w:ascii="Times New Roman" w:hAnsi="Times New Roman"/>
                <w:sz w:val="14"/>
              </w:rPr>
              <w:t>0.81</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$1.80</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-43</w:t>
            </w:r>
          </w:p>
        </w:tc>
      </w:tr>
      <w:tr>
        <w:tc>
          <w:tcPr>
            <w:tcW w:w="1800" w:type="dxa"/>
          </w:tcPr>
          <w:p>
            <w:pPr>
              <w:jc w:val="left"/>
              <w:spacing w:before="5" w:after="5"/>
            </w:pPr>
            <w:r/>
            <w:r>
              <w:rPr>
                <w:rFonts w:ascii="Times New Roman" w:hAnsi="Times New Roman"/>
                <w:sz w:val="14"/>
              </w:rPr>
              <w:t>Mexico</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$1.80</w:t>
            </w:r>
          </w:p>
        </w:tc>
        <w:tc>
          <w:tcPr>
            <w:tcW w:w="450" w:type="dxa"/>
          </w:tcPr>
          <w:p>
            <w:pPr>
              <w:jc w:val="center"/>
              <w:spacing w:before="5" w:after="5"/>
            </w:pPr>
            <w:r/>
            <w:r>
              <w:rPr>
                <w:rFonts w:ascii="Times New Roman" w:hAnsi="Times New Roman"/>
                <w:sz w:val="14"/>
              </w:rPr>
              <w:t>0.83</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$1.80</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-20</w:t>
            </w:r>
          </w:p>
        </w:tc>
      </w:tr>
      <w:tr>
        <w:tc>
          <w:tcPr>
            <w:tcW w:w="1800" w:type="dxa"/>
          </w:tcPr>
          <w:p>
            <w:pPr>
              <w:jc w:val="left"/>
              <w:spacing w:before="5" w:after="5"/>
            </w:pPr>
            <w:r/>
            <w:r>
              <w:rPr>
                <w:rFonts w:ascii="Times New Roman" w:hAnsi="Times New Roman"/>
                <w:sz w:val="14"/>
              </w:rPr>
              <w:t>Argentina</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$1.80</w:t>
            </w:r>
          </w:p>
        </w:tc>
        <w:tc>
          <w:tcPr>
            <w:tcW w:w="450" w:type="dxa"/>
          </w:tcPr>
          <w:p>
            <w:pPr>
              <w:jc w:val="center"/>
              <w:spacing w:before="5" w:after="5"/>
            </w:pPr>
            <w:r/>
            <w:r>
              <w:rPr>
                <w:rFonts w:ascii="Times New Roman" w:hAnsi="Times New Roman"/>
                <w:sz w:val="14"/>
              </w:rPr>
              <w:t>0.81</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$1.80</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-42</w:t>
            </w:r>
          </w:p>
        </w:tc>
      </w:tr>
      <w:tr>
        <w:tc>
          <w:tcPr>
            <w:tcW w:w="1800" w:type="dxa"/>
          </w:tcPr>
          <w:p>
            <w:pPr>
              <w:jc w:val="left"/>
              <w:spacing w:before="5" w:after="5"/>
            </w:pPr>
            <w:r/>
            <w:r>
              <w:rPr>
                <w:rFonts w:ascii="Times New Roman" w:hAnsi="Times New Roman"/>
                <w:sz w:val="14"/>
              </w:rPr>
              <w:t>Serbia</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$1.81</w:t>
            </w:r>
          </w:p>
        </w:tc>
        <w:tc>
          <w:tcPr>
            <w:tcW w:w="450" w:type="dxa"/>
          </w:tcPr>
          <w:p>
            <w:pPr>
              <w:jc w:val="center"/>
              <w:spacing w:before="5" w:after="5"/>
            </w:pPr>
            <w:r/>
            <w:r>
              <w:rPr>
                <w:rFonts w:ascii="Times New Roman" w:hAnsi="Times New Roman"/>
                <w:sz w:val="14"/>
              </w:rPr>
              <w:t>0.84</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$1.81</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w:t>
            </w:r>
          </w:p>
        </w:tc>
      </w:tr>
      <w:tr>
        <w:tc>
          <w:tcPr>
            <w:tcW w:w="1800" w:type="dxa"/>
          </w:tcPr>
          <w:p>
            <w:pPr>
              <w:jc w:val="left"/>
              <w:spacing w:before="5" w:after="5"/>
            </w:pPr>
            <w:r/>
            <w:r>
              <w:rPr>
                <w:rFonts w:ascii="Times New Roman" w:hAnsi="Times New Roman"/>
                <w:sz w:val="14"/>
              </w:rPr>
              <w:t>N. Macedonia</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$1.82</w:t>
            </w:r>
          </w:p>
        </w:tc>
        <w:tc>
          <w:tcPr>
            <w:tcW w:w="450" w:type="dxa"/>
          </w:tcPr>
          <w:p>
            <w:pPr>
              <w:jc w:val="center"/>
              <w:spacing w:before="5" w:after="5"/>
            </w:pPr>
            <w:r/>
            <w:r>
              <w:rPr>
                <w:rFonts w:ascii="Times New Roman" w:hAnsi="Times New Roman"/>
                <w:sz w:val="14"/>
              </w:rPr>
              <w:t>0.84</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$1.82</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w:t>
            </w:r>
          </w:p>
        </w:tc>
      </w:tr>
      <w:tr>
        <w:tc>
          <w:tcPr>
            <w:tcW w:w="1800" w:type="dxa"/>
          </w:tcPr>
          <w:p>
            <w:pPr>
              <w:jc w:val="left"/>
              <w:spacing w:before="5" w:after="5"/>
            </w:pPr>
            <w:r/>
            <w:r>
              <w:rPr>
                <w:rFonts w:ascii="Times New Roman" w:hAnsi="Times New Roman"/>
                <w:sz w:val="14"/>
              </w:rPr>
              <w:t>Ukraine</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$1.85</w:t>
            </w:r>
          </w:p>
        </w:tc>
        <w:tc>
          <w:tcPr>
            <w:tcW w:w="450" w:type="dxa"/>
          </w:tcPr>
          <w:p>
            <w:pPr>
              <w:jc w:val="center"/>
              <w:spacing w:before="5" w:after="5"/>
            </w:pPr>
            <w:r/>
            <w:r>
              <w:rPr>
                <w:rFonts w:ascii="Times New Roman" w:hAnsi="Times New Roman"/>
                <w:sz w:val="14"/>
              </w:rPr>
              <w:t>0.79</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$1.85</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-47</w:t>
            </w:r>
          </w:p>
        </w:tc>
      </w:tr>
      <w:tr>
        <w:tc>
          <w:tcPr>
            <w:tcW w:w="1800" w:type="dxa"/>
          </w:tcPr>
          <w:p>
            <w:pPr>
              <w:jc w:val="left"/>
              <w:spacing w:before="5" w:after="5"/>
            </w:pPr>
            <w:r/>
            <w:r>
              <w:rPr>
                <w:rFonts w:ascii="Times New Roman" w:hAnsi="Times New Roman"/>
                <w:sz w:val="14"/>
              </w:rPr>
              <w:t>Kenya</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$1.86</w:t>
            </w:r>
          </w:p>
        </w:tc>
        <w:tc>
          <w:tcPr>
            <w:tcW w:w="450" w:type="dxa"/>
          </w:tcPr>
          <w:p>
            <w:pPr>
              <w:jc w:val="center"/>
              <w:spacing w:before="5" w:after="5"/>
            </w:pPr>
            <w:r/>
            <w:r>
              <w:rPr>
                <w:rFonts w:ascii="Times New Roman" w:hAnsi="Times New Roman"/>
                <w:sz w:val="14"/>
              </w:rPr>
              <w:t>0.80</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$1.86</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-30</w:t>
            </w:r>
          </w:p>
        </w:tc>
      </w:tr>
      <w:tr>
        <w:tc>
          <w:tcPr>
            <w:tcW w:w="1800" w:type="dxa"/>
          </w:tcPr>
          <w:p>
            <w:pPr>
              <w:jc w:val="left"/>
              <w:spacing w:before="5" w:after="5"/>
            </w:pPr>
            <w:r/>
            <w:r>
              <w:rPr>
                <w:rFonts w:ascii="Times New Roman" w:hAnsi="Times New Roman"/>
                <w:sz w:val="14"/>
              </w:rPr>
              <w:t>Ghana</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$1.86</w:t>
            </w:r>
          </w:p>
        </w:tc>
        <w:tc>
          <w:tcPr>
            <w:tcW w:w="450" w:type="dxa"/>
          </w:tcPr>
          <w:p>
            <w:pPr>
              <w:jc w:val="center"/>
              <w:spacing w:before="5" w:after="5"/>
            </w:pPr>
            <w:r/>
            <w:r>
              <w:rPr>
                <w:rFonts w:ascii="Times New Roman" w:hAnsi="Times New Roman"/>
                <w:sz w:val="14"/>
              </w:rPr>
              <w:t>0.82</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$1.86</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w:t>
            </w:r>
          </w:p>
        </w:tc>
      </w:tr>
      <w:tr>
        <w:tc>
          <w:tcPr>
            <w:tcW w:w="1800" w:type="dxa"/>
          </w:tcPr>
          <w:p>
            <w:pPr>
              <w:jc w:val="left"/>
              <w:spacing w:before="5" w:after="5"/>
            </w:pPr>
            <w:r/>
            <w:r>
              <w:rPr>
                <w:rFonts w:ascii="Times New Roman" w:hAnsi="Times New Roman"/>
                <w:sz w:val="14"/>
              </w:rPr>
              <w:t>Philippines</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$1.86</w:t>
            </w:r>
          </w:p>
        </w:tc>
        <w:tc>
          <w:tcPr>
            <w:tcW w:w="450" w:type="dxa"/>
          </w:tcPr>
          <w:p>
            <w:pPr>
              <w:jc w:val="center"/>
              <w:spacing w:before="5" w:after="5"/>
            </w:pPr>
            <w:r/>
            <w:r>
              <w:rPr>
                <w:rFonts w:ascii="Times New Roman" w:hAnsi="Times New Roman"/>
                <w:sz w:val="14"/>
              </w:rPr>
              <w:t>0.81</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$1.86</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-18</w:t>
            </w:r>
          </w:p>
        </w:tc>
      </w:tr>
      <w:tr>
        <w:tc>
          <w:tcPr>
            <w:tcW w:w="1800" w:type="dxa"/>
          </w:tcPr>
          <w:p>
            <w:pPr>
              <w:jc w:val="left"/>
              <w:spacing w:before="5" w:after="5"/>
            </w:pPr>
            <w:r/>
            <w:r>
              <w:rPr>
                <w:rFonts w:ascii="Times New Roman" w:hAnsi="Times New Roman"/>
                <w:sz w:val="14"/>
              </w:rPr>
              <w:t>Kyrgyzstan</w:t>
            </w:r>
          </w:p>
        </w:tc>
        <w:tc>
          <w:tcPr>
            <w:tcW w:w="900" w:type="dxa"/>
          </w:tcPr>
          <w:p>
            <w:pPr>
              <w:jc w:val="center"/>
              <w:spacing w:before="5" w:after="5"/>
            </w:pPr>
            <w:r/>
            <w:r>
              <w:rPr>
                <w:rFonts w:ascii="Times New Roman" w:hAnsi="Times New Roman"/>
                <w:sz w:val="14"/>
              </w:rPr>
              <w:t>$1.42</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$1.42</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$1.87</w:t>
            </w:r>
          </w:p>
        </w:tc>
        <w:tc>
          <w:tcPr>
            <w:tcW w:w="450" w:type="dxa"/>
          </w:tcPr>
          <w:p>
            <w:pPr>
              <w:jc w:val="center"/>
              <w:spacing w:before="5" w:after="5"/>
            </w:pPr>
            <w:r/>
            <w:r>
              <w:rPr>
                <w:rFonts w:ascii="Times New Roman" w:hAnsi="Times New Roman"/>
                <w:sz w:val="14"/>
              </w:rPr>
              <w:t>0.76</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$1.87</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-63</w:t>
            </w:r>
          </w:p>
        </w:tc>
      </w:tr>
      <w:tr>
        <w:tc>
          <w:tcPr>
            <w:tcW w:w="1800" w:type="dxa"/>
          </w:tcPr>
          <w:p>
            <w:pPr>
              <w:jc w:val="left"/>
              <w:spacing w:before="5" w:after="5"/>
            </w:pPr>
            <w:r/>
            <w:r>
              <w:rPr>
                <w:rFonts w:ascii="Times New Roman" w:hAnsi="Times New Roman"/>
                <w:sz w:val="14"/>
              </w:rPr>
              <w:t>Moldova</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$1.88</w:t>
            </w:r>
          </w:p>
        </w:tc>
        <w:tc>
          <w:tcPr>
            <w:tcW w:w="450" w:type="dxa"/>
          </w:tcPr>
          <w:p>
            <w:pPr>
              <w:jc w:val="center"/>
              <w:spacing w:before="5" w:after="5"/>
            </w:pPr>
            <w:r/>
            <w:r>
              <w:rPr>
                <w:rFonts w:ascii="Times New Roman" w:hAnsi="Times New Roman"/>
                <w:sz w:val="14"/>
              </w:rPr>
              <w:t>0.81</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$1.88</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-9</w:t>
            </w:r>
          </w:p>
        </w:tc>
      </w:tr>
      <w:tr>
        <w:tc>
          <w:tcPr>
            <w:tcW w:w="1800" w:type="dxa"/>
          </w:tcPr>
          <w:p>
            <w:pPr>
              <w:jc w:val="left"/>
              <w:spacing w:before="5" w:after="5"/>
            </w:pPr>
            <w:r/>
            <w:r>
              <w:rPr>
                <w:rFonts w:ascii="Times New Roman" w:hAnsi="Times New Roman"/>
                <w:sz w:val="14"/>
              </w:rPr>
              <w:t>Armenia</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$1.89</w:t>
            </w:r>
          </w:p>
        </w:tc>
        <w:tc>
          <w:tcPr>
            <w:tcW w:w="450" w:type="dxa"/>
          </w:tcPr>
          <w:p>
            <w:pPr>
              <w:jc w:val="center"/>
              <w:spacing w:before="5" w:after="5"/>
            </w:pPr>
            <w:r/>
            <w:r>
              <w:rPr>
                <w:rFonts w:ascii="Times New Roman" w:hAnsi="Times New Roman"/>
                <w:sz w:val="14"/>
              </w:rPr>
              <w:t>0.79</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$1.89</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-27</w:t>
            </w:r>
          </w:p>
        </w:tc>
      </w:tr>
      <w:tr>
        <w:tc>
          <w:tcPr>
            <w:tcW w:w="1800" w:type="dxa"/>
          </w:tcPr>
          <w:p>
            <w:pPr>
              <w:jc w:val="left"/>
              <w:spacing w:before="5" w:after="5"/>
            </w:pPr>
            <w:r/>
            <w:r>
              <w:rPr>
                <w:rFonts w:ascii="Times New Roman" w:hAnsi="Times New Roman"/>
                <w:sz w:val="14"/>
              </w:rPr>
              <w:t>Senegal</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$1.92</w:t>
            </w:r>
          </w:p>
        </w:tc>
        <w:tc>
          <w:tcPr>
            <w:tcW w:w="450" w:type="dxa"/>
          </w:tcPr>
          <w:p>
            <w:pPr>
              <w:jc w:val="center"/>
              <w:spacing w:before="5" w:after="5"/>
            </w:pPr>
            <w:r/>
            <w:r>
              <w:rPr>
                <w:rFonts w:ascii="Times New Roman" w:hAnsi="Times New Roman"/>
                <w:sz w:val="14"/>
              </w:rPr>
              <w:t>0.83</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$1.92</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+13</w:t>
            </w:r>
          </w:p>
        </w:tc>
      </w:tr>
      <w:tr>
        <w:tc>
          <w:tcPr>
            <w:tcW w:w="1800" w:type="dxa"/>
          </w:tcPr>
          <w:p>
            <w:pPr>
              <w:jc w:val="left"/>
              <w:spacing w:before="5" w:after="5"/>
            </w:pPr>
            <w:r/>
            <w:r>
              <w:rPr>
                <w:rFonts w:ascii="Times New Roman" w:hAnsi="Times New Roman"/>
                <w:sz w:val="14"/>
              </w:rPr>
              <w:t>Egypt</w:t>
            </w:r>
          </w:p>
        </w:tc>
        <w:tc>
          <w:tcPr>
            <w:tcW w:w="900" w:type="dxa"/>
          </w:tcPr>
          <w:p>
            <w:pPr>
              <w:jc w:val="center"/>
              <w:spacing w:before="5" w:after="5"/>
            </w:pPr>
            <w:r/>
            <w:r>
              <w:rPr>
                <w:rFonts w:ascii="Times New Roman" w:hAnsi="Times New Roman"/>
                <w:sz w:val="14"/>
              </w:rPr>
              <w:t>$1.43</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$1.92</w:t>
            </w:r>
          </w:p>
        </w:tc>
        <w:tc>
          <w:tcPr>
            <w:tcW w:w="450" w:type="dxa"/>
          </w:tcPr>
          <w:p>
            <w:pPr>
              <w:jc w:val="center"/>
              <w:spacing w:before="5" w:after="5"/>
            </w:pPr>
            <w:r/>
            <w:r>
              <w:rPr>
                <w:rFonts w:ascii="Times New Roman" w:hAnsi="Times New Roman"/>
                <w:sz w:val="14"/>
              </w:rPr>
              <w:t>0.76</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$1.92</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-66</w:t>
            </w:r>
          </w:p>
        </w:tc>
      </w:tr>
      <w:tr>
        <w:tc>
          <w:tcPr>
            <w:tcW w:w="1800" w:type="dxa"/>
          </w:tcPr>
          <w:p>
            <w:pPr>
              <w:jc w:val="left"/>
              <w:spacing w:before="5" w:after="5"/>
            </w:pPr>
            <w:r/>
            <w:r>
              <w:rPr>
                <w:rFonts w:ascii="Times New Roman" w:hAnsi="Times New Roman"/>
                <w:sz w:val="14"/>
              </w:rPr>
              <w:t>Kazakhstan</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$1.93</w:t>
            </w:r>
          </w:p>
        </w:tc>
        <w:tc>
          <w:tcPr>
            <w:tcW w:w="450" w:type="dxa"/>
          </w:tcPr>
          <w:p>
            <w:pPr>
              <w:jc w:val="center"/>
              <w:spacing w:before="5" w:after="5"/>
            </w:pPr>
            <w:r/>
            <w:r>
              <w:rPr>
                <w:rFonts w:ascii="Times New Roman" w:hAnsi="Times New Roman"/>
                <w:sz w:val="14"/>
              </w:rPr>
              <w:t>0.77</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$1.93</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-51</w:t>
            </w:r>
          </w:p>
        </w:tc>
      </w:tr>
      <w:tr>
        <w:tc>
          <w:tcPr>
            <w:tcW w:w="1800" w:type="dxa"/>
          </w:tcPr>
          <w:p>
            <w:pPr>
              <w:jc w:val="left"/>
              <w:spacing w:before="5" w:after="5"/>
            </w:pPr>
            <w:r/>
            <w:r>
              <w:rPr>
                <w:rFonts w:ascii="Times New Roman" w:hAnsi="Times New Roman"/>
                <w:sz w:val="14"/>
              </w:rPr>
              <w:t>Albania</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$1.94</w:t>
            </w:r>
          </w:p>
        </w:tc>
        <w:tc>
          <w:tcPr>
            <w:tcW w:w="450" w:type="dxa"/>
          </w:tcPr>
          <w:p>
            <w:pPr>
              <w:jc w:val="center"/>
              <w:spacing w:before="5" w:after="5"/>
            </w:pPr>
            <w:r/>
            <w:r>
              <w:rPr>
                <w:rFonts w:ascii="Times New Roman" w:hAnsi="Times New Roman"/>
                <w:sz w:val="14"/>
              </w:rPr>
              <w:t>0.79</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$1.94</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w:t>
            </w:r>
          </w:p>
        </w:tc>
      </w:tr>
      <w:tr>
        <w:tc>
          <w:tcPr>
            <w:tcW w:w="1800" w:type="dxa"/>
          </w:tcPr>
          <w:p>
            <w:pPr>
              <w:jc w:val="left"/>
              <w:spacing w:before="5" w:after="5"/>
            </w:pPr>
            <w:r/>
            <w:r>
              <w:rPr>
                <w:rFonts w:ascii="Times New Roman" w:hAnsi="Times New Roman"/>
                <w:sz w:val="14"/>
              </w:rPr>
              <w:t>Bosnia and Herz.</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$1.94</w:t>
            </w:r>
          </w:p>
        </w:tc>
        <w:tc>
          <w:tcPr>
            <w:tcW w:w="450" w:type="dxa"/>
          </w:tcPr>
          <w:p>
            <w:pPr>
              <w:jc w:val="center"/>
              <w:spacing w:before="5" w:after="5"/>
            </w:pPr>
            <w:r/>
            <w:r>
              <w:rPr>
                <w:rFonts w:ascii="Times New Roman" w:hAnsi="Times New Roman"/>
                <w:sz w:val="14"/>
              </w:rPr>
              <w:t>0.77</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$1.94</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-41</w:t>
            </w:r>
          </w:p>
        </w:tc>
      </w:tr>
      <w:tr>
        <w:tc>
          <w:tcPr>
            <w:tcW w:w="1800" w:type="dxa"/>
          </w:tcPr>
          <w:p>
            <w:pPr>
              <w:jc w:val="left"/>
              <w:spacing w:before="5" w:after="5"/>
            </w:pPr>
            <w:r/>
            <w:r>
              <w:rPr>
                <w:rFonts w:ascii="Times New Roman" w:hAnsi="Times New Roman"/>
                <w:sz w:val="14"/>
              </w:rPr>
              <w:t>Azerbaijan</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$1.97</w:t>
            </w:r>
          </w:p>
        </w:tc>
        <w:tc>
          <w:tcPr>
            <w:tcW w:w="450" w:type="dxa"/>
          </w:tcPr>
          <w:p>
            <w:pPr>
              <w:jc w:val="center"/>
              <w:spacing w:before="5" w:after="5"/>
            </w:pPr>
            <w:r/>
            <w:r>
              <w:rPr>
                <w:rFonts w:ascii="Times New Roman" w:hAnsi="Times New Roman"/>
                <w:sz w:val="14"/>
              </w:rPr>
              <w:t>0.74</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$1.97</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-56</w:t>
            </w:r>
          </w:p>
        </w:tc>
      </w:tr>
      <w:tr>
        <w:tc>
          <w:tcPr>
            <w:tcW w:w="1800" w:type="dxa"/>
          </w:tcPr>
          <w:p>
            <w:pPr>
              <w:jc w:val="left"/>
              <w:spacing w:before="5" w:after="5"/>
            </w:pPr>
            <w:r/>
            <w:r>
              <w:rPr>
                <w:rFonts w:ascii="Times New Roman" w:hAnsi="Times New Roman"/>
                <w:sz w:val="14"/>
              </w:rPr>
              <w:t>Algeria</w:t>
            </w:r>
          </w:p>
        </w:tc>
        <w:tc>
          <w:tcPr>
            <w:tcW w:w="900" w:type="dxa"/>
          </w:tcPr>
          <w:p>
            <w:pPr>
              <w:jc w:val="center"/>
              <w:spacing w:before="5" w:after="5"/>
            </w:pPr>
            <w:r/>
            <w:r>
              <w:rPr>
                <w:rFonts w:ascii="Times New Roman" w:hAnsi="Times New Roman"/>
                <w:sz w:val="14"/>
              </w:rPr>
              <w:t>$1.43</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$1.98</w:t>
            </w:r>
          </w:p>
        </w:tc>
        <w:tc>
          <w:tcPr>
            <w:tcW w:w="450" w:type="dxa"/>
          </w:tcPr>
          <w:p>
            <w:pPr>
              <w:jc w:val="center"/>
              <w:spacing w:before="5" w:after="5"/>
            </w:pPr>
            <w:r/>
            <w:r>
              <w:rPr>
                <w:rFonts w:ascii="Times New Roman" w:hAnsi="Times New Roman"/>
                <w:sz w:val="14"/>
              </w:rPr>
              <w:t>0.74</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$1.98</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-70</w:t>
            </w:r>
          </w:p>
        </w:tc>
      </w:tr>
      <w:tr>
        <w:tc>
          <w:tcPr>
            <w:tcW w:w="1800" w:type="dxa"/>
          </w:tcPr>
          <w:p>
            <w:pPr>
              <w:jc w:val="left"/>
              <w:spacing w:before="5" w:after="5"/>
            </w:pPr>
            <w:r/>
            <w:r>
              <w:rPr>
                <w:rFonts w:ascii="Times New Roman" w:hAnsi="Times New Roman"/>
                <w:sz w:val="14"/>
              </w:rPr>
              <w:t>Uzbekistan</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$2.00</w:t>
            </w:r>
          </w:p>
        </w:tc>
        <w:tc>
          <w:tcPr>
            <w:tcW w:w="450" w:type="dxa"/>
          </w:tcPr>
          <w:p>
            <w:pPr>
              <w:jc w:val="center"/>
              <w:spacing w:before="5" w:after="5"/>
            </w:pPr>
            <w:r/>
            <w:r>
              <w:rPr>
                <w:rFonts w:ascii="Times New Roman" w:hAnsi="Times New Roman"/>
                <w:sz w:val="14"/>
              </w:rPr>
              <w:t>0.74</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$2.00</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-57</w:t>
            </w:r>
          </w:p>
        </w:tc>
      </w:tr>
      <w:tr>
        <w:tc>
          <w:tcPr>
            <w:tcW w:w="1800" w:type="dxa"/>
          </w:tcPr>
          <w:p>
            <w:pPr>
              <w:jc w:val="left"/>
              <w:spacing w:before="5" w:after="5"/>
            </w:pPr>
            <w:r/>
            <w:r>
              <w:rPr>
                <w:rFonts w:ascii="Times New Roman" w:hAnsi="Times New Roman"/>
                <w:sz w:val="14"/>
              </w:rPr>
              <w:t>Russia</w:t>
            </w:r>
          </w:p>
        </w:tc>
        <w:tc>
          <w:tcPr>
            <w:tcW w:w="900" w:type="dxa"/>
          </w:tcPr>
          <w:p>
            <w:pPr>
              <w:jc w:val="center"/>
              <w:spacing w:before="5" w:after="5"/>
            </w:pPr>
            <w:r/>
            <w:r>
              <w:rPr>
                <w:rFonts w:ascii="Times New Roman" w:hAnsi="Times New Roman"/>
                <w:sz w:val="14"/>
              </w:rPr>
              <w:t>$1.44</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$2.02</w:t>
            </w:r>
          </w:p>
        </w:tc>
        <w:tc>
          <w:tcPr>
            <w:tcW w:w="450" w:type="dxa"/>
          </w:tcPr>
          <w:p>
            <w:pPr>
              <w:jc w:val="center"/>
              <w:spacing w:before="5" w:after="5"/>
            </w:pPr>
            <w:r/>
            <w:r>
              <w:rPr>
                <w:rFonts w:ascii="Times New Roman" w:hAnsi="Times New Roman"/>
                <w:sz w:val="14"/>
              </w:rPr>
              <w:t>0.72</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$2.02</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-70</w:t>
            </w:r>
          </w:p>
        </w:tc>
      </w:tr>
      <w:tr>
        <w:tc>
          <w:tcPr>
            <w:tcW w:w="1800" w:type="dxa"/>
          </w:tcPr>
          <w:p>
            <w:pPr>
              <w:jc w:val="left"/>
              <w:spacing w:before="5" w:after="5"/>
            </w:pPr>
            <w:r/>
            <w:r>
              <w:rPr>
                <w:rFonts w:ascii="Times New Roman" w:hAnsi="Times New Roman"/>
                <w:sz w:val="14"/>
              </w:rPr>
              <w:t>Tajikistan</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$2.02</w:t>
            </w:r>
          </w:p>
        </w:tc>
        <w:tc>
          <w:tcPr>
            <w:tcW w:w="450" w:type="dxa"/>
          </w:tcPr>
          <w:p>
            <w:pPr>
              <w:jc w:val="center"/>
              <w:spacing w:before="5" w:after="5"/>
            </w:pPr>
            <w:r/>
            <w:r>
              <w:rPr>
                <w:rFonts w:ascii="Times New Roman" w:hAnsi="Times New Roman"/>
                <w:sz w:val="14"/>
              </w:rPr>
              <w:t>0.72</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$2.02</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-67</w:t>
            </w:r>
          </w:p>
        </w:tc>
      </w:tr>
      <w:tr>
        <w:tc>
          <w:tcPr>
            <w:tcW w:w="1800" w:type="dxa"/>
          </w:tcPr>
          <w:p>
            <w:pPr>
              <w:jc w:val="left"/>
              <w:spacing w:before="5" w:after="5"/>
            </w:pPr>
            <w:r/>
            <w:r>
              <w:rPr>
                <w:rFonts w:ascii="Times New Roman" w:hAnsi="Times New Roman"/>
                <w:sz w:val="14"/>
              </w:rPr>
              <w:t>Ethiopia</w:t>
            </w:r>
          </w:p>
        </w:tc>
        <w:tc>
          <w:tcPr>
            <w:tcW w:w="900" w:type="dxa"/>
          </w:tcPr>
          <w:p>
            <w:pPr>
              <w:jc w:val="center"/>
              <w:spacing w:before="5" w:after="5"/>
            </w:pPr>
            <w:r/>
            <w:r>
              <w:rPr>
                <w:rFonts w:ascii="Times New Roman" w:hAnsi="Times New Roman"/>
                <w:sz w:val="14"/>
              </w:rPr>
              <w:t>$1.42</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$1.44</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$2.03</w:t>
            </w:r>
          </w:p>
        </w:tc>
        <w:tc>
          <w:tcPr>
            <w:tcW w:w="450" w:type="dxa"/>
          </w:tcPr>
          <w:p>
            <w:pPr>
              <w:jc w:val="center"/>
              <w:spacing w:before="5" w:after="5"/>
            </w:pPr>
            <w:r/>
            <w:r>
              <w:rPr>
                <w:rFonts w:ascii="Times New Roman" w:hAnsi="Times New Roman"/>
                <w:sz w:val="14"/>
              </w:rPr>
              <w:t>0.71</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$2.03</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-77</w:t>
            </w:r>
          </w:p>
        </w:tc>
      </w:tr>
      <w:tr>
        <w:tc>
          <w:tcPr>
            <w:tcW w:w="1800" w:type="dxa"/>
          </w:tcPr>
          <w:p>
            <w:pPr>
              <w:jc w:val="left"/>
              <w:spacing w:before="5" w:after="5"/>
            </w:pPr>
            <w:r/>
            <w:r>
              <w:rPr>
                <w:rFonts w:ascii="Times New Roman" w:hAnsi="Times New Roman"/>
                <w:sz w:val="14"/>
              </w:rPr>
              <w:t>Nigeria</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$2.04</w:t>
            </w:r>
          </w:p>
        </w:tc>
        <w:tc>
          <w:tcPr>
            <w:tcW w:w="450" w:type="dxa"/>
          </w:tcPr>
          <w:p>
            <w:pPr>
              <w:jc w:val="center"/>
              <w:spacing w:before="5" w:after="5"/>
            </w:pPr>
            <w:r/>
            <w:r>
              <w:rPr>
                <w:rFonts w:ascii="Times New Roman" w:hAnsi="Times New Roman"/>
                <w:sz w:val="14"/>
              </w:rPr>
              <w:t>0.73</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$2.04</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-68</w:t>
            </w:r>
          </w:p>
        </w:tc>
      </w:tr>
      <w:tr>
        <w:tc>
          <w:tcPr>
            <w:tcW w:w="1800" w:type="dxa"/>
          </w:tcPr>
          <w:p>
            <w:pPr>
              <w:jc w:val="left"/>
              <w:spacing w:before="5" w:after="5"/>
            </w:pPr>
            <w:r/>
            <w:r>
              <w:rPr>
                <w:rFonts w:ascii="Times New Roman" w:hAnsi="Times New Roman"/>
                <w:sz w:val="14"/>
              </w:rPr>
              <w:t>Pakistan</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$2.06</w:t>
            </w:r>
          </w:p>
        </w:tc>
        <w:tc>
          <w:tcPr>
            <w:tcW w:w="450" w:type="dxa"/>
          </w:tcPr>
          <w:p>
            <w:pPr>
              <w:jc w:val="center"/>
              <w:spacing w:before="5" w:after="5"/>
            </w:pPr>
            <w:r/>
            <w:r>
              <w:rPr>
                <w:rFonts w:ascii="Times New Roman" w:hAnsi="Times New Roman"/>
                <w:sz w:val="14"/>
              </w:rPr>
              <w:t>0.73</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$2.06</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-31</w:t>
            </w:r>
          </w:p>
        </w:tc>
      </w:tr>
      <w:tr>
        <w:tc>
          <w:tcPr>
            <w:tcW w:w="1800" w:type="dxa"/>
          </w:tcPr>
          <w:p>
            <w:pPr>
              <w:jc w:val="left"/>
              <w:spacing w:before="5" w:after="5"/>
            </w:pPr>
            <w:r/>
            <w:r>
              <w:rPr>
                <w:rFonts w:ascii="Times New Roman" w:hAnsi="Times New Roman"/>
                <w:sz w:val="14"/>
              </w:rPr>
              <w:t>Iran</w:t>
            </w:r>
          </w:p>
        </w:tc>
        <w:tc>
          <w:tcPr>
            <w:tcW w:w="900" w:type="dxa"/>
          </w:tcPr>
          <w:p>
            <w:pPr>
              <w:jc w:val="center"/>
              <w:spacing w:before="5" w:after="5"/>
            </w:pPr>
            <w:r/>
            <w:r>
              <w:rPr>
                <w:rFonts w:ascii="Times New Roman" w:hAnsi="Times New Roman"/>
                <w:sz w:val="14"/>
              </w:rPr>
              <w:t>$1.40</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$2.12</w:t>
            </w:r>
          </w:p>
        </w:tc>
        <w:tc>
          <w:tcPr>
            <w:tcW w:w="450" w:type="dxa"/>
          </w:tcPr>
          <w:p>
            <w:pPr>
              <w:jc w:val="center"/>
              <w:spacing w:before="5" w:after="5"/>
            </w:pPr>
            <w:r/>
            <w:r>
              <w:rPr>
                <w:rFonts w:ascii="Times New Roman" w:hAnsi="Times New Roman"/>
                <w:sz w:val="14"/>
              </w:rPr>
              <w:t>0.70</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$2.12</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-82</w:t>
            </w:r>
          </w:p>
        </w:tc>
      </w:tr>
      <w:tr>
        <w:tc>
          <w:tcPr>
            <w:tcW w:w="1800" w:type="dxa"/>
          </w:tcPr>
          <w:p>
            <w:pPr>
              <w:jc w:val="left"/>
              <w:spacing w:before="5" w:after="5"/>
            </w:pPr>
            <w:r/>
            <w:r>
              <w:rPr>
                <w:rFonts w:ascii="Times New Roman" w:hAnsi="Times New Roman"/>
                <w:sz w:val="14"/>
              </w:rPr>
              <w:t>Belarus</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$2.15</w:t>
            </w:r>
          </w:p>
        </w:tc>
        <w:tc>
          <w:tcPr>
            <w:tcW w:w="450" w:type="dxa"/>
          </w:tcPr>
          <w:p>
            <w:pPr>
              <w:jc w:val="center"/>
              <w:spacing w:before="5" w:after="5"/>
            </w:pPr>
            <w:r/>
            <w:r>
              <w:rPr>
                <w:rFonts w:ascii="Times New Roman" w:hAnsi="Times New Roman"/>
                <w:sz w:val="14"/>
              </w:rPr>
              <w:t>0.70</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$2.15</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-44</w:t>
            </w:r>
          </w:p>
        </w:tc>
      </w:tr>
      <w:tr>
        <w:tc>
          <w:tcPr>
            <w:tcBorders>
              <w:bottom w:val="double" w:sz="4" w:space="0" w:color="auto"/>
            </w:tcBorders>
            <w:tcW w:w="1800" w:type="dxa"/>
          </w:tcPr>
          <w:p>
            <w:pPr>
              <w:jc w:val="left"/>
              <w:spacing w:before="5" w:after="5"/>
            </w:pPr>
            <w:r/>
            <w:r>
              <w:rPr>
                <w:rFonts w:ascii="Times New Roman" w:hAnsi="Times New Roman"/>
                <w:sz w:val="14"/>
              </w:rPr>
              <w:t>Turkmenistan</w:t>
            </w:r>
          </w:p>
        </w:tc>
        <w:tc>
          <w:tcPr>
            <w:tcBorders>
              <w:bottom w:val="double" w:sz="4" w:space="0" w:color="auto"/>
            </w:tcBorders>
            <w:tcW w:w="900" w:type="dxa"/>
          </w:tcPr>
          <w:p>
            <w:pPr>
              <w:jc w:val="center"/>
              <w:spacing w:before="5" w:after="5"/>
            </w:pPr>
            <w:r/>
            <w:r>
              <w:rPr>
                <w:rFonts w:ascii="Times New Roman" w:hAnsi="Times New Roman"/>
                <w:sz w:val="14"/>
              </w:rPr>
              <w:t>$1.41</w:t>
            </w:r>
          </w:p>
        </w:tc>
        <w:tc>
          <w:tcPr>
            <w:tcBorders>
              <w:bottom w:val="double" w:sz="4" w:space="0" w:color="auto"/>
            </w:tcBorders>
            <w:tcW w:w="540" w:type="dxa"/>
          </w:tcPr>
          <w:p>
            <w:pPr>
              <w:jc w:val="center"/>
              <w:spacing w:before="5" w:after="5"/>
            </w:pPr>
            <w:r/>
            <w:r>
              <w:rPr>
                <w:rFonts w:ascii="Times New Roman" w:hAnsi="Times New Roman"/>
                <w:sz w:val="14"/>
              </w:rPr>
              <w:t>2</w:t>
            </w:r>
          </w:p>
        </w:tc>
        <w:tc>
          <w:tcPr>
            <w:tcBorders>
              <w:bottom w:val="double" w:sz="4" w:space="0" w:color="auto"/>
            </w:tcBorders>
            <w:tcW w:w="540" w:type="dxa"/>
          </w:tcPr>
          <w:p>
            <w:pPr>
              <w:jc w:val="center"/>
              <w:spacing w:before="5" w:after="5"/>
            </w:pPr>
            <w:r/>
            <w:r>
              <w:rPr>
                <w:rFonts w:ascii="Times New Roman" w:hAnsi="Times New Roman"/>
                <w:sz w:val="14"/>
              </w:rPr>
              <w:t>EE</w:t>
            </w:r>
          </w:p>
        </w:tc>
        <w:tc>
          <w:tcPr>
            <w:tcBorders>
              <w:bottom w:val="double" w:sz="4" w:space="0" w:color="auto"/>
            </w:tcBorders>
            <w:tcW w:w="900" w:type="dxa"/>
          </w:tcPr>
          <w:p>
            <w:pPr>
              <w:jc w:val="center"/>
              <w:spacing w:before="5" w:after="5"/>
            </w:pPr>
            <w:r/>
            <w:r>
              <w:rPr>
                <w:rFonts w:ascii="Times New Roman" w:hAnsi="Times New Roman"/>
                <w:sz w:val="14"/>
              </w:rPr>
              <w:t>$1.47</w:t>
            </w:r>
          </w:p>
        </w:tc>
        <w:tc>
          <w:tcPr>
            <w:tcBorders>
              <w:bottom w:val="double" w:sz="4" w:space="0" w:color="auto"/>
            </w:tcBorders>
            <w:tcW w:w="540" w:type="dxa"/>
          </w:tcPr>
          <w:p>
            <w:pPr>
              <w:jc w:val="center"/>
              <w:spacing w:before="5" w:after="5"/>
            </w:pPr>
            <w:r/>
            <w:r>
              <w:rPr>
                <w:rFonts w:ascii="Times New Roman" w:hAnsi="Times New Roman"/>
                <w:sz w:val="14"/>
              </w:rPr>
              <w:t>18</w:t>
            </w:r>
          </w:p>
        </w:tc>
        <w:tc>
          <w:tcPr>
            <w:tcBorders>
              <w:bottom w:val="double" w:sz="4" w:space="0" w:color="auto"/>
            </w:tcBorders>
            <w:tcW w:w="540" w:type="dxa"/>
          </w:tcPr>
          <w:p>
            <w:pPr>
              <w:jc w:val="center"/>
              <w:spacing w:before="5" w:after="5"/>
            </w:pPr>
            <w:r/>
            <w:r>
              <w:rPr>
                <w:rFonts w:ascii="Times New Roman" w:hAnsi="Times New Roman"/>
                <w:sz w:val="14"/>
              </w:rPr>
              <w:t>II</w:t>
            </w:r>
          </w:p>
        </w:tc>
        <w:tc>
          <w:tcPr>
            <w:tcBorders>
              <w:bottom w:val="double" w:sz="4" w:space="0" w:color="auto"/>
            </w:tcBorders>
            <w:tcW w:w="900" w:type="dxa"/>
          </w:tcPr>
          <w:p>
            <w:pPr>
              <w:jc w:val="center"/>
              <w:spacing w:before="5" w:after="5"/>
            </w:pPr>
            <w:r/>
            <w:r>
              <w:rPr>
                <w:rFonts w:ascii="Times New Roman" w:hAnsi="Times New Roman"/>
                <w:sz w:val="14"/>
              </w:rPr>
              <w:t>$2.19</w:t>
            </w:r>
          </w:p>
        </w:tc>
        <w:tc>
          <w:tcPr>
            <w:tcBorders>
              <w:bottom w:val="double" w:sz="4" w:space="0" w:color="auto"/>
            </w:tcBorders>
            <w:tcW w:w="450" w:type="dxa"/>
          </w:tcPr>
          <w:p>
            <w:pPr>
              <w:jc w:val="center"/>
              <w:spacing w:before="5" w:after="5"/>
            </w:pPr>
            <w:r/>
            <w:r>
              <w:rPr>
                <w:rFonts w:ascii="Times New Roman" w:hAnsi="Times New Roman"/>
                <w:sz w:val="14"/>
              </w:rPr>
              <w:t>0.67</w:t>
            </w:r>
          </w:p>
        </w:tc>
        <w:tc>
          <w:tcPr>
            <w:tcBorders>
              <w:bottom w:val="double" w:sz="4" w:space="0" w:color="auto"/>
            </w:tcBorders>
            <w:tcW w:w="540" w:type="dxa"/>
          </w:tcPr>
          <w:p>
            <w:pPr>
              <w:jc w:val="center"/>
              <w:spacing w:before="5" w:after="5"/>
            </w:pPr>
            <w:r/>
            <w:r>
              <w:rPr>
                <w:rFonts w:ascii="Times New Roman" w:hAnsi="Times New Roman"/>
                <w:sz w:val="14"/>
              </w:rPr>
              <w:t>85</w:t>
            </w:r>
          </w:p>
        </w:tc>
        <w:tc>
          <w:tcPr>
            <w:tcBorders>
              <w:bottom w:val="double" w:sz="4" w:space="0" w:color="auto"/>
            </w:tcBorders>
            <w:tcW w:w="540" w:type="dxa"/>
          </w:tcPr>
          <w:p>
            <w:pPr>
              <w:jc w:val="center"/>
              <w:spacing w:before="5" w:after="5"/>
            </w:pPr>
            <w:r/>
            <w:r>
              <w:rPr>
                <w:rFonts w:ascii="Times New Roman" w:hAnsi="Times New Roman"/>
                <w:sz w:val="14"/>
              </w:rPr>
              <w:t>II</w:t>
            </w:r>
          </w:p>
        </w:tc>
        <w:tc>
          <w:tcPr>
            <w:tcBorders>
              <w:bottom w:val="double" w:sz="4" w:space="0" w:color="auto"/>
            </w:tcBorders>
            <w:tcW w:w="900" w:type="dxa"/>
          </w:tcPr>
          <w:p>
            <w:pPr>
              <w:jc w:val="center"/>
              <w:spacing w:before="5" w:after="5"/>
            </w:pPr>
            <w:r/>
            <w:r>
              <w:rPr>
                <w:rFonts w:ascii="Times New Roman" w:hAnsi="Times New Roman"/>
                <w:sz w:val="14"/>
              </w:rPr>
              <w:t>$2.19</w:t>
            </w:r>
          </w:p>
        </w:tc>
        <w:tc>
          <w:tcPr>
            <w:tcBorders>
              <w:bottom w:val="double" w:sz="4" w:space="0" w:color="auto"/>
            </w:tcBorders>
            <w:tcW w:w="540" w:type="dxa"/>
          </w:tcPr>
          <w:p>
            <w:pPr>
              <w:jc w:val="center"/>
              <w:spacing w:before="5" w:after="5"/>
            </w:pPr>
            <w:r/>
            <w:r>
              <w:rPr>
                <w:rFonts w:ascii="Times New Roman" w:hAnsi="Times New Roman"/>
                <w:sz w:val="14"/>
              </w:rPr>
              <w:t>85</w:t>
            </w:r>
          </w:p>
        </w:tc>
        <w:tc>
          <w:tcPr>
            <w:tcBorders>
              <w:bottom w:val="double" w:sz="4" w:space="0" w:color="auto"/>
            </w:tcBorders>
            <w:tcW w:w="540" w:type="dxa"/>
          </w:tcPr>
          <w:p>
            <w:pPr>
              <w:jc w:val="center"/>
              <w:spacing w:before="5" w:after="5"/>
            </w:pPr>
            <w:r/>
            <w:r>
              <w:rPr>
                <w:rFonts w:ascii="Times New Roman" w:hAnsi="Times New Roman"/>
                <w:sz w:val="14"/>
              </w:rPr>
              <w:t>II</w:t>
            </w:r>
          </w:p>
        </w:tc>
        <w:tc>
          <w:tcPr>
            <w:tcBorders>
              <w:bottom w:val="double" w:sz="4" w:space="0" w:color="auto"/>
            </w:tcBorders>
            <w:tcW w:w="540" w:type="dxa"/>
          </w:tcPr>
          <w:p>
            <w:pPr>
              <w:jc w:val="center"/>
              <w:spacing w:before="5" w:after="5"/>
            </w:pPr>
            <w:r/>
            <w:r>
              <w:rPr>
                <w:rFonts w:ascii="Times New Roman" w:hAnsi="Times New Roman"/>
                <w:sz w:val="14"/>
              </w:rPr>
              <w:t>-83</w:t>
            </w:r>
          </w:p>
        </w:tc>
      </w:tr>
    </w:tbl>
    <w:p>
      <w:pPr>
        <w:spacing w:before="0" w:after="120" w:line="240" w:lineRule="auto"/>
        <w:ind w:firstLine="0"/>
        <w:jc w:val="left"/>
        <w:sectPr>
          <w:pgSz w:w="15840" w:h="12240" w:orient="landscape"/>
          <w:pgMar w:top="1080" w:right="1080" w:bottom="1080" w:left="1080" w:header="720" w:footer="720"/>
        </w:sectPr>
      </w:pPr>
      <w:r>
        <w:rPr>
          <w:b/>
          <w:sz w:val="20"/>
        </w:rPr>
        <w:t xml:space="preserve">Notes: </w:t>
      </w:r>
      <w:r>
        <w:rPr>
          <w:sz w:val="20"/>
        </w:rPr>
        <w:t xml:space="preserve">See </w:t>
      </w:r>
      <w:hyperlink w:anchor="Table3" w:history="1">
        <w:r>
          <w:rPr>
            <w:sz w:val="20"/>
            <w:color w:val="1F3864"/>
            <w:u w:val="single"/>
          </w:rPr>
          <w:t xml:space="preserve">Table 3a</w:t>
        </w:r>
      </w:hyperlink>
      <w:r>
        <w:rPr>
          <w:sz w:val="20"/>
        </w:rPr>
        <w:t xml:space="preserve"> notes for column definitions. Countries sorted by specification (3) rank (ascending). Column (4) uses bilateral sovereignty premium λᵢⱼ from </w:t>
      </w:r>
      <w:bookmarkStart w:id="909" w:name="Eq2txt909"/>
      <w:hyperlink w:anchor="Eq2" w:history="1">
        <w:r>
          <w:rPr>
            <w:sz w:val="20"/>
            <w:color w:val="1F3864"/>
            <w:u w:val="single"/>
          </w:rPr>
          <w:t xml:space="preserve">equation (2)</w:t>
        </w:r>
      </w:hyperlink>
      <w:bookmarkEnd w:id="909"/>
      <w:r>
        <w:rPr>
          <w:sz w:val="20"/>
        </w:rPr>
        <w:t xml:space="preserve">.</w:t>
      </w:r>
    </w:p>
    <w:p>
      <w:pPr>
        <w:pStyle w:val="Heading1"/>
      </w:pPr>
      <w:r>
        <w:rPr>
          <w:rFonts w:ascii="Times New Roman" w:hAnsi="Times New Roman"/>
          <w:b/>
          <w:color w:val="2F5496"/>
          <w:sz w:val="28"/>
        </w:rPr>
        <w:t>Appendix B: Model Derivation</w:t>
      </w:r>
    </w:p>
    <w:p>
      <w:pPr>
        <w:spacing w:before="0" w:after="160"/>
        <w:ind w:firstLine="0"/>
        <w:jc w:val="both"/>
      </w:pPr>
      <w:r>
        <w:t>This appendix provides the full derivation of the capacity-constrained Ricardian model summarized in Sections 3–4.</w:t>
      </w:r>
    </w:p>
    <w:p>
      <w:pPr>
        <w:pStyle w:val="Heading2"/>
      </w:pPr>
      <w:r>
        <w:rPr>
          <w:rFonts w:ascii="Times New Roman" w:hAnsi="Times New Roman"/>
          <w:b w:val="0"/>
          <w:i/>
          <w:color w:val="2F5496"/>
          <w:sz w:val="24"/>
        </w:rPr>
        <w:t>B.1 Primitives</w:t>
      </w:r>
    </w:p>
    <w:p>
      <w:pPr>
        <w:spacing w:before="0" w:after="160"/>
        <w:ind w:firstLine="0"/>
        <w:jc w:val="both"/>
      </w:pPr>
      <w:r>
        <w:t xml:space="preserve">Each country </w:t>
      </w:r>
      <m:oMath>
        <m:r>
          <m:rPr>
            <m:sty m:val="i"/>
          </m:rPr>
          <w:rPr>
            <w:rFonts w:ascii="Cambria Math" w:hAnsi="Cambria Math"/>
          </w:rPr>
          <m:t xml:space="preserve">j</m:t>
        </m:r>
      </m:oMath>
      <w:r>
        <w:t xml:space="preserve"> is endowed with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(GPU-hours per period), representing the maximum volume of compute it can supply. Country </w:t>
      </w:r>
      <m:oMath>
        <m:r>
          <m:rPr>
            <m:sty m:val="i"/>
          </m:rPr>
          <w:rPr>
            <w:rFonts w:ascii="Cambria Math" w:hAnsi="Cambria Math"/>
          </w:rPr>
          <m:t xml:space="preserve">j</m:t>
        </m:r>
      </m:oMath>
      <w:r>
        <w:t xml:space="preserve"> faces unit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from </w:t>
      </w:r>
      <w:bookmarkStart w:id="910" w:name="Eq1txt910"/>
      <w:hyperlink w:anchor="Eq1" w:history="1">
        <w:r>
          <w:rPr>
            <w:color w:val="1F3864"/>
            <w:u w:val="single"/>
          </w:rPr>
          <w:t xml:space="preserve">equation (1)</w:t>
        </w:r>
      </w:hyperlink>
      <w:bookmarkEnd w:id="910"/>
      <w:r>
        <w:t xml:space="preserve">. On the demand side, total compute demand from country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from </w:t>
      </w:r>
      <w:bookmarkStart w:id="911" w:name="Eq4txt911"/>
      <w:hyperlink w:anchor="Eq4" w:history="1">
        <w:r>
          <w:rPr>
            <w:color w:val="1F3864"/>
            <w:u w:val="single"/>
          </w:rPr>
          <w:t xml:space="preserve">equation (4)</w:t>
        </w:r>
      </w:hyperlink>
      <w:bookmarkEnd w:id="911"/>
      <w:r>
        <w:t xml:space="preserv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Countries are ordered by cost: </w:t>
      </w:r>
      <m:oMath>
        <m:sSub>
          <m:sSubPr/>
          <m:e>
            <m:r>
              <m:rPr>
                <m:sty m:val="i"/>
              </m:rPr>
              <w:rPr>
                <w:rFonts w:ascii="Cambria Math" w:hAnsi="Cambria Math"/>
              </w:rPr>
              <m:t xml:space="preserve">c</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(2)</m:t>
            </m:r>
          </m:sub>
        </m:sSub>
        <m:r>
          <m:rPr>
            <m:sty m:val="p"/>
          </m:rPr>
          <w:rPr>
            <w:rFonts w:ascii="Cambria Math" w:hAnsi="Cambria Math"/>
          </w:rPr>
          <m:t xml:space="preserve"> ≤ … ≤ </m:t>
        </m:r>
        <m:sSub>
          <m:sSubPr/>
          <m:e>
            <m:r>
              <m:rPr>
                <m:sty m:val="i"/>
              </m:rPr>
              <w:rPr>
                <w:rFonts w:ascii="Cambria Math" w:hAnsi="Cambria Math"/>
              </w:rPr>
              <m:t xml:space="preserve">c</m:t>
            </m:r>
          </m:e>
          <m:sub>
            <m:r>
              <m:rPr>
                <m:sty m:val="i"/>
              </m:rPr>
              <w:rPr>
                <w:rFonts w:ascii="Cambria Math" w:hAnsi="Cambria Math"/>
              </w:rPr>
              <m:t xml:space="preserve">(N)</m:t>
            </m:r>
          </m:sub>
        </m:sSub>
      </m:oMath>
      <w:r>
        <w:t>.</w:t>
      </w:r>
    </w:p>
    <w:p>
      <w:pPr>
        <w:pStyle w:val="Heading2"/>
      </w:pPr>
      <w:r>
        <w:rPr>
          <w:rFonts w:ascii="Times New Roman" w:hAnsi="Times New Roman"/>
          <w:b w:val="0"/>
          <w:i/>
          <w:color w:val="2F5496"/>
          <w:sz w:val="24"/>
        </w:rPr>
        <w:t>B.2 The Training Market</w:t>
      </w:r>
    </w:p>
    <w:p>
      <w:pPr>
        <w:spacing w:before="0" w:after="40"/>
        <w:ind w:firstLine="0"/>
        <w:jc w:val="both"/>
      </w:pPr>
      <w:r>
        <w:t xml:space="preserve">Country </w:t>
      </w:r>
      <m:oMath>
        <m:r>
          <m:rPr>
            <m:sty m:val="i"/>
          </m:rPr>
          <w:rPr>
            <w:rFonts w:ascii="Cambria Math" w:hAnsi="Cambria Math"/>
          </w:rPr>
          <m:t xml:space="preserve">k</m:t>
        </m:r>
      </m:oMath>
      <w:r>
        <w:t xml:space="preserve"> imports training if and only if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the bilateral sovereignty premium from </w:t>
      </w:r>
      <w:bookmarkStart w:id="912" w:name="Eq2txt912"/>
      <w:hyperlink w:anchor="Eq2" w:history="1">
        <w:r>
          <w:rPr>
            <w:color w:val="1F3864"/>
            <w:u w:val="single"/>
          </w:rPr>
          <w:t xml:space="preserve">equation (2)</w:t>
        </w:r>
      </w:hyperlink>
      <w:bookmarkEnd w:id="912"/>
      <w:r>
        <w:t xml:space="preserve">. The set of training importers is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m:t>
        </m:r>
      </m:oMath>
      <w:r>
        <w:t xml:space="preserve"> and total training export demand is </w:t>
      </w:r>
      <m:oMath>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defined by: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min { </m:t>
              </m:r>
              <m:r>
                <m:rPr>
                  <m:sty m:val="i"/>
                </m:rPr>
                <w:rPr>
                  <w:rFonts w:ascii="Cambria Math" w:hAnsi="Cambria Math"/>
                </w:rPr>
                <m:t xml:space="preserve">m</m:t>
              </m:r>
              <m:r>
                <m:rPr>
                  <m:sty m:val="p"/>
                </m:rPr>
                <w:rPr>
                  <w:rFonts w:ascii="Cambria Math" w:hAnsi="Cambria Math"/>
                </w:rPr>
                <m:t xml:space="preserve"> : </m:t>
              </m:r>
              <m:nary>
                <m:naryPr>
                  <m:chr m:val="∑"/>
                </m:naryPr>
                <m:sub>
                  <m:r>
                    <m:rPr>
                      <m:sty m:val="i"/>
                    </m:rPr>
                    <w:rPr>
                      <w:rFonts w:ascii="Cambria Math" w:hAnsi="Cambria Math"/>
                    </w:rPr>
                    <m:t xml:space="preserve">i</m:t>
                  </m:r>
                  <m:r>
                    <m:rPr>
                      <m:sty m:val="p"/>
                    </m:rPr>
                    <w:rPr>
                      <w:rFonts w:ascii="Cambria Math" w:hAnsi="Cambria Math"/>
                    </w:rPr>
                    <m:t xml:space="preserve"> = 1</m:t>
                  </m:r>
                </m:sub>
                <m:sup>
                  <m:r>
                    <m:rPr>
                      <m:sty m:val="i"/>
                    </m:rPr>
                    <w:rPr>
                      <w:rFonts w:ascii="Cambria Math" w:hAnsi="Cambria Math"/>
                    </w:rPr>
                    <m:t xml:space="preserve">m</m:t>
                  </m:r>
                </m:sup>
                <m:e>
                  <m:sSub>
                    <m:sSubPr/>
                    <m:e>
                      <m:r>
                        <m:rPr>
                          <m:sty m:val="i"/>
                        </m:rPr>
                        <w:rPr>
                          <w:rFonts w:ascii="Cambria Math" w:hAnsi="Cambria Math"/>
                        </w:rPr>
                        <m:t xml:space="preserve">K</m:t>
                      </m:r>
                    </m:e>
                    <m:sub>
                      <m:r>
                        <m:rPr>
                          <m:sty m:val="i"/>
                        </m:rPr>
                        <w:rPr>
                          <w:rFonts w:ascii="Cambria Math" w:hAnsi="Cambria Math"/>
                        </w:rPr>
                        <m:t xml:space="preserve">T,(i)</m:t>
                      </m:r>
                    </m:sub>
                  </m:sSub>
                </m:e>
              </m:nary>
              <m:r>
                <m:rPr>
                  <m:sty m:val="p"/>
                </m:rPr>
                <w:rPr>
                  <w:rFonts w:ascii="Cambria Math" w:hAnsi="Cambria Math"/>
                </w:rPr>
                <m:t xml:space="preserve"> ≥ </m:t>
              </m:r>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r>
                <m:rPr>
                  <m:sty m:val="p"/>
                </m:rPr>
                <w:rPr>
                  <w:rFonts w:ascii="Cambria Math" w:hAnsi="Cambria Math"/>
                </w:rPr>
                <m:t xml:space="preserve"> }.</m:t>
              </m:r>
            </m:oMath>
          </w:p>
        </w:tc>
        <w:tc>
          <w:tcPr>
            <w:tcW w:w="1400" w:type="dxa"/>
            <w:vAlign w:val="center"/>
          </w:tcPr>
          <w:p>
            <w:pPr>
              <w:jc w:val="right"/>
              <w:spacing w:before="60" w:after="60"/>
            </w:pPr>
            <w:bookmarkStart w:id="1701" w:name="EqB.1"/>
            <w:r>
              <w:t>(B.1)</w:t>
            </w:r>
            <w:bookmarkEnd w:id="1701"/>
          </w:p>
        </w:tc>
      </w:tr>
    </w:tbl>
    <w:p>
      <w:pPr>
        <w:spacing w:before="0" w:after="160"/>
        <w:ind w:firstLine="0"/>
        <w:jc w:val="both"/>
      </w:pPr>
      <w:r>
        <w:t xml:space="preserve">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m:t>
            </m:r>
          </m:sub>
        </m:sSub>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oMath>
      <w:r>
        <w:t xml:space="preserve">. Training rent for country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w:t>
      </w:r>
    </w:p>
    <w:p>
      <w:pPr>
        <w:pStyle w:val="Heading2"/>
      </w:pPr>
      <w:r>
        <w:rPr>
          <w:rFonts w:ascii="Times New Roman" w:hAnsi="Times New Roman"/>
          <w:b w:val="0"/>
          <w:i/>
          <w:color w:val="2F5496"/>
          <w:sz w:val="24"/>
        </w:rPr>
        <w:t>B.3 The Inference Market</w:t>
      </w:r>
    </w:p>
    <w:p>
      <w:pPr>
        <w:spacing w:before="0" w:after="40"/>
        <w:ind w:firstLine="0"/>
        <w:jc w:val="both"/>
      </w:pPr>
      <w:r>
        <w:t xml:space="preserve">The feasible supplier set for demand center </w:t>
      </w:r>
      <m:oMath>
        <m:r>
          <m:rPr>
            <m:sty m:val="i"/>
          </m:rPr>
          <w:rPr>
            <w:rFonts w:ascii="Cambria Math" w:hAnsi="Cambria Math"/>
          </w:rPr>
          <m:t xml:space="preserve">k</m:t>
        </m:r>
      </m:oMath>
      <w:r>
        <w:t xml:space="preserve"> is </w:t>
      </w:r>
      <m:oMath>
        <m:r>
          <m:rPr>
            <m:sty m:val="i"/>
          </m:rPr>
          <w:rPr>
            <w:rFonts w:ascii="Cambria Math" w:hAnsi="Cambria Math"/>
          </w:rPr>
          <m:t xml:space="preserve">S</m:t>
        </m:r>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 </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r>
          <m:rPr>
            <m:sty m:val="p"/>
          </m:rPr>
          <w:rPr>
            <w:rFonts w:ascii="Cambria Math" w:hAnsi="Cambria Math"/>
          </w:rPr>
          <m:t xml:space="preserve"> }</m:t>
        </m:r>
      </m:oMath>
      <w:r>
        <w:t xml:space="preserve">. The marginal cost of delivering one effective unit of inference from </w:t>
      </w:r>
      <m:oMath>
        <m:r>
          <m:rPr>
            <m:sty m:val="i"/>
          </m:rPr>
          <w:rPr>
            <w:rFonts w:ascii="Cambria Math" w:hAnsi="Cambria Math"/>
          </w:rPr>
          <m:t xml:space="preserve">j</m:t>
        </m:r>
      </m:oMath>
      <w:r>
        <w:t xml:space="preserve"> to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MC</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1400" w:type="dxa"/>
            <w:vAlign w:val="center"/>
          </w:tcPr>
          <w:p>
            <w:pPr>
              <w:jc w:val="right"/>
              <w:spacing w:before="60" w:after="60"/>
            </w:pPr>
            <w:bookmarkStart w:id="1702" w:name="EqB.2"/>
            <w:r>
              <w:t>(B.2)</w:t>
            </w:r>
            <w:bookmarkEnd w:id="1702"/>
          </w:p>
        </w:tc>
      </w:tr>
    </w:tbl>
    <w:p>
      <w:pPr>
        <w:spacing w:before="0" w:after="160"/>
        <w:ind w:firstLine="0"/>
        <w:jc w:val="both"/>
      </w:pPr>
      <w:r>
        <w:t xml:space="preserve">The inference rent per GPU-hour allocated to serving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B.4 Capacity Allocation</w:t>
      </w:r>
    </w:p>
    <w:p>
      <w:pPr>
        <w:spacing w:before="0" w:after="40"/>
        <w:ind w:firstLine="0"/>
        <w:jc w:val="both"/>
      </w:pPr>
      <w:r>
        <w:t xml:space="preserve">Each GPU-hour is allocated to its highest-margin use. The margins per GPU-hour are: training exports </w:t>
      </w:r>
      <m:oMath>
        <m:sSub>
          <m:sSubPr/>
          <m:e>
            <m:r>
              <m:rPr>
                <m:sty m:val="i"/>
              </m:rPr>
              <w:rPr>
                <w:rFonts w:ascii="Cambria Math" w:hAnsi="Cambria Math"/>
              </w:rPr>
              <m:t xml:space="preserve">r</m:t>
            </m:r>
          </m:e>
          <m:sub>
            <m:r>
              <m:rPr>
                <m:sty m:val="i"/>
              </m:rPr>
              <w:rPr>
                <w:rFonts w:ascii="Cambria Math" w:hAnsi="Cambria Math"/>
              </w:rPr>
              <m:t xml:space="preserve">T</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inference exports to </w:t>
      </w:r>
      <m:oMath>
        <m:r>
          <m:rPr>
            <m:sty m:val="i"/>
          </m:rPr>
          <w:rPr>
            <w:rFonts w:ascii="Cambria Math" w:hAnsi="Cambria Math"/>
          </w:rPr>
          <m:t xml:space="preserve">k</m:t>
        </m:r>
      </m:oMath>
      <w:r>
        <w:t xml:space="preserve">: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Total rent from operating </w:t>
      </w:r>
      <m:oMath>
        <m:sSub>
          <m:sSubPr/>
          <m:e>
            <m:r>
              <m:rPr>
                <m:sty m:val="i"/>
              </m:rPr>
              <w:rPr>
                <w:rFonts w:ascii="Cambria Math" w:hAnsi="Cambria Math"/>
              </w:rPr>
              <m:t xml:space="preserve">K</m:t>
            </m:r>
          </m:e>
          <m:sub>
            <m:r>
              <m:rPr>
                <m:sty m:val="i"/>
              </m:rPr>
              <w:rPr>
                <w:rFonts w:ascii="Cambria Math" w:hAnsi="Cambria Math"/>
              </w:rPr>
              <m:t xml:space="preserve">j</m:t>
            </m:r>
          </m:sub>
        </m:sSub>
      </m:oMath>
      <w:r>
        <w:t xml:space="preserve"> GPU-hours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Π</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nary>
                <m:naryPr>
                  <m:chr m:val="∑"/>
                </m:naryPr>
                <m:sub>
                  <m:r>
                    <m:rPr>
                      <m:sty m:val="i"/>
                    </m:rPr>
                    <w:rPr>
                      <w:rFonts w:ascii="Cambria Math" w:hAnsi="Cambria Math"/>
                    </w:rPr>
                    <m:t xml:space="preserve">n</m:t>
                  </m:r>
                  <m:r>
                    <m:rPr>
                      <m:sty m:val="p"/>
                    </m:rPr>
                    <w:rPr>
                      <w:rFonts w:ascii="Cambria Math" w:hAnsi="Cambria Math"/>
                    </w:rPr>
                    <m:t xml:space="preserve"> = 1</m:t>
                  </m:r>
                </m:sub>
                <m:sup>
                  <m:sSub>
                    <m:sSubPr/>
                    <m:e>
                      <m:r>
                        <m:rPr>
                          <m:sty m:val="i"/>
                        </m:rPr>
                        <w:rPr>
                          <w:rFonts w:ascii="Cambria Math" w:hAnsi="Cambria Math"/>
                        </w:rPr>
                        <m:t xml:space="preserve">K</m:t>
                      </m:r>
                    </m:e>
                    <m:sub>
                      <m:r>
                        <m:rPr>
                          <m:sty m:val="i"/>
                        </m:rPr>
                        <w:rPr>
                          <w:rFonts w:ascii="Cambria Math" w:hAnsi="Cambria Math"/>
                        </w:rPr>
                        <m:t xml:space="preserve">j</m:t>
                      </m:r>
                    </m:sub>
                  </m:sSub>
                </m:sup>
                <m:e>
                  <m:sSubSup>
                    <m:sSubSupPr/>
                    <m:e>
                      <m:r>
                        <m:rPr>
                          <m:sty m:val="i"/>
                        </m:rPr>
                        <w:rPr>
                          <w:rFonts w:ascii="Cambria Math" w:hAnsi="Cambria Math"/>
                        </w:rPr>
                        <m:t xml:space="preserve">r</m:t>
                      </m:r>
                    </m:e>
                    <m:sub>
                      <m:r>
                        <m:rPr>
                          <m:sty m:val="i"/>
                        </m:rPr>
                        <w:rPr>
                          <w:rFonts w:ascii="Cambria Math" w:hAnsi="Cambria Math"/>
                        </w:rPr>
                        <m:t xml:space="preserve">j</m:t>
                      </m:r>
                    </m:sub>
                    <m:sup>
                      <m:r>
                        <m:rPr>
                          <m:sty m:val="i"/>
                        </m:rPr>
                        <w:rPr>
                          <w:rFonts w:ascii="Cambria Math" w:hAnsi="Cambria Math"/>
                        </w:rPr>
                        <m:t xml:space="preserve">(n)</m:t>
                      </m:r>
                    </m:sup>
                  </m:sSubSup>
                </m:e>
              </m:nary>
              <m:r>
                <m:rPr>
                  <m:sty m:val="p"/>
                </m:rPr>
                <w:rPr>
                  <w:rFonts w:ascii="Cambria Math" w:hAnsi="Cambria Math"/>
                </w:rPr>
                <m:t xml:space="preserve">,</m:t>
              </m:r>
            </m:oMath>
          </w:p>
        </w:tc>
        <w:tc>
          <w:tcPr>
            <w:tcW w:w="1400" w:type="dxa"/>
            <w:vAlign w:val="center"/>
          </w:tcPr>
          <w:p>
            <w:pPr>
              <w:jc w:val="right"/>
              <w:spacing w:before="60" w:after="60"/>
            </w:pPr>
            <w:bookmarkStart w:id="1703" w:name="EqB.3"/>
            <w:r>
              <w:t>(B.3)</w:t>
            </w:r>
            <w:bookmarkEnd w:id="1703"/>
          </w:p>
        </w:tc>
      </w:tr>
    </w:tbl>
    <w:p>
      <w:pPr>
        <w:spacing w:before="0" w:after="160"/>
        <w:ind w:firstLine="0"/>
        <w:jc w:val="both"/>
      </w:pPr>
      <w:r>
        <w:t xml:space="preserve">which is concave and piecewise linear in </w:t>
      </w:r>
      <m:oMath>
        <m:sSub>
          <m:sSubPr/>
          <m:e>
            <m:r>
              <m:rPr>
                <m:sty m:val="i"/>
              </m:rPr>
              <w:rPr>
                <w:rFonts w:ascii="Cambria Math" w:hAnsi="Cambria Math"/>
              </w:rPr>
              <m:t xml:space="preserve">K</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B.5 Equilibrium Definition and Existence</w:t>
      </w:r>
    </w:p>
    <w:p>
      <w:pPr>
        <w:spacing w:before="0" w:after="160"/>
        <w:ind w:firstLine="0"/>
        <w:jc w:val="both"/>
      </w:pPr>
      <w:r>
        <w:t xml:space="preserve">A competitive equilibrium consists of a training price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inference prices </w:t>
      </w:r>
      <m:oMath>
        <m:r>
          <m:rPr>
            <m:sty m:val="p"/>
          </m:rPr>
          <w:rPr>
            <w:rFonts w:ascii="Cambria Math" w:hAnsi="Cambria Math"/>
          </w:rPr>
          <m:t xml:space="preserve">{</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and capacity allocations </w:t>
      </w:r>
      <m:oMath>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m:t>
        </m:r>
      </m:oMath>
      <w:r>
        <w:t xml:space="preserve"> such that: (i) each GPU-hour is allocated to its highest-margin use; (ii) training and inference markets clear; (iii) all allocations are feasible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Existence follows from a fixed-point argument: the training supply curve is a step function with steps at </w:t>
      </w:r>
      <m:oMath>
        <m:sSub>
          <m:sSubPr/>
          <m:e>
            <m:r>
              <m:rPr>
                <m:sty m:val="i"/>
              </m:rPr>
              <w:rPr>
                <w:rFonts w:ascii="Cambria Math" w:hAnsi="Cambria Math"/>
              </w:rPr>
              <m:t xml:space="preserve">c</m:t>
            </m:r>
          </m:e>
          <m:sub>
            <m:r>
              <m:rPr>
                <m:sty m:val="i"/>
              </m:rPr>
              <w:rPr>
                <w:rFonts w:ascii="Cambria Math" w:hAnsi="Cambria Math"/>
              </w:rPr>
              <m:t xml:space="preserve">(i)</m:t>
            </m:r>
          </m:sub>
        </m:sSub>
      </m:oMath>
      <w:r>
        <w:t xml:space="preserve"> and widths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(i)</m:t>
            </m:r>
          </m:sub>
        </m:sSub>
      </m:oMath>
      <w:r>
        <w:t xml:space="preserve">; intersection with the demand curve pins down </w:t>
      </w:r>
      <m:oMath>
        <m:sSub>
          <m:sSubPr/>
          <m:e>
            <m:r>
              <m:rPr>
                <m:sty m:val="i"/>
              </m:rPr>
              <w:rPr>
                <w:rFonts w:ascii="Cambria Math" w:hAnsi="Cambria Math"/>
              </w:rPr>
              <m:t xml:space="preserve">p</m:t>
            </m:r>
          </m:e>
          <m:sub>
            <m:r>
              <m:rPr>
                <m:sty m:val="i"/>
              </m:rPr>
              <w:rPr>
                <w:rFonts w:ascii="Cambria Math" w:hAnsi="Cambria Math"/>
              </w:rPr>
              <m:t xml:space="preserve">T</m:t>
            </m:r>
          </m:sub>
        </m:sSub>
      </m:oMath>
      <w:r>
        <w:t>.</w:t>
      </w:r>
    </w:p>
    <w:p>
      <w:pPr>
        <w:pStyle w:val="Heading2"/>
      </w:pPr>
      <w:r>
        <w:rPr>
          <w:rFonts w:ascii="Times New Roman" w:hAnsi="Times New Roman"/>
          <w:b w:val="0"/>
          <w:i/>
          <w:color w:val="2F5496"/>
          <w:sz w:val="24"/>
        </w:rPr>
        <w:t>B.6 Welfare Cost of Sovereignty</w:t>
      </w:r>
    </w:p>
    <w:p>
      <w:pPr>
        <w:spacing w:before="0" w:after="40"/>
        <w:ind w:firstLine="0"/>
        <w:jc w:val="both"/>
      </w:pPr>
      <w:r>
        <w:t xml:space="preserve">The welfare cost has two components. For each importing country </w:t>
      </w:r>
      <m:oMath>
        <m:r>
          <m:rPr>
            <m:sty m:val="i"/>
          </m:rPr>
          <w:rPr>
            <w:rFonts w:ascii="Cambria Math" w:hAnsi="Cambria Math"/>
          </w:rPr>
          <m:t xml:space="preserve">k</m:t>
        </m:r>
      </m:oMath>
      <w:r>
        <w:t xml:space="preserve">, let </w:t>
      </w:r>
      <m:oMath>
        <m:r>
          <m:rPr>
            <m:sty m:val="i"/>
          </m:rPr>
          <w:rPr>
            <w:rFonts w:ascii="Cambria Math" w:hAnsi="Cambria Math"/>
          </w:rPr>
          <m:t xml:space="preserve">i</m:t>
        </m:r>
        <m:r>
          <m:rPr>
            <m:sty m:val="p"/>
          </m:rPr>
          <w:rPr>
            <w:rFonts w:ascii="Cambria Math" w:hAnsi="Cambria Math"/>
          </w:rPr>
          <m:t xml:space="preserve"> = </m:t>
        </m:r>
        <m:sSubSup>
          <m:sSubSupPr/>
          <m:e>
            <m:r>
              <m:rPr>
                <m:sty m:val="i"/>
              </m:rPr>
              <w:rPr>
                <w:rFonts w:ascii="Cambria Math" w:hAnsi="Cambria Math"/>
              </w:rPr>
              <m:t xml:space="preserve">j</m:t>
            </m:r>
          </m:e>
          <m:sub>
            <m:r>
              <m:rPr>
                <m:sty m:val="i"/>
              </m:rPr>
              <w:rPr>
                <w:rFonts w:ascii="Cambria Math" w:hAnsi="Cambria Math"/>
              </w:rPr>
              <m:t xml:space="preserve">k</m:t>
            </m:r>
          </m:sub>
          <m:sup>
            <m:r>
              <m:rPr>
                <m:sty m:val="i"/>
              </m:rPr>
              <w:rPr>
                <w:rFonts w:ascii="Cambria Math" w:hAnsi="Cambria Math"/>
              </w:rPr>
              <m:t xml:space="preserve">*</m:t>
            </m:r>
          </m:sup>
        </m:sSubSup>
      </m:oMath>
      <w:r>
        <w:t xml:space="preserve"> denote its equilibrium supplier (the seller minimizing delivered cost). Import markup:</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λ</m:t>
                      </m:r>
                    </m:e>
                    <m:sub>
                      <m:r>
                        <m:rPr>
                          <m:sty m:val="i"/>
                        </m:rPr>
                        <w:rPr>
                          <w:rFonts w:ascii="Cambria Math" w:hAnsi="Cambria Math"/>
                        </w:rPr>
                        <m:t xml:space="preserve">ik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e>
              </m:nary>
              <m:r>
                <m:rPr>
                  <m:sty m:val="p"/>
                </m:rPr>
                <w:rPr>
                  <w:rFonts w:ascii="Cambria Math" w:hAnsi="Cambria Math"/>
                </w:rPr>
                <m:t xml:space="preserve">.</m:t>
              </m:r>
            </m:oMath>
          </w:p>
        </w:tc>
        <w:tc>
          <w:tcPr>
            <w:tcW w:w="1400" w:type="dxa"/>
            <w:vAlign w:val="center"/>
          </w:tcPr>
          <w:p>
            <w:pPr>
              <w:jc w:val="right"/>
              <w:spacing w:before="60" w:after="60"/>
            </w:pPr>
            <w:bookmarkStart w:id="1704" w:name="EqB.4"/>
            <w:r>
              <w:t>(B.4)</w:t>
            </w:r>
            <w:bookmarkEnd w:id="1704"/>
          </w:p>
        </w:tc>
      </w:tr>
    </w:tbl>
    <w:p>
      <w:pPr>
        <w:spacing w:before="0" w:after="40"/>
        <w:ind w:firstLine="0"/>
        <w:jc w:val="both"/>
      </w:pPr>
      <w:r>
        <w:t>Allocative inefficiency: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alloc</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m:t>
                  </m:r>
                  <m:limLow>
                    <m:limLowPr/>
                    <m:e>
                      <m:r>
                        <m:rPr>
                          <m:sty m:val="p"/>
                        </m:rPr>
                        <w:rPr>
                          <w:rFonts w:ascii="Cambria Math" w:hAnsi="Cambria Math"/>
                        </w:rPr>
                        <m:t xml:space="preserve">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m:t>
                  </m:r>
                </m:e>
              </m:nary>
            </m:oMath>
          </w:p>
        </w:tc>
        <w:tc>
          <w:tcPr>
            <w:tcW w:w="1400" w:type="dxa"/>
            <w:vAlign w:val="center"/>
          </w:tcPr>
          <w:p>
            <w:pPr>
              <w:jc w:val="right"/>
              <w:spacing w:before="60" w:after="60"/>
            </w:pPr>
            <w:bookmarkStart w:id="1705" w:name="EqB.5"/>
            <w:r>
              <w:t>(B.5)</w:t>
            </w:r>
            <w:bookmarkEnd w:id="1705"/>
          </w:p>
        </w:tc>
      </w:tr>
    </w:tbl>
    <w:p>
      <w:pPr>
        <w:spacing w:before="0" w:after="160"/>
        <w:ind w:firstLine="0"/>
        <w:jc w:val="both"/>
      </w:pPr>
      <w:r>
        <w:t xml:space="preserve">Total: </w:t>
      </w:r>
      <m:oMath>
        <m:r>
          <m:rPr>
            <m:sty m:val="p"/>
          </m:rPr>
          <w:rPr>
            <w:rFonts w:ascii="Cambria Math" w:hAnsi="Cambria Math"/>
          </w:rPr>
          <m:t xml:space="preserve">DWL(</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alloc</m:t>
            </m:r>
          </m:sub>
        </m:sSub>
      </m:oMath>
      <w:r>
        <w:t xml:space="preserve">. Under capacity constraints, both components are smaller because the higher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narrows the gap between domestic and import costs.</w:t>
      </w:r>
    </w:p>
    <w:p>
      <w:pPr>
        <w:spacing w:before="0" w:after="0"/>
      </w:pPr>
      <w:r>
        <w:br w:type="page"/>
      </w:r>
    </w:p>
    <w:p>
      <w:pPr>
        <w:pStyle w:val="Heading1"/>
      </w:pPr>
      <w:r>
        <w:rPr>
          <w:rFonts w:ascii="Times New Roman" w:hAnsi="Times New Roman"/>
          <w:b/>
          <w:color w:val="2F5496"/>
          <w:sz w:val="28"/>
        </w:rPr>
        <w:t>Appendix C: Sensitivity Analysis</w:t>
      </w:r>
    </w:p>
    <w:p>
      <w:pPr>
        <w:spacing w:before="0" w:after="160"/>
        <w:ind w:firstLine="0"/>
        <w:jc w:val="both"/>
      </w:pPr>
      <w:hyperlink w:anchor="TableA3" w:history="1">
        <w:r>
          <w:rPr>
            <w:color w:val="1F3864"/>
            <w:u w:val="single"/>
          </w:rPr>
          <w:t xml:space="preserve">Table A3</w:t>
        </w:r>
      </w:hyperlink>
      <w:r>
        <w:t xml:space="preserve"> reports equilibrium outcomes under five parameter perturbations. Rankings are robust because hardware and networking costs account for over 90 percent of total cost and are identical across countries. Only the electricity and construction components vary cross-country, and their combined share is too small for plausible perturbations to overturn the ordering.</w:t>
      </w:r>
    </w:p>
    <w:p>
      <w:pPr>
        <w:spacing w:before="0" w:after="60"/>
        <w:ind w:firstLine="0"/>
        <w:jc w:val="both"/>
      </w:pPr>
      <w:bookmarkStart w:id="142" w:name="TableA3"/>
      <w:hyperlink w:anchor="TableA3txt" w:history="1">
        <w:r>
          <w:rPr>
            <w:b/>
            <w:sz w:val="20"/>
            <w:color w:val="1F3864"/>
            <w:u w:val="single"/>
          </w:rPr>
          <w:t>Table A3</w:t>
        </w:r>
      </w:hyperlink>
      <w:bookmarkEnd w:id="142"/>
      <w:r>
        <w:rPr>
          <w:b/>
          <w:sz w:val="20"/>
        </w:rPr>
        <w:t>. Sensitivity of equilibrium outcomes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2200" w:type="dxa"/>
          </w:tcPr>
          <w:p>
            <w:pPr>
              <w:jc w:val="center"/>
              <w:spacing w:before="10" w:after="10"/>
            </w:pPr>
            <w:r/>
            <w:r>
              <w:rPr>
                <w:b/>
                <w:sz w:val="16"/>
              </w:rPr>
              <w:t>Scenario</w:t>
            </w:r>
          </w:p>
        </w:tc>
        <w:tc>
          <w:tcPr>
            <w:tcBorders>
              <w:top w:val="single" w:sz="4" w:space="0" w:color="auto"/>
              <w:bottom w:val="single" w:sz="4" w:space="0" w:color="auto"/>
            </w:tcBorders>
            <w:tcW w:w="2600" w:type="dxa"/>
          </w:tcPr>
          <w:p>
            <w:pPr>
              <w:jc w:val="center"/>
              <w:spacing w:before="10" w:after="10"/>
            </w:pPr>
            <w:r/>
            <w:r>
              <w:rPr>
                <w:b/>
                <w:sz w:val="16"/>
              </w:rPr>
              <w:t>Parameter change</w:t>
            </w:r>
          </w:p>
        </w:tc>
        <w:tc>
          <w:tcPr>
            <w:tcBorders>
              <w:top w:val="single" w:sz="4" w:space="0" w:color="auto"/>
              <w:bottom w:val="single" w:sz="4" w:space="0" w:color="auto"/>
            </w:tcBorders>
            <w:tcW w:w="900" w:type="dxa"/>
          </w:tcPr>
          <w:p>
            <w:pPr>
              <w:jc w:val="center"/>
              <w:spacing w:before="10" w:after="10"/>
            </w:pPr>
            <w:r/>
            <w:r>
              <w:rPr>
                <w:b/>
                <w:sz w:val="16"/>
              </w:rPr>
              <w:t>pₜ ($/hr)</w:t>
            </w:r>
          </w:p>
        </w:tc>
        <w:tc>
          <w:tcPr>
            <w:tcBorders>
              <w:top w:val="single" w:sz="4" w:space="0" w:color="auto"/>
              <w:bottom w:val="single" w:sz="4" w:space="0" w:color="auto"/>
            </w:tcBorders>
            <w:tcW w:w="800" w:type="dxa"/>
          </w:tcPr>
          <w:p>
            <w:pPr>
              <w:jc w:val="center"/>
              <w:spacing w:before="10" w:after="10"/>
            </w:pPr>
            <w:r/>
            <w:r>
              <w:rPr>
                <w:b/>
                <w:sz w:val="16"/>
              </w:rPr>
              <w:t>Exporters</w:t>
            </w:r>
          </w:p>
        </w:tc>
        <w:tc>
          <w:tcPr>
            <w:tcBorders>
              <w:top w:val="single" w:sz="4" w:space="0" w:color="auto"/>
              <w:bottom w:val="single" w:sz="4" w:space="0" w:color="auto"/>
            </w:tcBorders>
            <w:tcW w:w="800" w:type="dxa"/>
          </w:tcPr>
          <w:p>
            <w:pPr>
              <w:jc w:val="center"/>
              <w:spacing w:before="10" w:after="10"/>
            </w:pPr>
            <w:r/>
            <w:r>
              <w:rPr>
                <w:b/>
                <w:sz w:val="16"/>
              </w:rPr>
              <w:t>HHI</w:t>
            </w:r>
          </w:p>
        </w:tc>
        <w:tc>
          <w:tcPr>
            <w:tcBorders>
              <w:top w:val="single" w:sz="4" w:space="0" w:color="auto"/>
              <w:bottom w:val="single" w:sz="4" w:space="0" w:color="auto"/>
            </w:tcBorders>
            <w:tcW w:w="900" w:type="dxa"/>
          </w:tcPr>
          <w:p>
            <w:pPr>
              <w:jc w:val="center"/>
              <w:spacing w:before="10" w:after="10"/>
            </w:pPr>
            <w:r/>
            <w:r>
              <w:rPr>
                <w:b/>
                <w:sz w:val="16"/>
              </w:rPr>
              <w:t>Spearman ρ</w:t>
            </w:r>
          </w:p>
        </w:tc>
        <w:tc>
          <w:tcPr>
            <w:tcBorders>
              <w:top w:val="single" w:sz="4" w:space="0" w:color="auto"/>
              <w:bottom w:val="single" w:sz="4" w:space="0" w:color="auto"/>
            </w:tcBorders>
            <w:tcW w:w="600" w:type="dxa"/>
          </w:tcPr>
          <w:p>
            <w:pPr>
              <w:jc w:val="center"/>
              <w:spacing w:before="10" w:after="10"/>
            </w:pPr>
            <w:r/>
            <w:r>
              <w:rPr>
                <w:b/>
                <w:sz w:val="16"/>
              </w:rPr>
              <w:t>Top 5</w:t>
            </w:r>
          </w:p>
        </w:tc>
      </w:tr>
      <w:tr>
        <w:tc>
          <w:tcPr>
            <w:tcW w:w="2200" w:type="dxa"/>
          </w:tcPr>
          <w:p>
            <w:pPr>
              <w:spacing w:before="10" w:after="10"/>
            </w:pPr>
            <w:r/>
            <w:r>
              <w:rPr>
                <w:sz w:val="16"/>
              </w:rPr>
              <w:t>Baseline calibration</w:t>
            </w:r>
          </w:p>
        </w:tc>
        <w:tc>
          <w:tcPr>
            <w:tcW w:w="2600" w:type="dxa"/>
          </w:tcPr>
          <w:p>
            <w:pPr>
              <w:spacing w:before="10" w:after="10"/>
            </w:pPr>
            <w:r/>
            <w:r>
              <w:rPr>
                <w:sz w:val="16"/>
              </w:rPr>
              <w:t>—</w:t>
            </w:r>
          </w:p>
        </w:tc>
        <w:tc>
          <w:tcPr>
            <w:tcW w:w="900" w:type="dxa"/>
          </w:tcPr>
          <w:p>
            <w:pPr>
              <w:jc w:val="right"/>
              <w:spacing w:before="10" w:after="10"/>
            </w:pPr>
            <w:r/>
            <w:r>
              <w:rPr>
                <w:sz w:val="16"/>
              </w:rPr>
              <w:t>$1.613</w:t>
            </w:r>
          </w:p>
        </w:tc>
        <w:tc>
          <w:tcPr>
            <w:tcW w:w="800" w:type="dxa"/>
          </w:tcPr>
          <w:p>
            <w:pPr>
              <w:jc w:val="right"/>
              <w:spacing w:before="10" w:after="10"/>
            </w:pPr>
            <w:r/>
            <w:r>
              <w:rPr>
                <w:sz w:val="16"/>
              </w:rPr>
              <w:t>1</w:t>
            </w:r>
          </w:p>
        </w:tc>
        <w:tc>
          <w:tcPr>
            <w:tcW w:w="800" w:type="dxa"/>
          </w:tcPr>
          <w:p>
            <w:pPr>
              <w:jc w:val="right"/>
              <w:spacing w:before="10" w:after="10"/>
            </w:pPr>
            <w:r/>
            <w:r>
              <w:rPr>
                <w:sz w:val="16"/>
              </w:rPr>
              <w:t>1.0000</w:t>
            </w:r>
          </w:p>
        </w:tc>
        <w:tc>
          <w:tcPr>
            <w:tcW w:w="900" w:type="dxa"/>
          </w:tcPr>
          <w:p>
            <w:pPr>
              <w:jc w:val="right"/>
              <w:spacing w:before="10" w:after="10"/>
            </w:pPr>
            <w:r/>
            <w:r>
              <w:rPr>
                <w:sz w:val="16"/>
              </w:rPr>
              <w:t>1.0000</w:t>
            </w:r>
          </w:p>
        </w:tc>
        <w:tc>
          <w:tcPr>
            <w:tcW w:w="600" w:type="dxa"/>
          </w:tcPr>
          <w:p>
            <w:pPr>
              <w:jc w:val="right"/>
              <w:spacing w:before="10" w:after="10"/>
            </w:pPr>
            <w:r/>
            <w:r>
              <w:rPr>
                <w:sz w:val="16"/>
              </w:rPr>
              <w:t>Same</w:t>
            </w:r>
          </w:p>
        </w:tc>
      </w:tr>
      <w:tr>
        <w:tc>
          <w:tcPr>
            <w:tcW w:w="2200" w:type="dxa"/>
          </w:tcPr>
          <w:p>
            <w:pPr>
              <w:spacing w:before="10" w:after="10"/>
            </w:pPr>
            <w:r/>
            <w:r>
              <w:rPr>
                <w:sz w:val="16"/>
              </w:rPr>
              <w:t>Electricity price +$0.01/kWh (≈10% above mean)</w:t>
            </w:r>
          </w:p>
        </w:tc>
        <w:tc>
          <w:tcPr>
            <w:tcW w:w="2600" w:type="dxa"/>
          </w:tcPr>
          <w:p>
            <w:pPr>
              <w:spacing w:before="10" w:after="10"/>
            </w:pPr>
            <w:r/>
            <w:r>
              <w:rPr>
                <w:sz w:val="16"/>
              </w:rPr>
              <w:t>All electricity prices +$0.01/kWh</w:t>
            </w:r>
          </w:p>
        </w:tc>
        <w:tc>
          <w:tcPr>
            <w:tcW w:w="900" w:type="dxa"/>
          </w:tcPr>
          <w:p>
            <w:pPr>
              <w:jc w:val="right"/>
              <w:spacing w:before="10" w:after="10"/>
            </w:pPr>
            <w:r/>
            <w:r>
              <w:rPr>
                <w:sz w:val="16"/>
              </w:rPr>
              <w:t>$1.620</w:t>
            </w:r>
          </w:p>
        </w:tc>
        <w:tc>
          <w:tcPr>
            <w:tcW w:w="800" w:type="dxa"/>
          </w:tcPr>
          <w:p>
            <w:pPr>
              <w:jc w:val="right"/>
              <w:spacing w:before="10" w:after="10"/>
            </w:pPr>
            <w:r/>
            <w:r>
              <w:rPr>
                <w:sz w:val="16"/>
              </w:rPr>
              <w:t>1</w:t>
            </w:r>
          </w:p>
        </w:tc>
        <w:tc>
          <w:tcPr>
            <w:tcW w:w="800" w:type="dxa"/>
          </w:tcPr>
          <w:p>
            <w:pPr>
              <w:jc w:val="right"/>
              <w:spacing w:before="10" w:after="10"/>
            </w:pPr>
            <w:r/>
            <w:r>
              <w:rPr>
                <w:sz w:val="16"/>
              </w:rPr>
              <w:t>1.0000</w:t>
            </w:r>
          </w:p>
        </w:tc>
        <w:tc>
          <w:tcPr>
            <w:tcW w:w="900" w:type="dxa"/>
          </w:tcPr>
          <w:p>
            <w:pPr>
              <w:jc w:val="right"/>
              <w:spacing w:before="10" w:after="10"/>
            </w:pPr>
            <w:r/>
            <w:r>
              <w:rPr>
                <w:sz w:val="16"/>
              </w:rPr>
              <w:t>0.9999</w:t>
            </w:r>
          </w:p>
        </w:tc>
        <w:tc>
          <w:tcPr>
            <w:tcW w:w="600" w:type="dxa"/>
          </w:tcPr>
          <w:p>
            <w:pPr>
              <w:jc w:val="right"/>
              <w:spacing w:before="10" w:after="10"/>
            </w:pPr>
            <w:r/>
            <w:r>
              <w:rPr>
                <w:sz w:val="16"/>
              </w:rPr>
              <w:t>Same</w:t>
            </w:r>
          </w:p>
        </w:tc>
      </w:tr>
      <w:tr>
        <w:tc>
          <w:tcPr>
            <w:tcW w:w="2200" w:type="dxa"/>
          </w:tcPr>
          <w:p>
            <w:pPr>
              <w:spacing w:before="10" w:after="10"/>
            </w:pPr>
            <w:r/>
            <w:r>
              <w:rPr>
                <w:sz w:val="16"/>
              </w:rPr>
              <w:t>Electricity price −$0.01/kWh (≈10% below mean)</w:t>
            </w:r>
          </w:p>
        </w:tc>
        <w:tc>
          <w:tcPr>
            <w:tcW w:w="2600" w:type="dxa"/>
          </w:tcPr>
          <w:p>
            <w:pPr>
              <w:spacing w:before="10" w:after="10"/>
            </w:pPr>
            <w:r/>
            <w:r>
              <w:rPr>
                <w:sz w:val="16"/>
              </w:rPr>
              <w:t>All electricity prices −$0.01/kWh</w:t>
            </w:r>
          </w:p>
        </w:tc>
        <w:tc>
          <w:tcPr>
            <w:tcW w:w="900" w:type="dxa"/>
          </w:tcPr>
          <w:p>
            <w:pPr>
              <w:jc w:val="right"/>
              <w:spacing w:before="10" w:after="10"/>
            </w:pPr>
            <w:r/>
            <w:r>
              <w:rPr>
                <w:sz w:val="16"/>
              </w:rPr>
              <w:t>$1.605</w:t>
            </w:r>
          </w:p>
        </w:tc>
        <w:tc>
          <w:tcPr>
            <w:tcW w:w="800" w:type="dxa"/>
          </w:tcPr>
          <w:p>
            <w:pPr>
              <w:jc w:val="right"/>
              <w:spacing w:before="10" w:after="10"/>
            </w:pPr>
            <w:r/>
            <w:r>
              <w:rPr>
                <w:sz w:val="16"/>
              </w:rPr>
              <w:t>1</w:t>
            </w:r>
          </w:p>
        </w:tc>
        <w:tc>
          <w:tcPr>
            <w:tcW w:w="800" w:type="dxa"/>
          </w:tcPr>
          <w:p>
            <w:pPr>
              <w:jc w:val="right"/>
              <w:spacing w:before="10" w:after="10"/>
            </w:pPr>
            <w:r/>
            <w:r>
              <w:rPr>
                <w:sz w:val="16"/>
              </w:rPr>
              <w:t>1.0000</w:t>
            </w:r>
          </w:p>
        </w:tc>
        <w:tc>
          <w:tcPr>
            <w:tcW w:w="900" w:type="dxa"/>
          </w:tcPr>
          <w:p>
            <w:pPr>
              <w:jc w:val="right"/>
              <w:spacing w:before="10" w:after="10"/>
            </w:pPr>
            <w:r/>
            <w:r>
              <w:rPr>
                <w:sz w:val="16"/>
              </w:rPr>
              <w:t>0.9999</w:t>
            </w:r>
          </w:p>
        </w:tc>
        <w:tc>
          <w:tcPr>
            <w:tcW w:w="600" w:type="dxa"/>
          </w:tcPr>
          <w:p>
            <w:pPr>
              <w:jc w:val="right"/>
              <w:spacing w:before="10" w:after="10"/>
            </w:pPr>
            <w:r/>
            <w:r>
              <w:rPr>
                <w:sz w:val="16"/>
              </w:rPr>
              <w:t>Changed</w:t>
            </w:r>
          </w:p>
        </w:tc>
      </w:tr>
      <w:tr>
        <w:tc>
          <w:tcPr>
            <w:tcW w:w="2200" w:type="dxa"/>
          </w:tcPr>
          <w:p>
            <w:pPr>
              <w:spacing w:before="10" w:after="10"/>
            </w:pPr>
            <w:r/>
            <w:r>
              <w:rPr>
                <w:sz w:val="16"/>
              </w:rPr>
              <w:t>GPU hardware cost +20% ($30,000/unit)</w:t>
            </w:r>
          </w:p>
        </w:tc>
        <w:tc>
          <w:tcPr>
            <w:tcW w:w="2600" w:type="dxa"/>
          </w:tcPr>
          <w:p>
            <w:pPr>
              <w:spacing w:before="10" w:after="10"/>
            </w:pPr>
            <w:r/>
            <w:r>
              <w:rPr>
                <w:sz w:val="16"/>
              </w:rPr>
              <w:t>GPU unit price $30,000 (+20% from $25,000)</w:t>
            </w:r>
          </w:p>
        </w:tc>
        <w:tc>
          <w:tcPr>
            <w:tcW w:w="900" w:type="dxa"/>
          </w:tcPr>
          <w:p>
            <w:pPr>
              <w:jc w:val="right"/>
              <w:spacing w:before="10" w:after="10"/>
            </w:pPr>
            <w:r/>
            <w:r>
              <w:rPr>
                <w:sz w:val="16"/>
              </w:rPr>
              <w:t>$1.888</w:t>
            </w:r>
          </w:p>
        </w:tc>
        <w:tc>
          <w:tcPr>
            <w:tcW w:w="800" w:type="dxa"/>
          </w:tcPr>
          <w:p>
            <w:pPr>
              <w:jc w:val="right"/>
              <w:spacing w:before="10" w:after="10"/>
            </w:pPr>
            <w:r/>
            <w:r>
              <w:rPr>
                <w:sz w:val="16"/>
              </w:rPr>
              <w:t>2</w:t>
            </w:r>
          </w:p>
        </w:tc>
        <w:tc>
          <w:tcPr>
            <w:tcW w:w="800" w:type="dxa"/>
          </w:tcPr>
          <w:p>
            <w:pPr>
              <w:jc w:val="right"/>
              <w:spacing w:before="10" w:after="10"/>
            </w:pPr>
            <w:r/>
            <w:r>
              <w:rPr>
                <w:sz w:val="16"/>
              </w:rPr>
              <w:t>0.5660</w:t>
            </w:r>
          </w:p>
        </w:tc>
        <w:tc>
          <w:tcPr>
            <w:tcW w:w="900" w:type="dxa"/>
          </w:tcPr>
          <w:p>
            <w:pPr>
              <w:jc w:val="right"/>
              <w:spacing w:before="10" w:after="10"/>
            </w:pPr>
            <w:r/>
            <w:r>
              <w:rPr>
                <w:sz w:val="16"/>
              </w:rPr>
              <w:t>0.9990</w:t>
            </w:r>
          </w:p>
        </w:tc>
        <w:tc>
          <w:tcPr>
            <w:tcW w:w="600" w:type="dxa"/>
          </w:tcPr>
          <w:p>
            <w:pPr>
              <w:jc w:val="right"/>
              <w:spacing w:before="10" w:after="10"/>
            </w:pPr>
            <w:r/>
            <w:r>
              <w:rPr>
                <w:sz w:val="16"/>
              </w:rPr>
              <w:t>Changed</w:t>
            </w:r>
          </w:p>
        </w:tc>
      </w:tr>
      <w:tr>
        <w:tc>
          <w:tcPr>
            <w:tcW w:w="2200" w:type="dxa"/>
          </w:tcPr>
          <w:p>
            <w:pPr>
              <w:spacing w:before="10" w:after="10"/>
            </w:pPr>
            <w:r/>
            <w:r>
              <w:rPr>
                <w:sz w:val="16"/>
              </w:rPr>
              <w:t>GPU hardware cost −20% ($20,000/unit)</w:t>
            </w:r>
          </w:p>
        </w:tc>
        <w:tc>
          <w:tcPr>
            <w:tcW w:w="2600" w:type="dxa"/>
          </w:tcPr>
          <w:p>
            <w:pPr>
              <w:spacing w:before="10" w:after="10"/>
            </w:pPr>
            <w:r/>
            <w:r>
              <w:rPr>
                <w:sz w:val="16"/>
              </w:rPr>
              <w:t>GPU unit price $20,000 (-20% from $25,000)</w:t>
            </w:r>
          </w:p>
        </w:tc>
        <w:tc>
          <w:tcPr>
            <w:tcW w:w="900" w:type="dxa"/>
          </w:tcPr>
          <w:p>
            <w:pPr>
              <w:jc w:val="right"/>
              <w:spacing w:before="10" w:after="10"/>
            </w:pPr>
            <w:r/>
            <w:r>
              <w:rPr>
                <w:sz w:val="16"/>
              </w:rPr>
              <w:t>$1.338</w:t>
            </w:r>
          </w:p>
        </w:tc>
        <w:tc>
          <w:tcPr>
            <w:tcW w:w="800" w:type="dxa"/>
          </w:tcPr>
          <w:p>
            <w:pPr>
              <w:jc w:val="right"/>
              <w:spacing w:before="10" w:after="10"/>
            </w:pPr>
            <w:r/>
            <w:r>
              <w:rPr>
                <w:sz w:val="16"/>
              </w:rPr>
              <w:t>1</w:t>
            </w:r>
          </w:p>
        </w:tc>
        <w:tc>
          <w:tcPr>
            <w:tcW w:w="800" w:type="dxa"/>
          </w:tcPr>
          <w:p>
            <w:pPr>
              <w:jc w:val="right"/>
              <w:spacing w:before="10" w:after="10"/>
            </w:pPr>
            <w:r/>
            <w:r>
              <w:rPr>
                <w:sz w:val="16"/>
              </w:rPr>
              <w:t>1.0000</w:t>
            </w:r>
          </w:p>
        </w:tc>
        <w:tc>
          <w:tcPr>
            <w:tcW w:w="900" w:type="dxa"/>
          </w:tcPr>
          <w:p>
            <w:pPr>
              <w:jc w:val="right"/>
              <w:spacing w:before="10" w:after="10"/>
            </w:pPr>
            <w:r/>
            <w:r>
              <w:rPr>
                <w:sz w:val="16"/>
              </w:rPr>
              <w:t>0.9989</w:t>
            </w:r>
          </w:p>
        </w:tc>
        <w:tc>
          <w:tcPr>
            <w:tcW w:w="600" w:type="dxa"/>
          </w:tcPr>
          <w:p>
            <w:pPr>
              <w:jc w:val="right"/>
              <w:spacing w:before="10" w:after="10"/>
            </w:pPr>
            <w:r/>
            <w:r>
              <w:rPr>
                <w:sz w:val="16"/>
              </w:rPr>
              <w:t>Same</w:t>
            </w:r>
          </w:p>
        </w:tc>
      </w:tr>
      <w:tr>
        <w:tc>
          <w:tcPr>
            <w:tcW w:w="2200" w:type="dxa"/>
          </w:tcPr>
          <w:p>
            <w:pPr>
              <w:spacing w:before="10" w:after="10"/>
            </w:pPr>
            <w:r/>
            <w:r>
              <w:rPr>
                <w:sz w:val="16"/>
              </w:rPr>
              <w:t>Cooling efficiency cap (PUE ≤ 1.20)</w:t>
            </w:r>
          </w:p>
        </w:tc>
        <w:tc>
          <w:tcPr>
            <w:tcW w:w="2600" w:type="dxa"/>
          </w:tcPr>
          <w:p>
            <w:pPr>
              <w:spacing w:before="10" w:after="10"/>
            </w:pPr>
            <w:r/>
            <w:r>
              <w:rPr>
                <w:sz w:val="16"/>
              </w:rPr>
              <w:t>PUE capped at 1.20 for all countries</w:t>
            </w:r>
          </w:p>
        </w:tc>
        <w:tc>
          <w:tcPr>
            <w:tcW w:w="900" w:type="dxa"/>
          </w:tcPr>
          <w:p>
            <w:pPr>
              <w:jc w:val="right"/>
              <w:spacing w:before="10" w:after="10"/>
            </w:pPr>
            <w:r/>
            <w:r>
              <w:rPr>
                <w:sz w:val="16"/>
              </w:rPr>
              <w:t>$1.613</w:t>
            </w:r>
          </w:p>
        </w:tc>
        <w:tc>
          <w:tcPr>
            <w:tcW w:w="800" w:type="dxa"/>
          </w:tcPr>
          <w:p>
            <w:pPr>
              <w:jc w:val="right"/>
              <w:spacing w:before="10" w:after="10"/>
            </w:pPr>
            <w:r/>
            <w:r>
              <w:rPr>
                <w:sz w:val="16"/>
              </w:rPr>
              <w:t>1</w:t>
            </w:r>
          </w:p>
        </w:tc>
        <w:tc>
          <w:tcPr>
            <w:tcW w:w="800" w:type="dxa"/>
          </w:tcPr>
          <w:p>
            <w:pPr>
              <w:jc w:val="right"/>
              <w:spacing w:before="10" w:after="10"/>
            </w:pPr>
            <w:r/>
            <w:r>
              <w:rPr>
                <w:sz w:val="16"/>
              </w:rPr>
              <w:t>1.0000</w:t>
            </w:r>
          </w:p>
        </w:tc>
        <w:tc>
          <w:tcPr>
            <w:tcW w:w="900" w:type="dxa"/>
          </w:tcPr>
          <w:p>
            <w:pPr>
              <w:jc w:val="right"/>
              <w:spacing w:before="10" w:after="10"/>
            </w:pPr>
            <w:r/>
            <w:r>
              <w:rPr>
                <w:sz w:val="16"/>
              </w:rPr>
              <w:t>0.9991</w:t>
            </w:r>
          </w:p>
        </w:tc>
        <w:tc>
          <w:tcPr>
            <w:tcW w:w="600" w:type="dxa"/>
          </w:tcPr>
          <w:p>
            <w:pPr>
              <w:jc w:val="right"/>
              <w:spacing w:before="10" w:after="10"/>
            </w:pPr>
            <w:r/>
            <w:r>
              <w:rPr>
                <w:sz w:val="16"/>
              </w:rPr>
              <w:t>Same</w:t>
            </w:r>
          </w:p>
        </w:tc>
      </w:tr>
      <w:tr>
        <w:tc>
          <w:tcPr>
            <w:tcW w:w="2200" w:type="dxa"/>
          </w:tcPr>
          <w:p>
            <w:pPr>
              <w:spacing w:before="10" w:after="10"/>
            </w:pPr>
            <w:r/>
            <w:r>
              <w:rPr>
                <w:sz w:val="16"/>
              </w:rPr>
              <w:t>Institutional floor ξ_floor = 0.30</w:t>
            </w:r>
          </w:p>
        </w:tc>
        <w:tc>
          <w:tcPr>
            <w:tcW w:w="2600" w:type="dxa"/>
          </w:tcPr>
          <w:p>
            <w:pPr>
              <w:spacing w:before="10" w:after="10"/>
            </w:pPr>
            <w:r/>
            <w:r>
              <w:rPr>
                <w:sz w:val="16"/>
              </w:rPr>
              <w:t>ξ_floor = 0.30 (baseline 0.50)</w:t>
            </w:r>
          </w:p>
        </w:tc>
        <w:tc>
          <w:tcPr>
            <w:tcW w:w="900" w:type="dxa"/>
          </w:tcPr>
          <w:p>
            <w:pPr>
              <w:jc w:val="right"/>
              <w:spacing w:before="10" w:after="10"/>
            </w:pPr>
            <w:r/>
            <w:r>
              <w:rPr>
                <w:sz w:val="16"/>
              </w:rPr>
              <w:t>$1.621</w:t>
            </w:r>
          </w:p>
        </w:tc>
        <w:tc>
          <w:tcPr>
            <w:tcW w:w="800" w:type="dxa"/>
          </w:tcPr>
          <w:p>
            <w:pPr>
              <w:jc w:val="right"/>
              <w:spacing w:before="10" w:after="10"/>
            </w:pPr>
            <w:r/>
            <w:r>
              <w:rPr>
                <w:sz w:val="16"/>
              </w:rPr>
              <w:t>3</w:t>
            </w:r>
          </w:p>
        </w:tc>
        <w:tc>
          <w:tcPr>
            <w:tcW w:w="800" w:type="dxa"/>
          </w:tcPr>
          <w:p>
            <w:pPr>
              <w:jc w:val="right"/>
              <w:spacing w:before="10" w:after="10"/>
            </w:pPr>
            <w:r/>
            <w:r>
              <w:rPr>
                <w:sz w:val="16"/>
              </w:rPr>
              <w:t>0.3744</w:t>
            </w:r>
          </w:p>
        </w:tc>
        <w:tc>
          <w:tcPr>
            <w:tcW w:w="900" w:type="dxa"/>
          </w:tcPr>
          <w:p>
            <w:pPr>
              <w:jc w:val="right"/>
              <w:spacing w:before="10" w:after="10"/>
            </w:pPr>
            <w:r/>
            <w:r>
              <w:rPr>
                <w:sz w:val="16"/>
              </w:rPr>
              <w:t>0.9975</w:t>
            </w:r>
          </w:p>
        </w:tc>
        <w:tc>
          <w:tcPr>
            <w:tcW w:w="600" w:type="dxa"/>
          </w:tcPr>
          <w:p>
            <w:pPr>
              <w:jc w:val="right"/>
              <w:spacing w:before="10" w:after="10"/>
            </w:pPr>
            <w:r/>
            <w:r>
              <w:rPr>
                <w:sz w:val="16"/>
              </w:rPr>
              <w:t>Changed</w:t>
            </w:r>
          </w:p>
        </w:tc>
      </w:tr>
      <w:tr>
        <w:tc>
          <w:tcPr>
            <w:tcW w:w="2200" w:type="dxa"/>
          </w:tcPr>
          <w:p>
            <w:pPr>
              <w:spacing w:before="10" w:after="10"/>
            </w:pPr>
            <w:r/>
            <w:r>
              <w:rPr>
                <w:sz w:val="16"/>
              </w:rPr>
              <w:t>Institutional floor ξ_floor = 0.70</w:t>
            </w:r>
          </w:p>
        </w:tc>
        <w:tc>
          <w:tcPr>
            <w:tcW w:w="2600" w:type="dxa"/>
          </w:tcPr>
          <w:p>
            <w:pPr>
              <w:spacing w:before="10" w:after="10"/>
            </w:pPr>
            <w:r/>
            <w:r>
              <w:rPr>
                <w:sz w:val="16"/>
              </w:rPr>
              <w:t>ξ_floor = 0.70 (baseline 0.50)</w:t>
            </w:r>
          </w:p>
        </w:tc>
        <w:tc>
          <w:tcPr>
            <w:tcW w:w="900" w:type="dxa"/>
          </w:tcPr>
          <w:p>
            <w:pPr>
              <w:jc w:val="right"/>
              <w:spacing w:before="10" w:after="10"/>
            </w:pPr>
            <w:r/>
            <w:r>
              <w:rPr>
                <w:sz w:val="16"/>
              </w:rPr>
              <w:t>$1.604</w:t>
            </w:r>
          </w:p>
        </w:tc>
        <w:tc>
          <w:tcPr>
            <w:tcW w:w="800" w:type="dxa"/>
          </w:tcPr>
          <w:p>
            <w:pPr>
              <w:jc w:val="right"/>
              <w:spacing w:before="10" w:after="10"/>
            </w:pPr>
            <w:r/>
            <w:r>
              <w:rPr>
                <w:sz w:val="16"/>
              </w:rPr>
              <w:t>1</w:t>
            </w:r>
          </w:p>
        </w:tc>
        <w:tc>
          <w:tcPr>
            <w:tcW w:w="800" w:type="dxa"/>
          </w:tcPr>
          <w:p>
            <w:pPr>
              <w:jc w:val="right"/>
              <w:spacing w:before="10" w:after="10"/>
            </w:pPr>
            <w:r/>
            <w:r>
              <w:rPr>
                <w:sz w:val="16"/>
              </w:rPr>
              <w:t>1.0000</w:t>
            </w:r>
          </w:p>
        </w:tc>
        <w:tc>
          <w:tcPr>
            <w:tcW w:w="900" w:type="dxa"/>
          </w:tcPr>
          <w:p>
            <w:pPr>
              <w:jc w:val="right"/>
              <w:spacing w:before="10" w:after="10"/>
            </w:pPr>
            <w:r/>
            <w:r>
              <w:rPr>
                <w:sz w:val="16"/>
              </w:rPr>
              <w:t>0.9881</w:t>
            </w:r>
          </w:p>
        </w:tc>
        <w:tc>
          <w:tcPr>
            <w:tcW w:w="600" w:type="dxa"/>
          </w:tcPr>
          <w:p>
            <w:pPr>
              <w:jc w:val="right"/>
              <w:spacing w:before="10" w:after="10"/>
            </w:pPr>
            <w:r/>
            <w:r>
              <w:rPr>
                <w:sz w:val="16"/>
              </w:rPr>
              <w:t>Same</w:t>
            </w:r>
          </w:p>
        </w:tc>
      </w:tr>
      <w:tr>
        <w:tc>
          <w:tcPr>
            <w:tcBorders>
              <w:bottom w:val="double" w:sz="4" w:space="0" w:color="auto"/>
            </w:tcBorders>
            <w:tcW w:w="2200" w:type="dxa"/>
          </w:tcPr>
          <w:p>
            <w:pPr>
              <w:spacing w:before="10" w:after="10"/>
            </w:pPr>
            <w:r/>
            <w:r>
              <w:rPr>
                <w:sz w:val="16"/>
              </w:rPr>
              <w:t>Elasticity alternative ξ^0.5</w:t>
            </w:r>
          </w:p>
        </w:tc>
        <w:tc>
          <w:tcPr>
            <w:tcBorders>
              <w:bottom w:val="double" w:sz="4" w:space="0" w:color="auto"/>
            </w:tcBorders>
            <w:tcW w:w="2600" w:type="dxa"/>
          </w:tcPr>
          <w:p>
            <w:pPr>
              <w:spacing w:before="10" w:after="10"/>
            </w:pPr>
            <w:r/>
            <w:r>
              <w:rPr>
                <w:sz w:val="16"/>
              </w:rPr>
              <w:t>c / ξ_raw^0.5 (no explicit floor)</w:t>
            </w:r>
          </w:p>
        </w:tc>
        <w:tc>
          <w:tcPr>
            <w:tcBorders>
              <w:bottom w:val="double" w:sz="4" w:space="0" w:color="auto"/>
            </w:tcBorders>
            <w:tcW w:w="900" w:type="dxa"/>
          </w:tcPr>
          <w:p>
            <w:pPr>
              <w:jc w:val="right"/>
              <w:spacing w:before="10" w:after="10"/>
            </w:pPr>
            <w:r/>
            <w:r>
              <w:rPr>
                <w:sz w:val="16"/>
              </w:rPr>
              <w:t>$1.613</w:t>
            </w:r>
          </w:p>
        </w:tc>
        <w:tc>
          <w:tcPr>
            <w:tcBorders>
              <w:bottom w:val="double" w:sz="4" w:space="0" w:color="auto"/>
            </w:tcBorders>
            <w:tcW w:w="800" w:type="dxa"/>
          </w:tcPr>
          <w:p>
            <w:pPr>
              <w:jc w:val="right"/>
              <w:spacing w:before="10" w:after="10"/>
            </w:pPr>
            <w:r/>
            <w:r>
              <w:rPr>
                <w:sz w:val="16"/>
              </w:rPr>
              <w:t>1</w:t>
            </w:r>
          </w:p>
        </w:tc>
        <w:tc>
          <w:tcPr>
            <w:tcBorders>
              <w:bottom w:val="double" w:sz="4" w:space="0" w:color="auto"/>
            </w:tcBorders>
            <w:tcW w:w="800" w:type="dxa"/>
          </w:tcPr>
          <w:p>
            <w:pPr>
              <w:jc w:val="right"/>
              <w:spacing w:before="10" w:after="10"/>
            </w:pPr>
            <w:r/>
            <w:r>
              <w:rPr>
                <w:sz w:val="16"/>
              </w:rPr>
              <w:t>1.0000</w:t>
            </w:r>
          </w:p>
        </w:tc>
        <w:tc>
          <w:tcPr>
            <w:tcBorders>
              <w:bottom w:val="double" w:sz="4" w:space="0" w:color="auto"/>
            </w:tcBorders>
            <w:tcW w:w="900" w:type="dxa"/>
          </w:tcPr>
          <w:p>
            <w:pPr>
              <w:jc w:val="right"/>
              <w:spacing w:before="10" w:after="10"/>
            </w:pPr>
            <w:r/>
            <w:r>
              <w:rPr>
                <w:sz w:val="16"/>
              </w:rPr>
              <w:t>0.9988</w:t>
            </w:r>
          </w:p>
        </w:tc>
        <w:tc>
          <w:tcPr>
            <w:tcBorders>
              <w:bottom w:val="double" w:sz="4" w:space="0" w:color="auto"/>
            </w:tcBorders>
            <w:tcW w:w="600" w:type="dxa"/>
          </w:tcPr>
          <w:p>
            <w:pPr>
              <w:jc w:val="right"/>
              <w:spacing w:before="10" w:after="10"/>
            </w:pPr>
            <w:r/>
            <w:r>
              <w:rPr>
                <w:sz w:val="16"/>
              </w:rPr>
              <w:t>Same</w:t>
            </w:r>
          </w:p>
        </w:tc>
      </w:tr>
    </w:tbl>
    <w:p>
      <w:pPr>
        <w:spacing w:before="0" w:after="0" w:line="240" w:lineRule="auto"/>
        <w:ind w:firstLine="0"/>
        <w:jc w:val="left"/>
      </w:pPr>
      <w:r>
        <w:rPr>
          <w:sz w:val="20"/>
        </w:rPr>
        <w:t>Notes: Each row re-solves the capacity-constrained equilibrium under the stated parameter change. Spearman ρ is the rank correlation of country-level training costs with the baseline ordering. Top 5 indicates whether the five cheapest countries remain the same set in the same order. HHI is the Herfindahl–Hirschman Index of export concentration.</w:t>
      </w:r>
    </w:p>
    <w:p>
      <w:pPr>
        <w:spacing w:before="0" w:after="0"/>
      </w:pPr>
      <w:r>
        <w:br w:type="page"/>
      </w:r>
    </w:p>
    <w:p>
      <w:pPr>
        <w:pStyle w:val="Heading1"/>
      </w:pPr>
      <w:r>
        <w:rPr>
          <w:rFonts w:ascii="Times New Roman" w:hAnsi="Times New Roman"/>
          <w:b/>
          <w:color w:val="2F5496"/>
          <w:sz w:val="28"/>
        </w:rPr>
        <w:t>Appendix D: Data Center Investment Model — Kyrgyzstan</w:t>
      </w:r>
    </w:p>
    <w:p>
      <w:pPr>
        <w:spacing w:before="0" w:after="160"/>
        <w:ind w:firstLine="0"/>
        <w:jc w:val="both"/>
      </w:pPr>
      <w:bookmarkStart w:id="145" w:name="TableA4txt"/>
      <w:bookmarkEnd w:id="145"/>
      <w:bookmarkStart w:id="147" w:name="TableA5txt"/>
      <w:bookmarkEnd w:id="147"/>
      <w:bookmarkStart w:id="149" w:name="TableA6txt"/>
      <w:bookmarkEnd w:id="149"/>
      <w:r>
        <w:t>This appendix presents a 15-year discounted cash flow (DCF) analysis for a hypothetical 40 MW data center in Kyrgyzstan, the lowest-cost seller in the cost-recovery-adjusted calibration. All parameters are drawn from the calibration or from industry benchmarks.</w:t>
      </w:r>
    </w:p>
    <w:p>
      <w:pPr>
        <w:spacing w:before="0" w:after="60"/>
        <w:ind w:firstLine="0"/>
        <w:jc w:val="both"/>
      </w:pPr>
      <w:bookmarkStart w:id="144" w:name="TableA4"/>
      <w:hyperlink w:anchor="TableA4txt" w:history="1">
        <w:r>
          <w:rPr>
            <w:b/>
            <w:sz w:val="20"/>
            <w:color w:val="1F3864"/>
            <w:u w:val="single"/>
          </w:rPr>
          <w:t>Table A4</w:t>
        </w:r>
      </w:hyperlink>
      <w:bookmarkEnd w:id="144"/>
      <w:r>
        <w:rPr>
          <w:b/>
          <w:sz w:val="20"/>
        </w:rPr>
        <w:t>. Facility specification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Borders>
              <w:top w:val="single" w:sz="4" w:space="0" w:color="auto"/>
              <w:bottom w:val="single" w:sz="4" w:space="0" w:color="auto"/>
            </w:tcBorders>
            <w:tcW w:w="3500" w:type="dxa"/>
          </w:tcPr>
          <w:p>
            <w:pPr>
              <w:jc w:val="center"/>
              <w:spacing w:before="10" w:after="10"/>
            </w:pPr>
            <w:r/>
            <w:r>
              <w:rPr>
                <w:b/>
                <w:sz w:val="16"/>
              </w:rPr>
              <w:t>Parameter</w:t>
            </w:r>
          </w:p>
        </w:tc>
        <w:tc>
          <w:tcPr>
            <w:tcBorders>
              <w:top w:val="single" w:sz="4" w:space="0" w:color="auto"/>
              <w:bottom w:val="single" w:sz="4" w:space="0" w:color="auto"/>
            </w:tcBorders>
            <w:tcW w:w="5300" w:type="dxa"/>
          </w:tcPr>
          <w:p>
            <w:pPr>
              <w:jc w:val="center"/>
              <w:spacing w:before="10" w:after="10"/>
            </w:pPr>
            <w:r/>
            <w:r>
              <w:rPr>
                <w:b/>
                <w:sz w:val="16"/>
              </w:rPr>
              <w:t>Value</w:t>
            </w:r>
          </w:p>
        </w:tc>
      </w:tr>
      <w:tr>
        <w:tc>
          <w:tcPr>
            <w:tcW w:w="3500" w:type="dxa"/>
          </w:tcPr>
          <w:p>
            <w:pPr>
              <w:spacing w:before="10" w:after="10"/>
            </w:pPr>
            <w:r/>
            <w:r>
              <w:rPr>
                <w:sz w:val="16"/>
              </w:rPr>
              <w:t>IT capacity</w:t>
            </w:r>
          </w:p>
        </w:tc>
        <w:tc>
          <w:tcPr>
            <w:tcW w:w="5300" w:type="dxa"/>
          </w:tcPr>
          <w:p>
            <w:pPr>
              <w:spacing w:before="10" w:after="10"/>
            </w:pPr>
            <w:r/>
            <w:r>
              <w:rPr>
                <w:sz w:val="16"/>
              </w:rPr>
              <w:t>40 MW</w:t>
            </w:r>
          </w:p>
        </w:tc>
      </w:tr>
      <w:tr>
        <w:tc>
          <w:tcPr>
            <w:tcW w:w="3500" w:type="dxa"/>
          </w:tcPr>
          <w:p>
            <w:pPr>
              <w:spacing w:before="10" w:after="10"/>
            </w:pPr>
            <w:r/>
            <w:r>
              <w:rPr>
                <w:sz w:val="16"/>
              </w:rPr>
              <w:t>Total power (with cooling)</w:t>
            </w:r>
          </w:p>
        </w:tc>
        <w:tc>
          <w:tcPr>
            <w:tcW w:w="5300" w:type="dxa"/>
          </w:tcPr>
          <w:p>
            <w:pPr>
              <w:spacing w:before="10" w:after="10"/>
            </w:pPr>
            <w:r/>
            <w:r>
              <w:rPr>
                <w:sz w:val="16"/>
              </w:rPr>
              <w:t>43.2 MW (PUE = 1.08)</w:t>
            </w:r>
          </w:p>
        </w:tc>
      </w:tr>
      <w:tr>
        <w:tc>
          <w:tcPr>
            <w:tcW w:w="3500" w:type="dxa"/>
          </w:tcPr>
          <w:p>
            <w:pPr>
              <w:spacing w:before="10" w:after="10"/>
            </w:pPr>
            <w:r/>
            <w:r>
              <w:rPr>
                <w:sz w:val="16"/>
              </w:rPr>
              <w:t>GPU count</w:t>
            </w:r>
          </w:p>
        </w:tc>
        <w:tc>
          <w:tcPr>
            <w:tcW w:w="5300" w:type="dxa"/>
          </w:tcPr>
          <w:p>
            <w:pPr>
              <w:spacing w:before="10" w:after="10"/>
            </w:pPr>
            <w:r/>
            <w:r>
              <w:rPr>
                <w:sz w:val="16"/>
              </w:rPr>
              <w:t>57,142 (H100-class, 700W each)</w:t>
            </w:r>
          </w:p>
        </w:tc>
      </w:tr>
      <w:tr>
        <w:tc>
          <w:tcPr>
            <w:tcW w:w="3500" w:type="dxa"/>
          </w:tcPr>
          <w:p>
            <w:pPr>
              <w:spacing w:before="10" w:after="10"/>
            </w:pPr>
            <w:r/>
            <w:r>
              <w:rPr>
                <w:sz w:val="16"/>
              </w:rPr>
              <w:t>GPU cost / lifetime</w:t>
            </w:r>
          </w:p>
        </w:tc>
        <w:tc>
          <w:tcPr>
            <w:tcW w:w="5300" w:type="dxa"/>
          </w:tcPr>
          <w:p>
            <w:pPr>
              <w:spacing w:before="10" w:after="10"/>
            </w:pPr>
            <w:r/>
            <w:r>
              <w:rPr>
                <w:sz w:val="16"/>
              </w:rPr>
              <w:t>$25,000 / 3 yr (−10% per generation)</w:t>
            </w:r>
          </w:p>
        </w:tc>
      </w:tr>
      <w:tr>
        <w:tc>
          <w:tcPr>
            <w:tcW w:w="3500" w:type="dxa"/>
          </w:tcPr>
          <w:p>
            <w:pPr>
              <w:spacing w:before="10" w:after="10"/>
            </w:pPr>
            <w:r/>
            <w:r>
              <w:rPr>
                <w:sz w:val="16"/>
              </w:rPr>
              <w:t>Construction cost</w:t>
            </w:r>
          </w:p>
        </w:tc>
        <w:tc>
          <w:tcPr>
            <w:tcW w:w="5300" w:type="dxa"/>
          </w:tcPr>
          <w:p>
            <w:pPr>
              <w:spacing w:before="10" w:after="10"/>
            </w:pPr>
            <w:r/>
            <w:r>
              <w:rPr>
                <w:sz w:val="16"/>
              </w:rPr>
              <w:t>$313M ($7.83/W)</w:t>
            </w:r>
          </w:p>
        </w:tc>
      </w:tr>
      <w:tr>
        <w:tc>
          <w:tcPr>
            <w:tcW w:w="3500" w:type="dxa"/>
          </w:tcPr>
          <w:p>
            <w:pPr>
              <w:spacing w:before="10" w:after="10"/>
            </w:pPr>
            <w:r/>
            <w:r>
              <w:rPr>
                <w:sz w:val="16"/>
              </w:rPr>
              <w:t>Electricity price</w:t>
            </w:r>
          </w:p>
        </w:tc>
        <w:tc>
          <w:tcPr>
            <w:tcW w:w="5300" w:type="dxa"/>
          </w:tcPr>
          <w:p>
            <w:pPr>
              <w:spacing w:before="10" w:after="10"/>
            </w:pPr>
            <w:r/>
            <w:r>
              <w:rPr>
                <w:sz w:val="16"/>
              </w:rPr>
              <w:t>$0.038/kWh (+2%/yr real)</w:t>
            </w:r>
          </w:p>
        </w:tc>
      </w:tr>
      <w:tr>
        <w:tc>
          <w:tcPr>
            <w:tcW w:w="3500" w:type="dxa"/>
          </w:tcPr>
          <w:p>
            <w:pPr>
              <w:spacing w:before="10" w:after="10"/>
            </w:pPr>
            <w:r/>
            <w:r>
              <w:rPr>
                <w:sz w:val="16"/>
              </w:rPr>
              <w:t>Revenue price</w:t>
            </w:r>
          </w:p>
        </w:tc>
        <w:tc>
          <w:tcPr>
            <w:tcW w:w="5300" w:type="dxa"/>
          </w:tcPr>
          <w:p>
            <w:pPr>
              <w:spacing w:before="10" w:after="10"/>
            </w:pPr>
            <w:r/>
            <w:r>
              <w:rPr>
                <w:sz w:val="16"/>
              </w:rPr>
              <w:t>$2.00/GPU-hr (wholesale)</w:t>
            </w:r>
          </w:p>
        </w:tc>
      </w:tr>
      <w:tr>
        <w:tc>
          <w:tcPr>
            <w:tcW w:w="3500" w:type="dxa"/>
          </w:tcPr>
          <w:p>
            <w:pPr>
              <w:spacing w:before="10" w:after="10"/>
            </w:pPr>
            <w:r/>
            <w:r>
              <w:rPr>
                <w:sz w:val="16"/>
              </w:rPr>
              <w:t>Utilization</w:t>
            </w:r>
          </w:p>
        </w:tc>
        <w:tc>
          <w:tcPr>
            <w:tcW w:w="5300" w:type="dxa"/>
          </w:tcPr>
          <w:p>
            <w:pPr>
              <w:spacing w:before="10" w:after="10"/>
            </w:pPr>
            <w:r/>
            <w:r>
              <w:rPr>
                <w:sz w:val="16"/>
              </w:rPr>
              <w:t>70% steady-state (40% yr 1, 60% yr 2)</w:t>
            </w:r>
          </w:p>
        </w:tc>
      </w:tr>
      <w:tr>
        <w:tc>
          <w:tcPr>
            <w:tcBorders>
              <w:bottom w:val="double" w:sz="4" w:space="0" w:color="auto"/>
            </w:tcBorders>
            <w:tcW w:w="3500" w:type="dxa"/>
          </w:tcPr>
          <w:p>
            <w:pPr>
              <w:spacing w:before="10" w:after="10"/>
            </w:pPr>
            <w:r/>
            <w:r>
              <w:rPr>
                <w:sz w:val="16"/>
              </w:rPr>
              <w:t>WACC</w:t>
            </w:r>
          </w:p>
        </w:tc>
        <w:tc>
          <w:tcPr>
            <w:tcBorders>
              <w:bottom w:val="double" w:sz="4" w:space="0" w:color="auto"/>
            </w:tcBorders>
            <w:tcW w:w="5300" w:type="dxa"/>
          </w:tcPr>
          <w:p>
            <w:pPr>
              <w:spacing w:before="10" w:after="10"/>
            </w:pPr>
            <w:r/>
            <w:r>
              <w:rPr>
                <w:sz w:val="16"/>
              </w:rPr>
              <w:t>12.6%</w:t>
            </w:r>
          </w:p>
        </w:tc>
      </w:tr>
    </w:tbl>
    <w:p>
      <w:pPr>
        <w:spacing w:before="0" w:after="80" w:line="240" w:lineRule="auto"/>
        <w:ind w:firstLine="0"/>
        <w:jc w:val="left"/>
      </w:pPr>
      <w:r>
        <w:rPr>
          <w:sz w:val="20"/>
        </w:rPr>
        <w:t>Notes: WACC = 60% × 15% (cost of equity) + 40% × 10% × (1 − 10%) (after-tax debt) = 12.6%. Cost of equity includes a 4% country risk premium and 6% emerging-market equity premium over the 5% risk-free rate.</w:t>
      </w:r>
    </w:p>
    <w:p>
      <w:pPr>
        <w:spacing w:before="0" w:after="0"/>
      </w:pPr>
      <w:r>
        <w:br w:type="page"/>
      </w:r>
    </w:p>
    <w:p>
      <w:pPr>
        <w:spacing w:before="0" w:after="60"/>
        <w:ind w:firstLine="0"/>
        <w:jc w:val="both"/>
      </w:pPr>
      <w:bookmarkStart w:id="146" w:name="TableA5"/>
      <w:hyperlink w:anchor="TableA5txt" w:history="1">
        <w:r>
          <w:rPr>
            <w:b/>
            <w:sz w:val="20"/>
            <w:color w:val="1F3864"/>
            <w:u w:val="single"/>
          </w:rPr>
          <w:t>Table A5</w:t>
        </w:r>
      </w:hyperlink>
      <w:bookmarkEnd w:id="146"/>
      <w:r>
        <w:rPr>
          <w:b/>
          <w:sz w:val="20"/>
        </w:rPr>
        <w:t>. Year-by-year cash flow ($ millions)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700" w:type="dxa"/>
          </w:tcPr>
          <w:p>
            <w:pPr>
              <w:jc w:val="center"/>
              <w:spacing w:before="10" w:after="10"/>
            </w:pPr>
            <w:r/>
            <w:r>
              <w:rPr>
                <w:b/>
                <w:sz w:val="16"/>
              </w:rPr>
              <w:t>Year</w:t>
            </w:r>
          </w:p>
        </w:tc>
        <w:tc>
          <w:tcPr>
            <w:tcBorders>
              <w:top w:val="single" w:sz="4" w:space="0" w:color="auto"/>
              <w:bottom w:val="single" w:sz="4" w:space="0" w:color="auto"/>
            </w:tcBorders>
            <w:tcW w:w="1400" w:type="dxa"/>
          </w:tcPr>
          <w:p>
            <w:pPr>
              <w:jc w:val="center"/>
              <w:spacing w:before="10" w:after="10"/>
            </w:pPr>
            <w:r/>
            <w:r>
              <w:rPr>
                <w:b/>
                <w:sz w:val="16"/>
              </w:rPr>
              <w:t>CAPEX</w:t>
            </w:r>
          </w:p>
        </w:tc>
        <w:tc>
          <w:tcPr>
            <w:tcBorders>
              <w:top w:val="single" w:sz="4" w:space="0" w:color="auto"/>
              <w:bottom w:val="single" w:sz="4" w:space="0" w:color="auto"/>
            </w:tcBorders>
            <w:tcW w:w="1400" w:type="dxa"/>
          </w:tcPr>
          <w:p>
            <w:pPr>
              <w:jc w:val="center"/>
              <w:spacing w:before="10" w:after="10"/>
            </w:pPr>
            <w:r/>
            <w:r>
              <w:rPr>
                <w:b/>
                <w:sz w:val="16"/>
              </w:rPr>
              <w:t>Revenue</w:t>
            </w:r>
          </w:p>
        </w:tc>
        <w:tc>
          <w:tcPr>
            <w:tcBorders>
              <w:top w:val="single" w:sz="4" w:space="0" w:color="auto"/>
              <w:bottom w:val="single" w:sz="4" w:space="0" w:color="auto"/>
            </w:tcBorders>
            <w:tcW w:w="1400" w:type="dxa"/>
          </w:tcPr>
          <w:p>
            <w:pPr>
              <w:jc w:val="center"/>
              <w:spacing w:before="10" w:after="10"/>
            </w:pPr>
            <w:r/>
            <w:r>
              <w:rPr>
                <w:b/>
                <w:sz w:val="16"/>
              </w:rPr>
              <w:t>OPEX</w:t>
            </w:r>
          </w:p>
        </w:tc>
        <w:tc>
          <w:tcPr>
            <w:tcBorders>
              <w:top w:val="single" w:sz="4" w:space="0" w:color="auto"/>
              <w:bottom w:val="single" w:sz="4" w:space="0" w:color="auto"/>
            </w:tcBorders>
            <w:tcW w:w="1400" w:type="dxa"/>
          </w:tcPr>
          <w:p>
            <w:pPr>
              <w:jc w:val="center"/>
              <w:spacing w:before="10" w:after="10"/>
            </w:pPr>
            <w:r/>
            <w:r>
              <w:rPr>
                <w:b/>
                <w:sz w:val="16"/>
              </w:rPr>
              <w:t>EBITDA</w:t>
            </w:r>
          </w:p>
        </w:tc>
        <w:tc>
          <w:tcPr>
            <w:tcBorders>
              <w:top w:val="single" w:sz="4" w:space="0" w:color="auto"/>
              <w:bottom w:val="single" w:sz="4" w:space="0" w:color="auto"/>
            </w:tcBorders>
            <w:tcW w:w="1400" w:type="dxa"/>
          </w:tcPr>
          <w:p>
            <w:pPr>
              <w:jc w:val="center"/>
              <w:spacing w:before="10" w:after="10"/>
            </w:pPr>
            <w:r/>
            <w:r>
              <w:rPr>
                <w:b/>
                <w:sz w:val="16"/>
              </w:rPr>
              <w:t>FCF</w:t>
            </w:r>
          </w:p>
        </w:tc>
        <w:tc>
          <w:tcPr>
            <w:tcBorders>
              <w:top w:val="single" w:sz="4" w:space="0" w:color="auto"/>
              <w:bottom w:val="single" w:sz="4" w:space="0" w:color="auto"/>
            </w:tcBorders>
            <w:tcW w:w="1100" w:type="dxa"/>
          </w:tcPr>
          <w:p>
            <w:pPr>
              <w:jc w:val="center"/>
              <w:spacing w:before="10" w:after="10"/>
            </w:pPr>
            <w:r/>
            <w:r>
              <w:rPr>
                <w:b/>
                <w:sz w:val="16"/>
              </w:rPr>
              <w:t>Cum. CF</w:t>
            </w:r>
          </w:p>
        </w:tc>
      </w:tr>
      <w:tr>
        <w:tc>
          <w:tcPr>
            <w:tcW w:w="700" w:type="dxa"/>
          </w:tcPr>
          <w:p>
            <w:pPr>
              <w:spacing w:before="10" w:after="10"/>
            </w:pPr>
            <w:r/>
            <w:r>
              <w:rPr>
                <w:sz w:val="16"/>
              </w:rPr>
              <w:t>0</w:t>
            </w:r>
          </w:p>
        </w:tc>
        <w:tc>
          <w:tcPr>
            <w:tcW w:w="1400" w:type="dxa"/>
          </w:tcPr>
          <w:p>
            <w:pPr>
              <w:spacing w:before="10" w:after="10"/>
            </w:pPr>
            <w:r/>
            <w:r>
              <w:rPr>
                <w:sz w:val="16"/>
              </w:rPr>
              <w:t>313.2</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-313.2</w:t>
            </w:r>
          </w:p>
        </w:tc>
        <w:tc>
          <w:tcPr>
            <w:tcW w:w="1100" w:type="dxa"/>
          </w:tcPr>
          <w:p>
            <w:pPr>
              <w:jc w:val="right"/>
              <w:spacing w:before="10" w:after="10"/>
            </w:pPr>
            <w:r/>
            <w:r>
              <w:rPr>
                <w:sz w:val="16"/>
              </w:rPr>
              <w:t>-313.2</w:t>
            </w:r>
          </w:p>
        </w:tc>
      </w:tr>
      <w:tr>
        <w:tc>
          <w:tcPr>
            <w:tcW w:w="700" w:type="dxa"/>
          </w:tcPr>
          <w:p>
            <w:pPr>
              <w:spacing w:before="10" w:after="10"/>
            </w:pPr>
            <w:r/>
            <w:r>
              <w:rPr>
                <w:sz w:val="16"/>
              </w:rPr>
              <w:t>1</w:t>
            </w:r>
          </w:p>
        </w:tc>
        <w:tc>
          <w:tcPr>
            <w:tcW w:w="1400" w:type="dxa"/>
          </w:tcPr>
          <w:p>
            <w:pPr>
              <w:spacing w:before="10" w:after="10"/>
            </w:pPr>
            <w:r/>
            <w:r>
              <w:rPr>
                <w:sz w:val="16"/>
              </w:rPr>
              <w:t>1542.8</w:t>
            </w:r>
          </w:p>
        </w:tc>
        <w:tc>
          <w:tcPr>
            <w:tcW w:w="1400" w:type="dxa"/>
          </w:tcPr>
          <w:p>
            <w:pPr>
              <w:jc w:val="right"/>
              <w:spacing w:before="10" w:after="10"/>
            </w:pPr>
            <w:r/>
            <w:r>
              <w:rPr>
                <w:sz w:val="16"/>
              </w:rPr>
              <w:t>400.7</w:t>
            </w:r>
          </w:p>
        </w:tc>
        <w:tc>
          <w:tcPr>
            <w:tcW w:w="1400" w:type="dxa"/>
          </w:tcPr>
          <w:p>
            <w:pPr>
              <w:jc w:val="right"/>
              <w:spacing w:before="10" w:after="10"/>
            </w:pPr>
            <w:r/>
            <w:r>
              <w:rPr>
                <w:sz w:val="16"/>
              </w:rPr>
              <w:t>32.4</w:t>
            </w:r>
          </w:p>
        </w:tc>
        <w:tc>
          <w:tcPr>
            <w:tcW w:w="1400" w:type="dxa"/>
          </w:tcPr>
          <w:p>
            <w:pPr>
              <w:jc w:val="right"/>
              <w:spacing w:before="10" w:after="10"/>
            </w:pPr>
            <w:r/>
            <w:r>
              <w:rPr>
                <w:sz w:val="16"/>
              </w:rPr>
              <w:t>368.4</w:t>
            </w:r>
          </w:p>
        </w:tc>
        <w:tc>
          <w:tcPr>
            <w:tcW w:w="1400" w:type="dxa"/>
          </w:tcPr>
          <w:p>
            <w:pPr>
              <w:jc w:val="right"/>
              <w:spacing w:before="10" w:after="10"/>
            </w:pPr>
            <w:r/>
            <w:r>
              <w:rPr>
                <w:sz w:val="16"/>
              </w:rPr>
              <w:t>-1174.5</w:t>
            </w:r>
          </w:p>
        </w:tc>
        <w:tc>
          <w:tcPr>
            <w:tcW w:w="1100" w:type="dxa"/>
          </w:tcPr>
          <w:p>
            <w:pPr>
              <w:jc w:val="right"/>
              <w:spacing w:before="10" w:after="10"/>
            </w:pPr>
            <w:r/>
            <w:r>
              <w:rPr>
                <w:sz w:val="16"/>
              </w:rPr>
              <w:t>-1487.7</w:t>
            </w:r>
          </w:p>
        </w:tc>
      </w:tr>
      <w:tr>
        <w:tc>
          <w:tcPr>
            <w:tcW w:w="700" w:type="dxa"/>
          </w:tcPr>
          <w:p>
            <w:pPr>
              <w:spacing w:before="10" w:after="10"/>
            </w:pPr>
            <w:r/>
            <w:r>
              <w:rPr>
                <w:sz w:val="16"/>
              </w:rPr>
              <w:t>2</w:t>
            </w:r>
          </w:p>
        </w:tc>
        <w:tc>
          <w:tcPr>
            <w:tcW w:w="1400" w:type="dxa"/>
          </w:tcPr>
          <w:p>
            <w:pPr>
              <w:spacing w:before="10" w:after="10"/>
            </w:pPr>
            <w:r/>
            <w:r>
              <w:rPr>
                <w:sz w:val="16"/>
              </w:rPr>
              <w:t>0.0</w:t>
            </w:r>
          </w:p>
        </w:tc>
        <w:tc>
          <w:tcPr>
            <w:tcW w:w="1400" w:type="dxa"/>
          </w:tcPr>
          <w:p>
            <w:pPr>
              <w:jc w:val="right"/>
              <w:spacing w:before="10" w:after="10"/>
            </w:pPr>
            <w:r/>
            <w:r>
              <w:rPr>
                <w:sz w:val="16"/>
              </w:rPr>
              <w:t>601.1</w:t>
            </w:r>
          </w:p>
        </w:tc>
        <w:tc>
          <w:tcPr>
            <w:tcW w:w="1400" w:type="dxa"/>
          </w:tcPr>
          <w:p>
            <w:pPr>
              <w:jc w:val="right"/>
              <w:spacing w:before="10" w:after="10"/>
            </w:pPr>
            <w:r/>
            <w:r>
              <w:rPr>
                <w:sz w:val="16"/>
              </w:rPr>
              <w:t>30.3</w:t>
            </w:r>
          </w:p>
        </w:tc>
        <w:tc>
          <w:tcPr>
            <w:tcW w:w="1400" w:type="dxa"/>
          </w:tcPr>
          <w:p>
            <w:pPr>
              <w:jc w:val="right"/>
              <w:spacing w:before="10" w:after="10"/>
            </w:pPr>
            <w:r/>
            <w:r>
              <w:rPr>
                <w:sz w:val="16"/>
              </w:rPr>
              <w:t>570.8</w:t>
            </w:r>
          </w:p>
        </w:tc>
        <w:tc>
          <w:tcPr>
            <w:tcW w:w="1400" w:type="dxa"/>
          </w:tcPr>
          <w:p>
            <w:pPr>
              <w:jc w:val="right"/>
              <w:spacing w:before="10" w:after="10"/>
            </w:pPr>
            <w:r/>
            <w:r>
              <w:rPr>
                <w:sz w:val="16"/>
              </w:rPr>
              <w:t>563.4</w:t>
            </w:r>
          </w:p>
        </w:tc>
        <w:tc>
          <w:tcPr>
            <w:tcW w:w="1100" w:type="dxa"/>
          </w:tcPr>
          <w:p>
            <w:pPr>
              <w:jc w:val="right"/>
              <w:spacing w:before="10" w:after="10"/>
            </w:pPr>
            <w:r/>
            <w:r>
              <w:rPr>
                <w:sz w:val="16"/>
              </w:rPr>
              <w:t>-924.2</w:t>
            </w:r>
          </w:p>
        </w:tc>
      </w:tr>
      <w:tr>
        <w:tc>
          <w:tcPr>
            <w:tcW w:w="700" w:type="dxa"/>
          </w:tcPr>
          <w:p>
            <w:pPr>
              <w:spacing w:before="10" w:after="10"/>
            </w:pPr>
            <w:r/>
            <w:r>
              <w:rPr>
                <w:sz w:val="16"/>
              </w:rPr>
              <w:t>3</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28.2</w:t>
            </w:r>
          </w:p>
        </w:tc>
        <w:tc>
          <w:tcPr>
            <w:tcW w:w="1400" w:type="dxa"/>
          </w:tcPr>
          <w:p>
            <w:pPr>
              <w:jc w:val="right"/>
              <w:spacing w:before="10" w:after="10"/>
            </w:pPr>
            <w:r/>
            <w:r>
              <w:rPr>
                <w:sz w:val="16"/>
              </w:rPr>
              <w:t>673.1</w:t>
            </w:r>
          </w:p>
        </w:tc>
        <w:tc>
          <w:tcPr>
            <w:tcW w:w="1400" w:type="dxa"/>
          </w:tcPr>
          <w:p>
            <w:pPr>
              <w:jc w:val="right"/>
              <w:spacing w:before="10" w:after="10"/>
            </w:pPr>
            <w:r/>
            <w:r>
              <w:rPr>
                <w:sz w:val="16"/>
              </w:rPr>
              <w:t>655.5</w:t>
            </w:r>
          </w:p>
        </w:tc>
        <w:tc>
          <w:tcPr>
            <w:tcW w:w="1100" w:type="dxa"/>
          </w:tcPr>
          <w:p>
            <w:pPr>
              <w:jc w:val="right"/>
              <w:spacing w:before="10" w:after="10"/>
            </w:pPr>
            <w:r/>
            <w:r>
              <w:rPr>
                <w:sz w:val="16"/>
              </w:rPr>
              <w:t>-268.8</w:t>
            </w:r>
          </w:p>
        </w:tc>
      </w:tr>
      <w:tr>
        <w:tc>
          <w:tcPr>
            <w:tcW w:w="700" w:type="dxa"/>
          </w:tcPr>
          <w:p>
            <w:pPr>
              <w:spacing w:before="10" w:after="10"/>
            </w:pPr>
            <w:r/>
            <w:r>
              <w:rPr>
                <w:sz w:val="16"/>
              </w:rPr>
              <w:t>4</w:t>
            </w:r>
          </w:p>
        </w:tc>
        <w:tc>
          <w:tcPr>
            <w:tcW w:w="1400" w:type="dxa"/>
          </w:tcPr>
          <w:p>
            <w:pPr>
              <w:spacing w:before="10" w:after="10"/>
            </w:pPr>
            <w:r/>
            <w:r>
              <w:rPr>
                <w:sz w:val="16"/>
              </w:rPr>
              <w:t>1285.7</w:t>
            </w:r>
          </w:p>
        </w:tc>
        <w:tc>
          <w:tcPr>
            <w:tcW w:w="1400" w:type="dxa"/>
          </w:tcPr>
          <w:p>
            <w:pPr>
              <w:jc w:val="right"/>
              <w:spacing w:before="10" w:after="10"/>
            </w:pPr>
            <w:r/>
            <w:r>
              <w:rPr>
                <w:sz w:val="16"/>
              </w:rPr>
              <w:t>701.3</w:t>
            </w:r>
          </w:p>
        </w:tc>
        <w:tc>
          <w:tcPr>
            <w:tcW w:w="1400" w:type="dxa"/>
          </w:tcPr>
          <w:p>
            <w:pPr>
              <w:jc w:val="right"/>
              <w:spacing w:before="10" w:after="10"/>
            </w:pPr>
            <w:r/>
            <w:r>
              <w:rPr>
                <w:sz w:val="16"/>
              </w:rPr>
              <w:t>32.6</w:t>
            </w:r>
          </w:p>
        </w:tc>
        <w:tc>
          <w:tcPr>
            <w:tcW w:w="1400" w:type="dxa"/>
          </w:tcPr>
          <w:p>
            <w:pPr>
              <w:jc w:val="right"/>
              <w:spacing w:before="10" w:after="10"/>
            </w:pPr>
            <w:r/>
            <w:r>
              <w:rPr>
                <w:sz w:val="16"/>
              </w:rPr>
              <w:t>668.7</w:t>
            </w:r>
          </w:p>
        </w:tc>
        <w:tc>
          <w:tcPr>
            <w:tcW w:w="1400" w:type="dxa"/>
          </w:tcPr>
          <w:p>
            <w:pPr>
              <w:jc w:val="right"/>
              <w:spacing w:before="10" w:after="10"/>
            </w:pPr>
            <w:r/>
            <w:r>
              <w:rPr>
                <w:sz w:val="16"/>
              </w:rPr>
              <w:t>-638.9</w:t>
            </w:r>
          </w:p>
        </w:tc>
        <w:tc>
          <w:tcPr>
            <w:tcW w:w="1100" w:type="dxa"/>
          </w:tcPr>
          <w:p>
            <w:pPr>
              <w:jc w:val="right"/>
              <w:spacing w:before="10" w:after="10"/>
            </w:pPr>
            <w:r/>
            <w:r>
              <w:rPr>
                <w:sz w:val="16"/>
              </w:rPr>
              <w:t>-907.7</w:t>
            </w:r>
          </w:p>
        </w:tc>
      </w:tr>
      <w:tr>
        <w:tc>
          <w:tcPr>
            <w:tcW w:w="700" w:type="dxa"/>
          </w:tcPr>
          <w:p>
            <w:pPr>
              <w:spacing w:before="10" w:after="10"/>
            </w:pPr>
            <w:r/>
            <w:r>
              <w:rPr>
                <w:sz w:val="16"/>
              </w:rPr>
              <w:t>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30.8</w:t>
            </w:r>
          </w:p>
        </w:tc>
        <w:tc>
          <w:tcPr>
            <w:tcW w:w="1400" w:type="dxa"/>
          </w:tcPr>
          <w:p>
            <w:pPr>
              <w:jc w:val="right"/>
              <w:spacing w:before="10" w:after="10"/>
            </w:pPr>
            <w:r/>
            <w:r>
              <w:rPr>
                <w:sz w:val="16"/>
              </w:rPr>
              <w:t>670.5</w:t>
            </w:r>
          </w:p>
        </w:tc>
        <w:tc>
          <w:tcPr>
            <w:tcW w:w="1400" w:type="dxa"/>
          </w:tcPr>
          <w:p>
            <w:pPr>
              <w:jc w:val="right"/>
              <w:spacing w:before="10" w:after="10"/>
            </w:pPr>
            <w:r/>
            <w:r>
              <w:rPr>
                <w:sz w:val="16"/>
              </w:rPr>
              <w:t>648.4</w:t>
            </w:r>
          </w:p>
        </w:tc>
        <w:tc>
          <w:tcPr>
            <w:tcW w:w="1100" w:type="dxa"/>
          </w:tcPr>
          <w:p>
            <w:pPr>
              <w:jc w:val="right"/>
              <w:spacing w:before="10" w:after="10"/>
            </w:pPr>
            <w:r/>
            <w:r>
              <w:rPr>
                <w:sz w:val="16"/>
              </w:rPr>
              <w:t>-259.3</w:t>
            </w:r>
          </w:p>
        </w:tc>
      </w:tr>
      <w:tr>
        <w:tc>
          <w:tcPr>
            <w:tcW w:w="700" w:type="dxa"/>
          </w:tcPr>
          <w:p>
            <w:pPr>
              <w:spacing w:before="10" w:after="10"/>
            </w:pPr>
            <w:r/>
            <w:r>
              <w:rPr>
                <w:sz w:val="16"/>
              </w:rPr>
              <w:t>6</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29.0</w:t>
            </w:r>
          </w:p>
        </w:tc>
        <w:tc>
          <w:tcPr>
            <w:tcW w:w="1400" w:type="dxa"/>
          </w:tcPr>
          <w:p>
            <w:pPr>
              <w:jc w:val="right"/>
              <w:spacing w:before="10" w:after="10"/>
            </w:pPr>
            <w:r/>
            <w:r>
              <w:rPr>
                <w:sz w:val="16"/>
              </w:rPr>
              <w:t>672.3</w:t>
            </w:r>
          </w:p>
        </w:tc>
        <w:tc>
          <w:tcPr>
            <w:tcW w:w="1400" w:type="dxa"/>
          </w:tcPr>
          <w:p>
            <w:pPr>
              <w:jc w:val="right"/>
              <w:spacing w:before="10" w:after="10"/>
            </w:pPr>
            <w:r/>
            <w:r>
              <w:rPr>
                <w:sz w:val="16"/>
              </w:rPr>
              <w:t>535.7</w:t>
            </w:r>
          </w:p>
        </w:tc>
        <w:tc>
          <w:tcPr>
            <w:tcW w:w="1100" w:type="dxa"/>
          </w:tcPr>
          <w:p>
            <w:pPr>
              <w:jc w:val="right"/>
              <w:spacing w:before="10" w:after="10"/>
            </w:pPr>
            <w:r/>
            <w:r>
              <w:rPr>
                <w:sz w:val="16"/>
              </w:rPr>
              <w:t>276.4</w:t>
            </w:r>
          </w:p>
        </w:tc>
      </w:tr>
      <w:tr>
        <w:tc>
          <w:tcPr>
            <w:tcW w:w="700" w:type="dxa"/>
          </w:tcPr>
          <w:p>
            <w:pPr>
              <w:spacing w:before="10" w:after="10"/>
            </w:pPr>
            <w:r/>
            <w:r>
              <w:rPr>
                <w:sz w:val="16"/>
              </w:rPr>
              <w:t>7</w:t>
            </w:r>
          </w:p>
        </w:tc>
        <w:tc>
          <w:tcPr>
            <w:tcW w:w="1400" w:type="dxa"/>
          </w:tcPr>
          <w:p>
            <w:pPr>
              <w:spacing w:before="10" w:after="10"/>
            </w:pPr>
            <w:r/>
            <w:r>
              <w:rPr>
                <w:sz w:val="16"/>
              </w:rPr>
              <w:t>1157.1</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668.3</w:t>
            </w:r>
          </w:p>
        </w:tc>
        <w:tc>
          <w:tcPr>
            <w:tcW w:w="1400" w:type="dxa"/>
          </w:tcPr>
          <w:p>
            <w:pPr>
              <w:jc w:val="right"/>
              <w:spacing w:before="10" w:after="10"/>
            </w:pPr>
            <w:r/>
            <w:r>
              <w:rPr>
                <w:sz w:val="16"/>
              </w:rPr>
              <w:t>-515.0</w:t>
            </w:r>
          </w:p>
        </w:tc>
        <w:tc>
          <w:tcPr>
            <w:tcW w:w="1100" w:type="dxa"/>
          </w:tcPr>
          <w:p>
            <w:pPr>
              <w:jc w:val="right"/>
              <w:spacing w:before="10" w:after="10"/>
            </w:pPr>
            <w:r/>
            <w:r>
              <w:rPr>
                <w:sz w:val="16"/>
              </w:rPr>
              <w:t>-238.6</w:t>
            </w:r>
          </w:p>
        </w:tc>
      </w:tr>
      <w:tr>
        <w:tc>
          <w:tcPr>
            <w:tcW w:w="700" w:type="dxa"/>
          </w:tcPr>
          <w:p>
            <w:pPr>
              <w:spacing w:before="10" w:after="10"/>
            </w:pPr>
            <w:r/>
            <w:r>
              <w:rPr>
                <w:sz w:val="16"/>
              </w:rPr>
              <w:t>8</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31.4</w:t>
            </w:r>
          </w:p>
        </w:tc>
        <w:tc>
          <w:tcPr>
            <w:tcW w:w="1400" w:type="dxa"/>
          </w:tcPr>
          <w:p>
            <w:pPr>
              <w:jc w:val="right"/>
              <w:spacing w:before="10" w:after="10"/>
            </w:pPr>
            <w:r/>
            <w:r>
              <w:rPr>
                <w:sz w:val="16"/>
              </w:rPr>
              <w:t>669.9</w:t>
            </w:r>
          </w:p>
        </w:tc>
        <w:tc>
          <w:tcPr>
            <w:tcW w:w="1400" w:type="dxa"/>
          </w:tcPr>
          <w:p>
            <w:pPr>
              <w:jc w:val="right"/>
              <w:spacing w:before="10" w:after="10"/>
            </w:pPr>
            <w:r/>
            <w:r>
              <w:rPr>
                <w:sz w:val="16"/>
              </w:rPr>
              <w:t>643.6</w:t>
            </w:r>
          </w:p>
        </w:tc>
        <w:tc>
          <w:tcPr>
            <w:tcW w:w="1100" w:type="dxa"/>
          </w:tcPr>
          <w:p>
            <w:pPr>
              <w:jc w:val="right"/>
              <w:spacing w:before="10" w:after="10"/>
            </w:pPr>
            <w:r/>
            <w:r>
              <w:rPr>
                <w:sz w:val="16"/>
              </w:rPr>
              <w:t>405.0</w:t>
            </w:r>
          </w:p>
        </w:tc>
      </w:tr>
      <w:tr>
        <w:tc>
          <w:tcPr>
            <w:tcW w:w="700" w:type="dxa"/>
          </w:tcPr>
          <w:p>
            <w:pPr>
              <w:spacing w:before="10" w:after="10"/>
            </w:pPr>
            <w:r/>
            <w:r>
              <w:rPr>
                <w:sz w:val="16"/>
              </w:rPr>
              <w:t>9</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29.8</w:t>
            </w:r>
          </w:p>
        </w:tc>
        <w:tc>
          <w:tcPr>
            <w:tcW w:w="1400" w:type="dxa"/>
          </w:tcPr>
          <w:p>
            <w:pPr>
              <w:jc w:val="right"/>
              <w:spacing w:before="10" w:after="10"/>
            </w:pPr>
            <w:r/>
            <w:r>
              <w:rPr>
                <w:sz w:val="16"/>
              </w:rPr>
              <w:t>671.5</w:t>
            </w:r>
          </w:p>
        </w:tc>
        <w:tc>
          <w:tcPr>
            <w:tcW w:w="1400" w:type="dxa"/>
          </w:tcPr>
          <w:p>
            <w:pPr>
              <w:jc w:val="right"/>
              <w:spacing w:before="10" w:after="10"/>
            </w:pPr>
            <w:r/>
            <w:r>
              <w:rPr>
                <w:sz w:val="16"/>
              </w:rPr>
              <w:t>645.0</w:t>
            </w:r>
          </w:p>
        </w:tc>
        <w:tc>
          <w:tcPr>
            <w:tcW w:w="1100" w:type="dxa"/>
          </w:tcPr>
          <w:p>
            <w:pPr>
              <w:jc w:val="right"/>
              <w:spacing w:before="10" w:after="10"/>
            </w:pPr>
            <w:r/>
            <w:r>
              <w:rPr>
                <w:sz w:val="16"/>
              </w:rPr>
              <w:t>1050.0</w:t>
            </w:r>
          </w:p>
        </w:tc>
      </w:tr>
      <w:tr>
        <w:tc>
          <w:tcPr>
            <w:tcW w:w="700" w:type="dxa"/>
          </w:tcPr>
          <w:p>
            <w:pPr>
              <w:spacing w:before="10" w:after="10"/>
            </w:pPr>
            <w:r/>
            <w:r>
              <w:rPr>
                <w:sz w:val="16"/>
              </w:rPr>
              <w:t>10</w:t>
            </w:r>
          </w:p>
        </w:tc>
        <w:tc>
          <w:tcPr>
            <w:tcW w:w="1400" w:type="dxa"/>
          </w:tcPr>
          <w:p>
            <w:pPr>
              <w:spacing w:before="10" w:after="10"/>
            </w:pPr>
            <w:r/>
            <w:r>
              <w:rPr>
                <w:sz w:val="16"/>
              </w:rPr>
              <w:t>1041.4</w:t>
            </w:r>
          </w:p>
        </w:tc>
        <w:tc>
          <w:tcPr>
            <w:tcW w:w="1400" w:type="dxa"/>
          </w:tcPr>
          <w:p>
            <w:pPr>
              <w:jc w:val="right"/>
              <w:spacing w:before="10" w:after="10"/>
            </w:pPr>
            <w:r/>
            <w:r>
              <w:rPr>
                <w:sz w:val="16"/>
              </w:rPr>
              <w:t>701.3</w:t>
            </w:r>
          </w:p>
        </w:tc>
        <w:tc>
          <w:tcPr>
            <w:tcW w:w="1400" w:type="dxa"/>
          </w:tcPr>
          <w:p>
            <w:pPr>
              <w:jc w:val="right"/>
              <w:spacing w:before="10" w:after="10"/>
            </w:pPr>
            <w:r/>
            <w:r>
              <w:rPr>
                <w:sz w:val="16"/>
              </w:rPr>
              <w:t>33.4</w:t>
            </w:r>
          </w:p>
        </w:tc>
        <w:tc>
          <w:tcPr>
            <w:tcW w:w="1400" w:type="dxa"/>
          </w:tcPr>
          <w:p>
            <w:pPr>
              <w:jc w:val="right"/>
              <w:spacing w:before="10" w:after="10"/>
            </w:pPr>
            <w:r/>
            <w:r>
              <w:rPr>
                <w:sz w:val="16"/>
              </w:rPr>
              <w:t>667.9</w:t>
            </w:r>
          </w:p>
        </w:tc>
        <w:tc>
          <w:tcPr>
            <w:tcW w:w="1400" w:type="dxa"/>
          </w:tcPr>
          <w:p>
            <w:pPr>
              <w:jc w:val="right"/>
              <w:spacing w:before="10" w:after="10"/>
            </w:pPr>
            <w:r/>
            <w:r>
              <w:rPr>
                <w:sz w:val="16"/>
              </w:rPr>
              <w:t>-403.5</w:t>
            </w:r>
          </w:p>
        </w:tc>
        <w:tc>
          <w:tcPr>
            <w:tcW w:w="1100" w:type="dxa"/>
          </w:tcPr>
          <w:p>
            <w:pPr>
              <w:jc w:val="right"/>
              <w:spacing w:before="10" w:after="10"/>
            </w:pPr>
            <w:r/>
            <w:r>
              <w:rPr>
                <w:sz w:val="16"/>
              </w:rPr>
              <w:t>646.5</w:t>
            </w:r>
          </w:p>
        </w:tc>
      </w:tr>
      <w:tr>
        <w:tc>
          <w:tcPr>
            <w:tcW w:w="700" w:type="dxa"/>
          </w:tcPr>
          <w:p>
            <w:pPr>
              <w:spacing w:before="10" w:after="10"/>
            </w:pPr>
            <w:r/>
            <w:r>
              <w:rPr>
                <w:sz w:val="16"/>
              </w:rPr>
              <w:t>11</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32.0</w:t>
            </w:r>
          </w:p>
        </w:tc>
        <w:tc>
          <w:tcPr>
            <w:tcW w:w="1400" w:type="dxa"/>
          </w:tcPr>
          <w:p>
            <w:pPr>
              <w:jc w:val="right"/>
              <w:spacing w:before="10" w:after="10"/>
            </w:pPr>
            <w:r/>
            <w:r>
              <w:rPr>
                <w:sz w:val="16"/>
              </w:rPr>
              <w:t>669.2</w:t>
            </w:r>
          </w:p>
        </w:tc>
        <w:tc>
          <w:tcPr>
            <w:tcW w:w="1400" w:type="dxa"/>
          </w:tcPr>
          <w:p>
            <w:pPr>
              <w:jc w:val="right"/>
              <w:spacing w:before="10" w:after="10"/>
            </w:pPr>
            <w:r/>
            <w:r>
              <w:rPr>
                <w:sz w:val="16"/>
              </w:rPr>
              <w:t>524.8</w:t>
            </w:r>
          </w:p>
        </w:tc>
        <w:tc>
          <w:tcPr>
            <w:tcW w:w="1100" w:type="dxa"/>
          </w:tcPr>
          <w:p>
            <w:pPr>
              <w:jc w:val="right"/>
              <w:spacing w:before="10" w:after="10"/>
            </w:pPr>
            <w:r/>
            <w:r>
              <w:rPr>
                <w:sz w:val="16"/>
              </w:rPr>
              <w:t>1171.3</w:t>
            </w:r>
          </w:p>
        </w:tc>
      </w:tr>
      <w:tr>
        <w:tc>
          <w:tcPr>
            <w:tcW w:w="700" w:type="dxa"/>
          </w:tcPr>
          <w:p>
            <w:pPr>
              <w:spacing w:before="10" w:after="10"/>
            </w:pPr>
            <w:r/>
            <w:r>
              <w:rPr>
                <w:sz w:val="16"/>
              </w:rPr>
              <w:t>12</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30.7</w:t>
            </w:r>
          </w:p>
        </w:tc>
        <w:tc>
          <w:tcPr>
            <w:tcW w:w="1400" w:type="dxa"/>
          </w:tcPr>
          <w:p>
            <w:pPr>
              <w:jc w:val="right"/>
              <w:spacing w:before="10" w:after="10"/>
            </w:pPr>
            <w:r/>
            <w:r>
              <w:rPr>
                <w:sz w:val="16"/>
              </w:rPr>
              <w:t>670.6</w:t>
            </w:r>
          </w:p>
        </w:tc>
        <w:tc>
          <w:tcPr>
            <w:tcW w:w="1400" w:type="dxa"/>
          </w:tcPr>
          <w:p>
            <w:pPr>
              <w:jc w:val="right"/>
              <w:spacing w:before="10" w:after="10"/>
            </w:pPr>
            <w:r/>
            <w:r>
              <w:rPr>
                <w:sz w:val="16"/>
              </w:rPr>
              <w:t>640.3</w:t>
            </w:r>
          </w:p>
        </w:tc>
        <w:tc>
          <w:tcPr>
            <w:tcW w:w="1100" w:type="dxa"/>
          </w:tcPr>
          <w:p>
            <w:pPr>
              <w:jc w:val="right"/>
              <w:spacing w:before="10" w:after="10"/>
            </w:pPr>
            <w:r/>
            <w:r>
              <w:rPr>
                <w:sz w:val="16"/>
              </w:rPr>
              <w:t>1811.6</w:t>
            </w:r>
          </w:p>
        </w:tc>
      </w:tr>
      <w:tr>
        <w:tc>
          <w:tcPr>
            <w:tcW w:w="700" w:type="dxa"/>
          </w:tcPr>
          <w:p>
            <w:pPr>
              <w:spacing w:before="10" w:after="10"/>
            </w:pPr>
            <w:r/>
            <w:r>
              <w:rPr>
                <w:sz w:val="16"/>
              </w:rPr>
              <w:t>13</w:t>
            </w:r>
          </w:p>
        </w:tc>
        <w:tc>
          <w:tcPr>
            <w:tcW w:w="1400" w:type="dxa"/>
          </w:tcPr>
          <w:p>
            <w:pPr>
              <w:spacing w:before="10" w:after="10"/>
            </w:pPr>
            <w:r/>
            <w:r>
              <w:rPr>
                <w:sz w:val="16"/>
              </w:rPr>
              <w:t>937.3</w:t>
            </w:r>
          </w:p>
        </w:tc>
        <w:tc>
          <w:tcPr>
            <w:tcW w:w="1400" w:type="dxa"/>
          </w:tcPr>
          <w:p>
            <w:pPr>
              <w:jc w:val="right"/>
              <w:spacing w:before="10" w:after="10"/>
            </w:pPr>
            <w:r/>
            <w:r>
              <w:rPr>
                <w:sz w:val="16"/>
              </w:rPr>
              <w:t>701.3</w:t>
            </w:r>
          </w:p>
        </w:tc>
        <w:tc>
          <w:tcPr>
            <w:tcW w:w="1400" w:type="dxa"/>
          </w:tcPr>
          <w:p>
            <w:pPr>
              <w:jc w:val="right"/>
              <w:spacing w:before="10" w:after="10"/>
            </w:pPr>
            <w:r/>
            <w:r>
              <w:rPr>
                <w:sz w:val="16"/>
              </w:rPr>
              <w:t>34.0</w:t>
            </w:r>
          </w:p>
        </w:tc>
        <w:tc>
          <w:tcPr>
            <w:tcW w:w="1400" w:type="dxa"/>
          </w:tcPr>
          <w:p>
            <w:pPr>
              <w:jc w:val="right"/>
              <w:spacing w:before="10" w:after="10"/>
            </w:pPr>
            <w:r/>
            <w:r>
              <w:rPr>
                <w:sz w:val="16"/>
              </w:rPr>
              <w:t>667.2</w:t>
            </w:r>
          </w:p>
        </w:tc>
        <w:tc>
          <w:tcPr>
            <w:tcW w:w="1400" w:type="dxa"/>
          </w:tcPr>
          <w:p>
            <w:pPr>
              <w:jc w:val="right"/>
              <w:spacing w:before="10" w:after="10"/>
            </w:pPr>
            <w:r/>
            <w:r>
              <w:rPr>
                <w:sz w:val="16"/>
              </w:rPr>
              <w:t>-303.4</w:t>
            </w:r>
          </w:p>
        </w:tc>
        <w:tc>
          <w:tcPr>
            <w:tcW w:w="1100" w:type="dxa"/>
          </w:tcPr>
          <w:p>
            <w:pPr>
              <w:jc w:val="right"/>
              <w:spacing w:before="10" w:after="10"/>
            </w:pPr>
            <w:r/>
            <w:r>
              <w:rPr>
                <w:sz w:val="16"/>
              </w:rPr>
              <w:t>1508.2</w:t>
            </w:r>
          </w:p>
        </w:tc>
      </w:tr>
      <w:tr>
        <w:tc>
          <w:tcPr>
            <w:tcW w:w="700" w:type="dxa"/>
          </w:tcPr>
          <w:p>
            <w:pPr>
              <w:spacing w:before="10" w:after="10"/>
            </w:pPr>
            <w:r/>
            <w:r>
              <w:rPr>
                <w:sz w:val="16"/>
              </w:rPr>
              <w:t>14</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668.4</w:t>
            </w:r>
          </w:p>
        </w:tc>
        <w:tc>
          <w:tcPr>
            <w:tcW w:w="1400" w:type="dxa"/>
          </w:tcPr>
          <w:p>
            <w:pPr>
              <w:jc w:val="right"/>
              <w:spacing w:before="10" w:after="10"/>
            </w:pPr>
            <w:r/>
            <w:r>
              <w:rPr>
                <w:sz w:val="16"/>
              </w:rPr>
              <w:t>634.9</w:t>
            </w:r>
          </w:p>
        </w:tc>
        <w:tc>
          <w:tcPr>
            <w:tcW w:w="1100" w:type="dxa"/>
          </w:tcPr>
          <w:p>
            <w:pPr>
              <w:jc w:val="right"/>
              <w:spacing w:before="10" w:after="10"/>
            </w:pPr>
            <w:r/>
            <w:r>
              <w:rPr>
                <w:sz w:val="16"/>
              </w:rPr>
              <w:t>2143.1</w:t>
            </w:r>
          </w:p>
        </w:tc>
      </w:tr>
      <w:tr>
        <w:tc>
          <w:tcPr>
            <w:tcW w:w="700" w:type="dxa"/>
          </w:tcPr>
          <w:p>
            <w:pPr>
              <w:spacing w:before="10" w:after="10"/>
            </w:pPr>
            <w:r/>
            <w:r>
              <w:rPr>
                <w:sz w:val="16"/>
              </w:rPr>
              <w:t>15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31.7</w:t>
            </w:r>
          </w:p>
        </w:tc>
        <w:tc>
          <w:tcPr>
            <w:tcW w:w="1400" w:type="dxa"/>
          </w:tcPr>
          <w:p>
            <w:pPr>
              <w:jc w:val="right"/>
              <w:spacing w:before="10" w:after="10"/>
            </w:pPr>
            <w:r/>
            <w:r>
              <w:rPr>
                <w:sz w:val="16"/>
              </w:rPr>
              <w:t>669.6</w:t>
            </w:r>
          </w:p>
        </w:tc>
        <w:tc>
          <w:tcPr>
            <w:tcW w:w="1400" w:type="dxa"/>
          </w:tcPr>
          <w:p>
            <w:pPr>
              <w:jc w:val="right"/>
              <w:spacing w:before="10" w:after="10"/>
            </w:pPr>
            <w:r/>
            <w:r>
              <w:rPr>
                <w:sz w:val="16"/>
              </w:rPr>
              <w:t>636.0</w:t>
            </w:r>
          </w:p>
        </w:tc>
        <w:tc>
          <w:tcPr>
            <w:tcW w:w="1100" w:type="dxa"/>
          </w:tcPr>
          <w:p>
            <w:pPr>
              <w:jc w:val="right"/>
              <w:spacing w:before="10" w:after="10"/>
            </w:pPr>
            <w:r/>
            <w:r>
              <w:rPr>
                <w:sz w:val="16"/>
              </w:rPr>
              <w:t>2779.1</w:t>
            </w:r>
          </w:p>
        </w:tc>
      </w:tr>
      <w:tr>
        <w:tc>
          <w:tcPr>
            <w:tcBorders>
              <w:bottom w:val="double" w:sz="4" w:space="0" w:color="auto"/>
            </w:tcBorders>
            <w:tcW w:w="700" w:type="dxa"/>
          </w:tcPr>
          <w:p>
            <w:pPr>
              <w:spacing w:before="10" w:after="10"/>
            </w:pPr>
            <w:r/>
            <w:r>
              <w:rPr>
                <w:sz w:val="16"/>
              </w:rPr>
              <w:t>Total</w:t>
            </w:r>
          </w:p>
        </w:tc>
        <w:tc>
          <w:tcPr>
            <w:tcBorders>
              <w:bottom w:val="double" w:sz="4" w:space="0" w:color="auto"/>
            </w:tcBorders>
            <w:tcW w:w="1400" w:type="dxa"/>
          </w:tcPr>
          <w:p>
            <w:pPr>
              <w:spacing w:before="10" w:after="10"/>
            </w:pPr>
            <w:r/>
            <w:r>
              <w:rPr>
                <w:sz w:val="16"/>
              </w:rPr>
              <w:t>6506.1</w:t>
            </w:r>
          </w:p>
        </w:tc>
        <w:tc>
          <w:tcPr>
            <w:tcBorders>
              <w:bottom w:val="double" w:sz="4" w:space="0" w:color="auto"/>
            </w:tcBorders>
            <w:tcW w:w="1400" w:type="dxa"/>
          </w:tcPr>
          <w:p>
            <w:pPr>
              <w:jc w:val="right"/>
              <w:spacing w:before="10" w:after="10"/>
            </w:pPr>
            <w:r/>
            <w:r>
              <w:rPr>
                <w:sz w:val="16"/>
              </w:rPr>
              <w:t>10118.3</w:t>
            </w:r>
          </w:p>
        </w:tc>
        <w:tc>
          <w:tcPr>
            <w:tcBorders>
              <w:bottom w:val="double" w:sz="4" w:space="0" w:color="auto"/>
            </w:tcBorders>
            <w:tcW w:w="1400" w:type="dxa"/>
          </w:tcPr>
          <w:p>
            <w:pPr>
              <w:jc w:val="right"/>
              <w:spacing w:before="10" w:after="10"/>
            </w:pPr>
            <w:r/>
            <w:r>
              <w:rPr>
                <w:sz w:val="16"/>
              </w:rPr>
              <w:t>472.0</w:t>
            </w:r>
          </w:p>
        </w:tc>
        <w:tc>
          <w:tcPr>
            <w:tcBorders>
              <w:bottom w:val="double" w:sz="4" w:space="0" w:color="auto"/>
            </w:tcBorders>
            <w:tcW w:w="1400" w:type="dxa"/>
          </w:tcPr>
          <w:p>
            <w:pPr>
              <w:jc w:val="right"/>
              <w:spacing w:before="10" w:after="10"/>
            </w:pPr>
            <w:r/>
            <w:r>
              <w:rPr>
                <w:sz w:val="16"/>
              </w:rPr>
              <w:t>9646.4</w:t>
            </w:r>
          </w:p>
        </w:tc>
        <w:tc>
          <w:tcPr>
            <w:tcBorders>
              <w:bottom w:val="double" w:sz="4" w:space="0" w:color="auto"/>
            </w:tcBorders>
            <w:tcW w:w="1400" w:type="dxa"/>
          </w:tcPr>
          <w:p>
            <w:pPr>
              <w:jc w:val="right"/>
              <w:spacing w:before="10" w:after="10"/>
            </w:pPr>
            <w:r/>
            <w:r>
              <w:rPr>
                <w:sz w:val="16"/>
              </w:rPr>
              <w:t>2779.1</w:t>
            </w:r>
          </w:p>
        </w:tc>
        <w:tc>
          <w:tcPr>
            <w:tcBorders>
              <w:bottom w:val="double" w:sz="4" w:space="0" w:color="auto"/>
            </w:tcBorders>
            <w:tcW w:w="1100" w:type="dxa"/>
          </w:tcPr>
          <w:p>
            <w:pPr>
              <w:jc w:val="right"/>
              <w:spacing w:before="10" w:after="10"/>
            </w:pPr>
            <w:r/>
            <w:r>
              <w:rPr>
                <w:sz w:val="16"/>
              </w:rPr>
            </w:r>
          </w:p>
        </w:tc>
      </w:tr>
    </w:tbl>
    <w:p>
      <w:pPr>
        <w:spacing w:before="0" w:after="80"/>
        <w:ind w:firstLine="0"/>
        <w:jc w:val="both"/>
      </w:pPr>
      <w:r>
        <w:t>The project yields an NPV of $353M at a 12.6% WACC, an IRR of 17.6%, and a simple payback in year 6. GPU hardware accounts for $5850M of the $6506M total CAPEX (90%), and electricity represents 53% of operating costs.</w:t>
      </w:r>
    </w:p>
    <w:p>
      <w:pPr>
        <w:spacing w:before="0" w:after="0"/>
      </w:pPr>
      <w:r>
        <w:br w:type="page"/>
      </w:r>
    </w:p>
    <w:p>
      <w:pPr>
        <w:spacing w:before="0" w:after="60"/>
        <w:ind w:firstLine="0"/>
        <w:jc w:val="both"/>
      </w:pPr>
      <w:bookmarkStart w:id="148" w:name="TableA6"/>
      <w:hyperlink w:anchor="TableA6txt" w:history="1">
        <w:r>
          <w:rPr>
            <w:b/>
            <w:sz w:val="20"/>
            <w:color w:val="1F3864"/>
            <w:u w:val="single"/>
          </w:rPr>
          <w:t>Table A6</w:t>
        </w:r>
      </w:hyperlink>
      <w:bookmarkEnd w:id="148"/>
      <w:r>
        <w:rPr>
          <w:b/>
          <w:sz w:val="20"/>
        </w:rPr>
        <w:t>. Sensitivity of investment returns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800" w:type="dxa"/>
          </w:tcPr>
          <w:p>
            <w:pPr>
              <w:jc w:val="center"/>
              <w:spacing w:before="10" w:after="10"/>
            </w:pPr>
            <w:r/>
            <w:r>
              <w:rPr>
                <w:b/>
                <w:sz w:val="16"/>
              </w:rPr>
              <w:t>Scenario</w:t>
            </w:r>
          </w:p>
        </w:tc>
        <w:tc>
          <w:tcPr>
            <w:tcBorders>
              <w:top w:val="single" w:sz="4" w:space="0" w:color="auto"/>
              <w:bottom w:val="single" w:sz="4" w:space="0" w:color="auto"/>
            </w:tcBorders>
            <w:tcW w:w="2400" w:type="dxa"/>
          </w:tcPr>
          <w:p>
            <w:pPr>
              <w:jc w:val="center"/>
              <w:spacing w:before="10" w:after="10"/>
            </w:pPr>
            <w:r/>
            <w:r>
              <w:rPr>
                <w:b/>
                <w:sz w:val="16"/>
              </w:rPr>
              <w:t>NPV ($M)</w:t>
            </w:r>
          </w:p>
        </w:tc>
        <w:tc>
          <w:tcPr>
            <w:tcBorders>
              <w:top w:val="single" w:sz="4" w:space="0" w:color="auto"/>
              <w:bottom w:val="single" w:sz="4" w:space="0" w:color="auto"/>
            </w:tcBorders>
            <w:tcW w:w="2600" w:type="dxa"/>
          </w:tcPr>
          <w:p>
            <w:pPr>
              <w:jc w:val="center"/>
              <w:spacing w:before="10" w:after="10"/>
            </w:pPr>
            <w:r/>
            <w:r>
              <w:rPr>
                <w:b/>
                <w:sz w:val="16"/>
              </w:rPr>
              <w:t>IRR</w:t>
            </w:r>
          </w:p>
        </w:tc>
      </w:tr>
      <w:tr>
        <w:tc>
          <w:tcPr>
            <w:tcW w:w="3800" w:type="dxa"/>
          </w:tcPr>
          <w:p>
            <w:pPr>
              <w:spacing w:before="10" w:after="10"/>
            </w:pPr>
            <w:r/>
            <w:r>
              <w:rPr>
                <w:sz w:val="16"/>
              </w:rPr>
              <w:t>Base case</w:t>
            </w:r>
          </w:p>
        </w:tc>
        <w:tc>
          <w:tcPr>
            <w:tcW w:w="2400" w:type="dxa"/>
          </w:tcPr>
          <w:p>
            <w:pPr>
              <w:jc w:val="center"/>
              <w:spacing w:before="10" w:after="10"/>
            </w:pPr>
            <w:r/>
            <w:r>
              <w:rPr>
                <w:sz w:val="16"/>
              </w:rPr>
              <w:t>$353</w:t>
            </w:r>
          </w:p>
        </w:tc>
        <w:tc>
          <w:tcPr>
            <w:tcW w:w="2600" w:type="dxa"/>
          </w:tcPr>
          <w:p>
            <w:pPr>
              <w:jc w:val="center"/>
              <w:spacing w:before="10" w:after="10"/>
            </w:pPr>
            <w:r/>
            <w:r>
              <w:rPr>
                <w:sz w:val="16"/>
              </w:rPr>
              <w:t>17.6%</w:t>
            </w:r>
          </w:p>
        </w:tc>
      </w:tr>
      <w:tr>
        <w:tc>
          <w:tcPr>
            <w:tcW w:w="3800" w:type="dxa"/>
          </w:tcPr>
          <w:p>
            <w:pPr>
              <w:spacing w:before="10" w:after="10"/>
            </w:pPr>
            <w:r/>
            <w:r>
              <w:rPr>
                <w:sz w:val="16"/>
              </w:rPr>
              <w:t>GPU price −20%</w:t>
            </w:r>
          </w:p>
        </w:tc>
        <w:tc>
          <w:tcPr>
            <w:tcW w:w="2400" w:type="dxa"/>
          </w:tcPr>
          <w:p>
            <w:pPr>
              <w:jc w:val="center"/>
              <w:spacing w:before="10" w:after="10"/>
            </w:pPr>
            <w:r/>
            <w:r>
              <w:rPr>
                <w:sz w:val="16"/>
              </w:rPr>
              <w:t>$930</w:t>
            </w:r>
          </w:p>
        </w:tc>
        <w:tc>
          <w:tcPr>
            <w:tcW w:w="2600" w:type="dxa"/>
          </w:tcPr>
          <w:p>
            <w:pPr>
              <w:jc w:val="center"/>
              <w:spacing w:before="10" w:after="10"/>
            </w:pPr>
            <w:r/>
            <w:r>
              <w:rPr>
                <w:sz w:val="16"/>
              </w:rPr>
              <w:t>27.6%</w:t>
            </w:r>
          </w:p>
        </w:tc>
      </w:tr>
      <w:tr>
        <w:tc>
          <w:tcPr>
            <w:tcW w:w="3800" w:type="dxa"/>
          </w:tcPr>
          <w:p>
            <w:pPr>
              <w:spacing w:before="10" w:after="10"/>
            </w:pPr>
            <w:r/>
            <w:r>
              <w:rPr>
                <w:sz w:val="16"/>
              </w:rPr>
              <w:t>GPU price +20%</w:t>
            </w:r>
          </w:p>
        </w:tc>
        <w:tc>
          <w:tcPr>
            <w:tcW w:w="2400" w:type="dxa"/>
          </w:tcPr>
          <w:p>
            <w:pPr>
              <w:jc w:val="center"/>
              <w:spacing w:before="10" w:after="10"/>
            </w:pPr>
            <w:r/>
            <w:r>
              <w:rPr>
                <w:sz w:val="16"/>
              </w:rPr>
              <w:t>$-225</w:t>
            </w:r>
          </w:p>
        </w:tc>
        <w:tc>
          <w:tcPr>
            <w:tcW w:w="2600" w:type="dxa"/>
          </w:tcPr>
          <w:p>
            <w:pPr>
              <w:jc w:val="center"/>
              <w:spacing w:before="10" w:after="10"/>
            </w:pPr>
            <w:r/>
            <w:r>
              <w:rPr>
                <w:sz w:val="16"/>
              </w:rPr>
              <w:t>9.7%</w:t>
            </w:r>
          </w:p>
        </w:tc>
      </w:tr>
      <w:tr>
        <w:tc>
          <w:tcPr>
            <w:tcW w:w="3800" w:type="dxa"/>
          </w:tcPr>
          <w:p>
            <w:pPr>
              <w:spacing w:before="10" w:after="10"/>
            </w:pPr>
            <w:r/>
            <w:r>
              <w:rPr>
                <w:sz w:val="16"/>
              </w:rPr>
              <w:t>Electricity +50%</w:t>
            </w:r>
          </w:p>
        </w:tc>
        <w:tc>
          <w:tcPr>
            <w:tcW w:w="2400" w:type="dxa"/>
          </w:tcPr>
          <w:p>
            <w:pPr>
              <w:jc w:val="center"/>
              <w:spacing w:before="10" w:after="10"/>
            </w:pPr>
            <w:r/>
            <w:r>
              <w:rPr>
                <w:sz w:val="16"/>
              </w:rPr>
              <w:t>$305</w:t>
            </w:r>
          </w:p>
        </w:tc>
        <w:tc>
          <w:tcPr>
            <w:tcW w:w="2600" w:type="dxa"/>
          </w:tcPr>
          <w:p>
            <w:pPr>
              <w:jc w:val="center"/>
              <w:spacing w:before="10" w:after="10"/>
            </w:pPr>
            <w:r/>
            <w:r>
              <w:rPr>
                <w:sz w:val="16"/>
              </w:rPr>
              <w:t>16.9%</w:t>
            </w:r>
          </w:p>
        </w:tc>
      </w:tr>
      <w:tr>
        <w:tc>
          <w:tcPr>
            <w:tcW w:w="3800" w:type="dxa"/>
          </w:tcPr>
          <w:p>
            <w:pPr>
              <w:spacing w:before="10" w:after="10"/>
            </w:pPr>
            <w:r/>
            <w:r>
              <w:rPr>
                <w:sz w:val="16"/>
              </w:rPr>
              <w:t>Electricity −25%</w:t>
            </w:r>
          </w:p>
        </w:tc>
        <w:tc>
          <w:tcPr>
            <w:tcW w:w="2400" w:type="dxa"/>
          </w:tcPr>
          <w:p>
            <w:pPr>
              <w:jc w:val="center"/>
              <w:spacing w:before="10" w:after="10"/>
            </w:pPr>
            <w:r/>
            <w:r>
              <w:rPr>
                <w:sz w:val="16"/>
              </w:rPr>
              <w:t>$377</w:t>
            </w:r>
          </w:p>
        </w:tc>
        <w:tc>
          <w:tcPr>
            <w:tcW w:w="2600" w:type="dxa"/>
          </w:tcPr>
          <w:p>
            <w:pPr>
              <w:jc w:val="center"/>
              <w:spacing w:before="10" w:after="10"/>
            </w:pPr>
            <w:r/>
            <w:r>
              <w:rPr>
                <w:sz w:val="16"/>
              </w:rPr>
              <w:t>17.9%</w:t>
            </w:r>
          </w:p>
        </w:tc>
      </w:tr>
      <w:tr>
        <w:tc>
          <w:tcPr>
            <w:tcW w:w="3800" w:type="dxa"/>
          </w:tcPr>
          <w:p>
            <w:pPr>
              <w:spacing w:before="10" w:after="10"/>
            </w:pPr>
            <w:r/>
            <w:r>
              <w:rPr>
                <w:sz w:val="16"/>
              </w:rPr>
              <w:t>Revenue +5%</w:t>
            </w:r>
          </w:p>
        </w:tc>
        <w:tc>
          <w:tcPr>
            <w:tcW w:w="2400" w:type="dxa"/>
          </w:tcPr>
          <w:p>
            <w:pPr>
              <w:jc w:val="center"/>
              <w:spacing w:before="10" w:after="10"/>
            </w:pPr>
            <w:r/>
            <w:r>
              <w:rPr>
                <w:sz w:val="16"/>
              </w:rPr>
              <w:t>$509</w:t>
            </w:r>
          </w:p>
        </w:tc>
        <w:tc>
          <w:tcPr>
            <w:tcW w:w="2600" w:type="dxa"/>
          </w:tcPr>
          <w:p>
            <w:pPr>
              <w:jc w:val="center"/>
              <w:spacing w:before="10" w:after="10"/>
            </w:pPr>
            <w:r/>
            <w:r>
              <w:rPr>
                <w:sz w:val="16"/>
              </w:rPr>
              <w:t>19.8%</w:t>
            </w:r>
          </w:p>
        </w:tc>
      </w:tr>
      <w:tr>
        <w:tc>
          <w:tcPr>
            <w:tcW w:w="3800" w:type="dxa"/>
          </w:tcPr>
          <w:p>
            <w:pPr>
              <w:spacing w:before="10" w:after="10"/>
            </w:pPr>
            <w:r/>
            <w:r>
              <w:rPr>
                <w:sz w:val="16"/>
              </w:rPr>
              <w:t>Revenue −5%</w:t>
            </w:r>
          </w:p>
        </w:tc>
        <w:tc>
          <w:tcPr>
            <w:tcW w:w="2400" w:type="dxa"/>
          </w:tcPr>
          <w:p>
            <w:pPr>
              <w:jc w:val="center"/>
              <w:spacing w:before="10" w:after="10"/>
            </w:pPr>
            <w:r/>
            <w:r>
              <w:rPr>
                <w:sz w:val="16"/>
              </w:rPr>
              <w:t>$198</w:t>
            </w:r>
          </w:p>
        </w:tc>
        <w:tc>
          <w:tcPr>
            <w:tcW w:w="2600" w:type="dxa"/>
          </w:tcPr>
          <w:p>
            <w:pPr>
              <w:jc w:val="center"/>
              <w:spacing w:before="10" w:after="10"/>
            </w:pPr>
            <w:r/>
            <w:r>
              <w:rPr>
                <w:sz w:val="16"/>
              </w:rPr>
              <w:t>15.4%</w:t>
            </w:r>
          </w:p>
        </w:tc>
      </w:tr>
      <w:tr>
        <w:tc>
          <w:tcPr>
            <w:tcW w:w="3800" w:type="dxa"/>
          </w:tcPr>
          <w:p>
            <w:pPr>
              <w:spacing w:before="10" w:after="10"/>
            </w:pPr>
            <w:r/>
            <w:r>
              <w:rPr>
                <w:sz w:val="16"/>
              </w:rPr>
              <w:t>Utilization 80%</w:t>
            </w:r>
          </w:p>
        </w:tc>
        <w:tc>
          <w:tcPr>
            <w:tcW w:w="2400" w:type="dxa"/>
          </w:tcPr>
          <w:p>
            <w:pPr>
              <w:jc w:val="center"/>
              <w:spacing w:before="10" w:after="10"/>
            </w:pPr>
            <w:r/>
            <w:r>
              <w:rPr>
                <w:sz w:val="16"/>
              </w:rPr>
              <w:t>$957</w:t>
            </w:r>
          </w:p>
        </w:tc>
        <w:tc>
          <w:tcPr>
            <w:tcW w:w="2600" w:type="dxa"/>
          </w:tcPr>
          <w:p>
            <w:pPr>
              <w:jc w:val="center"/>
              <w:spacing w:before="10" w:after="10"/>
            </w:pPr>
            <w:r/>
            <w:r>
              <w:rPr>
                <w:sz w:val="16"/>
              </w:rPr>
              <w:t>26.4%</w:t>
            </w:r>
          </w:p>
        </w:tc>
      </w:tr>
      <w:tr>
        <w:tc>
          <w:tcPr>
            <w:tcW w:w="3800" w:type="dxa"/>
          </w:tcPr>
          <w:p>
            <w:pPr>
              <w:spacing w:before="10" w:after="10"/>
            </w:pPr>
            <w:r/>
            <w:r>
              <w:rPr>
                <w:sz w:val="16"/>
              </w:rPr>
              <w:t>Utilization 60%</w:t>
            </w:r>
          </w:p>
        </w:tc>
        <w:tc>
          <w:tcPr>
            <w:tcW w:w="2400" w:type="dxa"/>
          </w:tcPr>
          <w:p>
            <w:pPr>
              <w:jc w:val="center"/>
              <w:spacing w:before="10" w:after="10"/>
            </w:pPr>
            <w:r/>
            <w:r>
              <w:rPr>
                <w:sz w:val="16"/>
              </w:rPr>
              <w:t>$-253</w:t>
            </w:r>
          </w:p>
        </w:tc>
        <w:tc>
          <w:tcPr>
            <w:tcW w:w="2600" w:type="dxa"/>
          </w:tcPr>
          <w:p>
            <w:pPr>
              <w:jc w:val="center"/>
              <w:spacing w:before="10" w:after="10"/>
            </w:pPr>
            <w:r/>
            <w:r>
              <w:rPr>
                <w:sz w:val="16"/>
              </w:rPr>
              <w:t>9.0%</w:t>
            </w:r>
          </w:p>
        </w:tc>
      </w:tr>
      <w:tr>
        <w:tc>
          <w:tcPr>
            <w:tcW w:w="3800" w:type="dxa"/>
          </w:tcPr>
          <w:p>
            <w:pPr>
              <w:spacing w:before="10" w:after="10"/>
            </w:pPr>
            <w:r/>
            <w:r>
              <w:rPr>
                <w:sz w:val="16"/>
              </w:rPr>
              <w:t>WACC 10%</w:t>
            </w:r>
          </w:p>
        </w:tc>
        <w:tc>
          <w:tcPr>
            <w:tcW w:w="2400" w:type="dxa"/>
          </w:tcPr>
          <w:p>
            <w:pPr>
              <w:jc w:val="center"/>
              <w:spacing w:before="10" w:after="10"/>
            </w:pPr>
            <w:r/>
            <w:r>
              <w:rPr>
                <w:sz w:val="16"/>
              </w:rPr>
              <w:t>$619</w:t>
            </w:r>
          </w:p>
        </w:tc>
        <w:tc>
          <w:tcPr>
            <w:tcW w:w="2600" w:type="dxa"/>
          </w:tcPr>
          <w:p>
            <w:pPr>
              <w:jc w:val="center"/>
              <w:spacing w:before="10" w:after="10"/>
            </w:pPr>
            <w:r/>
            <w:r>
              <w:rPr>
                <w:sz w:val="16"/>
              </w:rPr>
              <w:t>17.6%</w:t>
            </w:r>
          </w:p>
        </w:tc>
      </w:tr>
      <w:tr>
        <w:tc>
          <w:tcPr>
            <w:tcBorders>
              <w:bottom w:val="double" w:sz="4" w:space="0" w:color="auto"/>
            </w:tcBorders>
            <w:tcW w:w="3800" w:type="dxa"/>
          </w:tcPr>
          <w:p>
            <w:pPr>
              <w:spacing w:before="10" w:after="10"/>
            </w:pPr>
            <w:r/>
            <w:r>
              <w:rPr>
                <w:sz w:val="16"/>
              </w:rPr>
              <w:t>WACC 16%</w:t>
            </w:r>
          </w:p>
        </w:tc>
        <w:tc>
          <w:tcPr>
            <w:tcBorders>
              <w:bottom w:val="double" w:sz="4" w:space="0" w:color="auto"/>
            </w:tcBorders>
            <w:tcW w:w="2400" w:type="dxa"/>
          </w:tcPr>
          <w:p>
            <w:pPr>
              <w:jc w:val="center"/>
              <w:spacing w:before="10" w:after="10"/>
            </w:pPr>
            <w:r/>
            <w:r>
              <w:rPr>
                <w:sz w:val="16"/>
              </w:rPr>
              <w:t>$95</w:t>
            </w:r>
          </w:p>
        </w:tc>
        <w:tc>
          <w:tcPr>
            <w:tcBorders>
              <w:bottom w:val="double" w:sz="4" w:space="0" w:color="auto"/>
            </w:tcBorders>
            <w:tcW w:w="2600" w:type="dxa"/>
          </w:tcPr>
          <w:p>
            <w:pPr>
              <w:jc w:val="center"/>
              <w:spacing w:before="10" w:after="10"/>
            </w:pPr>
            <w:r/>
            <w:r>
              <w:rPr>
                <w:sz w:val="16"/>
              </w:rPr>
              <w:t>17.6%</w:t>
            </w:r>
          </w:p>
        </w:tc>
      </w:tr>
    </w:tbl>
    <w:p>
      <w:pPr>
        <w:spacing w:before="0" w:after="80"/>
        <w:ind w:firstLine="0"/>
        <w:jc w:val="both"/>
      </w:pPr>
      <w:r>
        <w:rPr>
          <w:b/>
        </w:rPr>
        <w:t xml:space="preserve">Risks. </w:t>
      </w:r>
      <w:r>
        <w:t>Kyrgyzstan depends on the Toktogul reservoir for over 80% of electricity; seasonal drawdowns and drought years create acute power shortages. GPU procurement faces US export-control uncertainty. The production-efficiency index assigns Kyrgyzstan a governance score of 0.50, reflecting underdeveloped contract enforcement and regulatory frameworks. Despite these risks, the engineering economics are clear: electricity at $0.038/kWh and a PUE of 1.08 yield production costs well below the global median, and the positive NPV survives eight of ten perturbations in Table A6.</w:t>
      </w:r>
    </w:p>
    <w:p>
      <w:pPr>
        <w:spacing w:before="0" w:after="0"/>
      </w:pPr>
      <w:r>
        <w:br w:type="page"/>
      </w:r>
    </w:p>
    <w:p>
      <w:pPr>
        <w:pStyle w:val="Heading1"/>
      </w:pPr>
      <w:r>
        <w:rPr>
          <w:rFonts w:ascii="Times New Roman" w:hAnsi="Times New Roman"/>
          <w:b/>
          <w:color w:val="2F5496"/>
          <w:sz w:val="28"/>
        </w:rPr>
        <w:t>Appendix E: Construction Cost Regression</w:t>
      </w:r>
    </w:p>
    <w:p>
      <w:pPr>
        <w:spacing w:before="0" w:after="160"/>
        <w:ind w:firstLine="0"/>
        <w:jc w:val="both"/>
      </w:pPr>
      <w:bookmarkStart w:id="151" w:name="TableA7txt"/>
      <w:bookmarkEnd w:id="151"/>
      <w:r>
        <w:t xml:space="preserve">Data center construction costs per watt of IT capacity are observed for 37 countries from the Turner &amp; Townsend Data Centre Construction Cost Index 2025 (52 markets). For the remaining countries, construction costs are predicted using the log-linear regression reported in </w:t>
      </w:r>
      <w:hyperlink w:anchor="TableA7" w:history="1">
        <w:r>
          <w:rPr>
            <w:color w:val="1F3864"/>
            <w:u w:val="single"/>
          </w:rPr>
          <w:t xml:space="preserve">Table A7</w:t>
        </w:r>
      </w:hyperlink>
      <w:r>
        <w:t>. The dependent variable is ln($/W). Since construction accounts for only 3–6% of total per-GPU-hour costs, imputation error has limited impact on cost rankings.</w:t>
      </w:r>
    </w:p>
    <w:p>
      <w:pPr>
        <w:spacing w:before="0" w:after="60"/>
        <w:ind w:firstLine="0"/>
        <w:jc w:val="both"/>
      </w:pPr>
      <w:bookmarkStart w:id="150" w:name="TableA7"/>
      <w:hyperlink w:anchor="TableA7txt" w:history="1">
        <w:r>
          <w:rPr>
            <w:b/>
            <w:sz w:val="20"/>
            <w:color w:val="1F3864"/>
            <w:u w:val="single"/>
          </w:rPr>
          <w:t>Table A7</w:t>
        </w:r>
      </w:hyperlink>
      <w:bookmarkEnd w:id="150"/>
      <w:r>
        <w:rPr>
          <w:b/>
          <w:sz w:val="20"/>
        </w:rPr>
        <w:t>. Construction cost regression: ln($/W)</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600" w:type="dxa"/>
          </w:tcPr>
          <w:p>
            <w:pPr>
              <w:jc w:val="center"/>
              <w:spacing w:before="10" w:after="10"/>
            </w:pPr>
            <w:r/>
            <w:r>
              <w:rPr>
                <w:b/>
                <w:sz w:val="16"/>
              </w:rPr>
              <w:t>Variable</w:t>
            </w:r>
          </w:p>
        </w:tc>
        <w:tc>
          <w:tcPr>
            <w:tcBorders>
              <w:top w:val="single" w:sz="4" w:space="0" w:color="auto"/>
              <w:bottom w:val="single" w:sz="4" w:space="0" w:color="auto"/>
            </w:tcBorders>
            <w:tcW w:w="2200" w:type="dxa"/>
          </w:tcPr>
          <w:p>
            <w:pPr>
              <w:jc w:val="center"/>
              <w:spacing w:before="10" w:after="10"/>
            </w:pPr>
            <w:r/>
            <w:r>
              <w:rPr>
                <w:b/>
                <w:sz w:val="16"/>
              </w:rPr>
              <w:t>Coefficient</w:t>
            </w:r>
          </w:p>
        </w:tc>
        <w:tc>
          <w:tcPr>
            <w:tcBorders>
              <w:top w:val="single" w:sz="4" w:space="0" w:color="auto"/>
              <w:bottom w:val="single" w:sz="4" w:space="0" w:color="auto"/>
            </w:tcBorders>
            <w:tcW w:w="2200" w:type="dxa"/>
          </w:tcPr>
          <w:p>
            <w:pPr>
              <w:jc w:val="center"/>
              <w:spacing w:before="10" w:after="10"/>
            </w:pPr>
            <w:r/>
            <w:r>
              <w:rPr>
                <w:b/>
                <w:sz w:val="16"/>
              </w:rPr>
              <w:t>Std. Error</w:t>
            </w:r>
          </w:p>
        </w:tc>
      </w:tr>
      <w:tr>
        <w:tc>
          <w:tcPr>
            <w:tcW w:w="3600" w:type="dxa"/>
          </w:tcPr>
          <w:p>
            <w:pPr>
              <w:spacing w:before="10" w:after="10"/>
            </w:pPr>
            <w:r/>
            <w:r>
              <w:rPr>
                <w:sz w:val="16"/>
              </w:rPr>
              <w:t>Intercept</w:t>
            </w:r>
          </w:p>
        </w:tc>
        <w:tc>
          <w:tcPr>
            <w:tcW w:w="2200" w:type="dxa"/>
          </w:tcPr>
          <w:p>
            <w:pPr>
              <w:jc w:val="center"/>
              <w:spacing w:before="10" w:after="10"/>
            </w:pPr>
            <w:r/>
            <w:r>
              <w:rPr>
                <w:sz w:val="16"/>
              </w:rPr>
              <w:t>1.753</w:t>
            </w:r>
          </w:p>
        </w:tc>
        <w:tc>
          <w:tcPr>
            <w:tcW w:w="2200" w:type="dxa"/>
          </w:tcPr>
          <w:p>
            <w:pPr>
              <w:jc w:val="center"/>
              <w:spacing w:before="10" w:after="10"/>
            </w:pPr>
            <w:r>
              <w:rPr>
                <w:i/>
              </w:rPr>
            </w:r>
            <w:r>
              <w:rPr>
                <w:sz w:val="16"/>
                <w:i/>
              </w:rPr>
              <w:t>(1.467)</w:t>
            </w:r>
          </w:p>
        </w:tc>
      </w:tr>
      <w:tr>
        <w:tc>
          <w:tcPr>
            <w:tcW w:w="3600" w:type="dxa"/>
          </w:tcPr>
          <w:p>
            <w:pPr>
              <w:spacing w:before="10" w:after="10"/>
            </w:pPr>
            <w:r/>
            <w:r>
              <w:rPr>
                <w:sz w:val="16"/>
              </w:rPr>
              <w:t>ln(GDP per capita)</w:t>
            </w:r>
          </w:p>
        </w:tc>
        <w:tc>
          <w:tcPr>
            <w:tcW w:w="2200" w:type="dxa"/>
          </w:tcPr>
          <w:p>
            <w:pPr>
              <w:jc w:val="center"/>
              <w:spacing w:before="10" w:after="10"/>
            </w:pPr>
            <w:r/>
            <w:r>
              <w:rPr>
                <w:sz w:val="16"/>
              </w:rPr>
              <w:t>0.056</w:t>
            </w:r>
          </w:p>
        </w:tc>
        <w:tc>
          <w:tcPr>
            <w:tcW w:w="2200" w:type="dxa"/>
          </w:tcPr>
          <w:p>
            <w:pPr>
              <w:jc w:val="center"/>
              <w:spacing w:before="10" w:after="10"/>
            </w:pPr>
            <w:r>
              <w:rPr>
                <w:i/>
              </w:rPr>
            </w:r>
            <w:r>
              <w:rPr>
                <w:sz w:val="16"/>
                <w:i/>
              </w:rPr>
              <w:t>(0.114)</w:t>
            </w:r>
          </w:p>
        </w:tc>
      </w:tr>
      <w:tr>
        <w:tc>
          <w:tcPr>
            <w:tcW w:w="3600" w:type="dxa"/>
          </w:tcPr>
          <w:p>
            <w:pPr>
              <w:spacing w:before="10" w:after="10"/>
            </w:pPr>
            <w:r/>
            <w:r>
              <w:rPr>
                <w:sz w:val="16"/>
              </w:rPr>
              <w:t>ln(Population)</w:t>
            </w:r>
          </w:p>
        </w:tc>
        <w:tc>
          <w:tcPr>
            <w:tcW w:w="2200" w:type="dxa"/>
          </w:tcPr>
          <w:p>
            <w:pPr>
              <w:jc w:val="center"/>
              <w:spacing w:before="10" w:after="10"/>
            </w:pPr>
            <w:r/>
            <w:r>
              <w:rPr>
                <w:sz w:val="16"/>
              </w:rPr>
              <w:t>-0.020</w:t>
            </w:r>
          </w:p>
        </w:tc>
        <w:tc>
          <w:tcPr>
            <w:tcW w:w="2200" w:type="dxa"/>
          </w:tcPr>
          <w:p>
            <w:pPr>
              <w:jc w:val="center"/>
              <w:spacing w:before="10" w:after="10"/>
            </w:pPr>
            <w:r>
              <w:rPr>
                <w:i/>
              </w:rPr>
            </w:r>
            <w:r>
              <w:rPr>
                <w:sz w:val="16"/>
                <w:i/>
              </w:rPr>
              <w:t>(0.027)</w:t>
            </w:r>
          </w:p>
        </w:tc>
      </w:tr>
      <w:tr>
        <w:tc>
          <w:tcPr>
            <w:tcW w:w="3600" w:type="dxa"/>
          </w:tcPr>
          <w:p>
            <w:pPr>
              <w:spacing w:before="10" w:after="10"/>
            </w:pPr>
            <w:r/>
            <w:r>
              <w:rPr>
                <w:sz w:val="16"/>
              </w:rPr>
              <w:t>Urban population share</w:t>
            </w:r>
          </w:p>
        </w:tc>
        <w:tc>
          <w:tcPr>
            <w:tcW w:w="2200" w:type="dxa"/>
          </w:tcPr>
          <w:p>
            <w:pPr>
              <w:jc w:val="center"/>
              <w:spacing w:before="10" w:after="10"/>
            </w:pPr>
            <w:r/>
            <w:r>
              <w:rPr>
                <w:sz w:val="16"/>
              </w:rPr>
              <w:t>0.459</w:t>
            </w:r>
          </w:p>
        </w:tc>
        <w:tc>
          <w:tcPr>
            <w:tcW w:w="2200" w:type="dxa"/>
          </w:tcPr>
          <w:p>
            <w:pPr>
              <w:jc w:val="center"/>
              <w:spacing w:before="10" w:after="10"/>
            </w:pPr>
            <w:r>
              <w:rPr>
                <w:i/>
              </w:rPr>
            </w:r>
            <w:r>
              <w:rPr>
                <w:sz w:val="16"/>
                <w:i/>
              </w:rPr>
              <w:t>(0.355)</w:t>
            </w:r>
          </w:p>
        </w:tc>
      </w:tr>
      <w:tr>
        <w:tc>
          <w:tcPr>
            <w:tcW w:w="3600" w:type="dxa"/>
          </w:tcPr>
          <w:p>
            <w:pPr>
              <w:spacing w:before="10" w:after="10"/>
            </w:pPr>
            <w:r/>
            <w:r>
              <w:rPr>
                <w:sz w:val="16"/>
              </w:rPr>
              <w:t>Seismic zone indicator</w:t>
            </w:r>
          </w:p>
        </w:tc>
        <w:tc>
          <w:tcPr>
            <w:tcW w:w="2200" w:type="dxa"/>
          </w:tcPr>
          <w:p>
            <w:pPr>
              <w:jc w:val="center"/>
              <w:spacing w:before="10" w:after="10"/>
            </w:pPr>
            <w:r/>
            <w:r>
              <w:rPr>
                <w:sz w:val="16"/>
              </w:rPr>
              <w:t>-0.053</w:t>
            </w:r>
          </w:p>
        </w:tc>
        <w:tc>
          <w:tcPr>
            <w:tcW w:w="2200" w:type="dxa"/>
          </w:tcPr>
          <w:p>
            <w:pPr>
              <w:jc w:val="center"/>
              <w:spacing w:before="10" w:after="10"/>
            </w:pPr>
            <w:r>
              <w:rPr>
                <w:i/>
              </w:rPr>
            </w:r>
            <w:r>
              <w:rPr>
                <w:sz w:val="16"/>
                <w:i/>
              </w:rPr>
              <w:t>(0.077)</w:t>
            </w:r>
          </w:p>
        </w:tc>
      </w:tr>
      <w:tr>
        <w:tc>
          <w:tcPr>
            <w:tcW w:w="3600" w:type="dxa"/>
          </w:tcPr>
          <w:p>
            <w:pPr>
              <w:spacing w:before="10" w:after="10"/>
            </w:pPr>
            <w:r/>
            <w:r>
              <w:rPr>
                <w:sz w:val="16"/>
              </w:rPr>
              <w:t>East Asia &amp; Pacific</w:t>
            </w:r>
          </w:p>
        </w:tc>
        <w:tc>
          <w:tcPr>
            <w:tcW w:w="2200" w:type="dxa"/>
          </w:tcPr>
          <w:p>
            <w:pPr>
              <w:jc w:val="center"/>
              <w:spacing w:before="10" w:after="10"/>
            </w:pPr>
            <w:r/>
            <w:r>
              <w:rPr>
                <w:sz w:val="16"/>
              </w:rPr>
              <w:t>0.054</w:t>
            </w:r>
          </w:p>
        </w:tc>
        <w:tc>
          <w:tcPr>
            <w:tcW w:w="2200" w:type="dxa"/>
          </w:tcPr>
          <w:p>
            <w:pPr>
              <w:jc w:val="center"/>
              <w:spacing w:before="10" w:after="10"/>
            </w:pPr>
            <w:r>
              <w:rPr>
                <w:i/>
              </w:rPr>
            </w:r>
            <w:r>
              <w:rPr>
                <w:sz w:val="16"/>
                <w:i/>
              </w:rPr>
              <w:t>(0.084)</w:t>
            </w:r>
          </w:p>
        </w:tc>
      </w:tr>
      <w:tr>
        <w:tc>
          <w:tcPr>
            <w:tcW w:w="3600" w:type="dxa"/>
          </w:tcPr>
          <w:p>
            <w:pPr>
              <w:spacing w:before="10" w:after="10"/>
            </w:pPr>
            <w:r/>
            <w:r>
              <w:rPr>
                <w:sz w:val="16"/>
              </w:rPr>
              <w:t>Latin America &amp; Caribbean</w:t>
            </w:r>
          </w:p>
        </w:tc>
        <w:tc>
          <w:tcPr>
            <w:tcW w:w="2200" w:type="dxa"/>
          </w:tcPr>
          <w:p>
            <w:pPr>
              <w:jc w:val="center"/>
              <w:spacing w:before="10" w:after="10"/>
            </w:pPr>
            <w:r/>
            <w:r>
              <w:rPr>
                <w:sz w:val="16"/>
              </w:rPr>
              <w:t>-0.106</w:t>
            </w:r>
          </w:p>
        </w:tc>
        <w:tc>
          <w:tcPr>
            <w:tcW w:w="2200" w:type="dxa"/>
          </w:tcPr>
          <w:p>
            <w:pPr>
              <w:jc w:val="center"/>
              <w:spacing w:before="10" w:after="10"/>
            </w:pPr>
            <w:r>
              <w:rPr>
                <w:i/>
              </w:rPr>
            </w:r>
            <w:r>
              <w:rPr>
                <w:sz w:val="16"/>
                <w:i/>
              </w:rPr>
              <w:t>(0.141)</w:t>
            </w:r>
          </w:p>
        </w:tc>
      </w:tr>
      <w:tr>
        <w:tc>
          <w:tcPr>
            <w:tcW w:w="3600" w:type="dxa"/>
          </w:tcPr>
          <w:p>
            <w:pPr>
              <w:spacing w:before="10" w:after="10"/>
            </w:pPr>
            <w:r/>
            <w:r>
              <w:rPr>
                <w:sz w:val="16"/>
              </w:rPr>
              <w:t>Middle East</w:t>
            </w:r>
          </w:p>
        </w:tc>
        <w:tc>
          <w:tcPr>
            <w:tcW w:w="2200" w:type="dxa"/>
          </w:tcPr>
          <w:p>
            <w:pPr>
              <w:jc w:val="center"/>
              <w:spacing w:before="10" w:after="10"/>
            </w:pPr>
            <w:r/>
            <w:r>
              <w:rPr>
                <w:sz w:val="16"/>
              </w:rPr>
              <w:t>-0.114</w:t>
            </w:r>
          </w:p>
        </w:tc>
        <w:tc>
          <w:tcPr>
            <w:tcW w:w="2200" w:type="dxa"/>
          </w:tcPr>
          <w:p>
            <w:pPr>
              <w:jc w:val="center"/>
              <w:spacing w:before="10" w:after="10"/>
            </w:pPr>
            <w:r>
              <w:rPr>
                <w:i/>
              </w:rPr>
            </w:r>
            <w:r>
              <w:rPr>
                <w:sz w:val="16"/>
                <w:i/>
              </w:rPr>
              <w:t>(0.122)</w:t>
            </w:r>
          </w:p>
        </w:tc>
      </w:tr>
      <w:tr>
        <w:tc>
          <w:tcPr>
            <w:tcW w:w="3600" w:type="dxa"/>
          </w:tcPr>
          <w:p>
            <w:pPr>
              <w:spacing w:before="10" w:after="10"/>
            </w:pPr>
            <w:r/>
            <w:r>
              <w:rPr>
                <w:sz w:val="16"/>
              </w:rPr>
              <w:t>North America</w:t>
            </w:r>
          </w:p>
        </w:tc>
        <w:tc>
          <w:tcPr>
            <w:tcW w:w="2200" w:type="dxa"/>
          </w:tcPr>
          <w:p>
            <w:pPr>
              <w:jc w:val="center"/>
              <w:spacing w:before="10" w:after="10"/>
            </w:pPr>
            <w:r/>
            <w:r>
              <w:rPr>
                <w:sz w:val="16"/>
              </w:rPr>
              <w:t>-0.024</w:t>
            </w:r>
          </w:p>
        </w:tc>
        <w:tc>
          <w:tcPr>
            <w:tcW w:w="2200" w:type="dxa"/>
          </w:tcPr>
          <w:p>
            <w:pPr>
              <w:jc w:val="center"/>
              <w:spacing w:before="10" w:after="10"/>
            </w:pPr>
            <w:r>
              <w:rPr>
                <w:i/>
              </w:rPr>
            </w:r>
            <w:r>
              <w:rPr>
                <w:sz w:val="16"/>
                <w:i/>
              </w:rPr>
              <w:t>(0.151)</w:t>
            </w:r>
          </w:p>
        </w:tc>
      </w:tr>
      <w:tr>
        <w:tc>
          <w:tcPr>
            <w:tcW w:w="3600" w:type="dxa"/>
          </w:tcPr>
          <w:p>
            <w:pPr>
              <w:spacing w:before="10" w:after="10"/>
            </w:pPr>
            <w:r/>
            <w:r>
              <w:rPr>
                <w:sz w:val="16"/>
              </w:rPr>
              <w:t>South Asia</w:t>
            </w:r>
          </w:p>
        </w:tc>
        <w:tc>
          <w:tcPr>
            <w:tcW w:w="2200" w:type="dxa"/>
          </w:tcPr>
          <w:p>
            <w:pPr>
              <w:jc w:val="center"/>
              <w:spacing w:before="10" w:after="10"/>
            </w:pPr>
            <w:r/>
            <w:r>
              <w:rPr>
                <w:sz w:val="16"/>
              </w:rPr>
              <w:t>-0.070</w:t>
            </w:r>
          </w:p>
        </w:tc>
        <w:tc>
          <w:tcPr>
            <w:tcW w:w="2200" w:type="dxa"/>
          </w:tcPr>
          <w:p>
            <w:pPr>
              <w:jc w:val="center"/>
              <w:spacing w:before="10" w:after="10"/>
            </w:pPr>
            <w:r>
              <w:rPr>
                <w:i/>
              </w:rPr>
            </w:r>
            <w:r>
              <w:rPr>
                <w:sz w:val="16"/>
                <w:i/>
              </w:rPr>
              <w:t>(0.218)</w:t>
            </w:r>
          </w:p>
        </w:tc>
      </w:tr>
      <w:tr>
        <w:tc>
          <w:tcPr>
            <w:tcBorders>
              <w:bottom w:val="double" w:sz="4" w:space="0" w:color="auto"/>
            </w:tcBorders>
            <w:tcW w:w="3600" w:type="dxa"/>
          </w:tcPr>
          <w:p>
            <w:pPr>
              <w:spacing w:before="10" w:after="10"/>
            </w:pPr>
            <w:r/>
            <w:r>
              <w:rPr>
                <w:sz w:val="16"/>
              </w:rPr>
              <w:t>Sub-Saharan Africa</w:t>
            </w:r>
          </w:p>
        </w:tc>
        <w:tc>
          <w:tcPr>
            <w:tcBorders>
              <w:bottom w:val="double" w:sz="4" w:space="0" w:color="auto"/>
            </w:tcBorders>
            <w:tcW w:w="2200" w:type="dxa"/>
          </w:tcPr>
          <w:p>
            <w:pPr>
              <w:jc w:val="center"/>
              <w:spacing w:before="10" w:after="10"/>
            </w:pPr>
            <w:r/>
            <w:r>
              <w:rPr>
                <w:sz w:val="16"/>
              </w:rPr>
              <w:t>0.190</w:t>
            </w:r>
          </w:p>
        </w:tc>
        <w:tc>
          <w:tcPr>
            <w:tcBorders>
              <w:bottom w:val="double" w:sz="4" w:space="0" w:color="auto"/>
            </w:tcBorders>
            <w:tcW w:w="2200" w:type="dxa"/>
          </w:tcPr>
          <w:p>
            <w:pPr>
              <w:jc w:val="center"/>
              <w:spacing w:before="10" w:after="10"/>
            </w:pPr>
            <w:r>
              <w:rPr>
                <w:i/>
              </w:rPr>
            </w:r>
            <w:r>
              <w:rPr>
                <w:sz w:val="16"/>
                <w:i/>
              </w:rPr>
              <w:t>(0.200)</w:t>
            </w:r>
          </w:p>
        </w:tc>
      </w:tr>
    </w:tbl>
    <w:p>
      <w:pPr>
        <w:spacing w:before="0" w:after="80" w:line="240" w:lineRule="auto"/>
        <w:ind w:firstLine="0"/>
        <w:jc w:val="left"/>
      </w:pPr>
      <w:r>
        <w:rPr>
          <w:sz w:val="20"/>
        </w:rPr>
        <w:t>Notes: OLS regression on 37 countries from the Turner &amp; Townsend DCCI 2025. Dependent variable: ln(construction cost in $/W). R² = 0.48, adjusted R² = 0.29, RMSE = 0.160. Reference region: Europe &amp; Central Asia. *** p &lt; 0.01, ** p &lt; 0.05, * p &lt; 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w:t>
      </w:r>
    </w:p>
  </w:footnote>
  <w:footnote w:id="5">
    <w:p>
      <w:pPr>
        <w:pStyle w:val="FootnoteText"/>
      </w:pPr>
      <w:r>
        <w:rPr>
          <w:rStyle w:val="FootnoteReference"/>
        </w:rPr>
        <w:footnoteRef/>
      </w:r>
      <w:r>
        <w:t xml:space="preserve"> At $0.038/kWh electricity, a 40 MW facility houses approximately 53,000 GPUs with production costs of $453 million per year. A Kyrgyz operator would most likely sell at wholesale or long-term contract rates of roughly $0.80–1.20/GPU-hour, yielding gross revenue of $630–950 million. Hyperscaler retail rates ($2.00–2.50/GPU-hour) represent an upper bound that is unlikely for a new market entrant. Even at the wholesale lower bound, this exceeds 15% of Kyrgyzstan’s $3.8 billion in goods exports (2024).</w:t>
      </w:r>
    </w:p>
  </w:footnote>
  <w:footnote w:id="7">
    <w:p>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6 confirms that the results are insensitive to this specification. Google (2024) reports a fleet-wide trailing twelve-month PUE of 1.10.</w:t>
      </w:r>
    </w:p>
  </w:footnote>
  <w:footnote w:id="9">
    <w:p>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10">
    <w:p>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20">
    <w:p>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while large economies like India and Brazil account for modest shares of global data center power.</w:t>
      </w:r>
    </w:p>
  </w:footnote>
  <w:footnote w:id="21">
    <w:p>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13">
    <w:p>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5">
    <w:p>
      <w:pPr>
        <w:pStyle w:val="FootnoteText"/>
      </w:pPr>
      <w:r>
        <w:rPr>
          <w:rStyle w:val="FootnoteReference"/>
        </w:rPr>
        <w:footnoteRef/>
      </w:r>
      <w:r>
        <w:t xml:space="preserve"> The bilateral sovereignty coefficients are calibrated to match observed patterns of data localization policy. Survey evidence suggests enterprises pay 15–30% more for guaranteed domestic data residency (UNCTAD 2025). The uniform 10% premium serves as a robustness benchmark.</w:t>
      </w:r>
    </w:p>
  </w:footnote>
  <w:footnote w:id="16">
    <w:p>
      <w:pPr>
        <w:pStyle w:val="FootnoteText"/>
      </w:pPr>
      <w:r>
        <w:rPr>
          <w:rStyle w:val="FootnoteReference"/>
        </w:rPr>
        <w:footnoteRef/>
      </w:r>
      <w:r>
        <w:t xml:space="preserve">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For Ethiopia, it uses the IMF’s hydro cost-recovery target ($0.050/kWh). The IMF estimates global fossil fuel subsidies at $6.7 trillion in 2024. Explicit subsidies (below-cost pricing) account for 8%; the remainder reflects unpriced environmental costs. This paper uses only the explicit component.</w:t>
      </w:r>
    </w:p>
  </w:footnote>
  <w:footnote w:id="17">
    <w:p>
      <w:pPr>
        <w:pStyle w:val="FootnoteText"/>
      </w:pPr>
      <w:r>
        <w:rPr>
          <w:rStyle w:val="FootnoteReference"/>
        </w:rPr>
        <w:footnoteRef/>
      </w:r>
      <w:r>
        <w:t xml:space="preserve"> The tier shares (10/20/70) are assumptions calibrated to match the approximate composition of government, regulated-industry, and commercial AI workloads (Deloitte 2025). Results are robust to moderate variation in these shares.</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imes New Roman" w:hAnsi="Times New Roman"/>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after="0" w:line="240" w:lineRule="auto"/>
    </w:pPr>
    <w:rPr>
      <w:sz w:val="20"/>
      <w:szCs w:val="20"/>
    </w:rPr>
  </w:style>
  <w:style w:type="character"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notes" Target="footnotes.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footer" Target="footer1.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
  <cp:revision>1</cp:revision>
  <dcterms:created xsi:type="dcterms:W3CDTF">2013-12-23T23:15:00Z</dcterms:created>
  <dcterms:modified xsi:type="dcterms:W3CDTF">2013-12-23T23:15:00Z</dcterms:modified>
  <cp:category/>
</cp:coreProperties>
</file>