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25, 2026  00:49</w:t>
      </w:r>
    </w:p>
    <w:p>
      <w:pPr>
        <w:spacing w:before="240" w:after="160" w:line="240" w:lineRule="auto"/>
        <w:ind w:firstLine="0" w:left="720" w:right="720"/>
        <w:jc w:val="both"/>
      </w:pPr>
      <w:r>
        <w:rPr>
          <w:b/>
        </w:rPr>
        <w:t>Abstract</w:t>
      </w:r>
      <w:r>
        <w:t xml:space="preserve">: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w:t>
      </w:r>
      <w:r>
        <w:t>The resulting cost spread across 85 countries is only 12–20 percent, making compute one of the most contested tradable goods in the world economy: small policy-induced frictions — sovereignty premia, governance penalties, capital cost differences — are sufficient to reshuffle the entire ranking.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9" w:name="EpochAI2024txt"/>
      <w:hyperlink w:anchor="EpochAI2024" w:history="1">
        <w:r>
          <w:rPr>
            <w:color w:val="1F3864"/>
            <w:u w:val="single"/>
          </w:rPr>
          <w:t xml:space="preserve">Epoch AI 2024</w:t>
        </w:r>
      </w:hyperlink>
      <w:bookmarkEnd w:id="239"/>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export opportunity. We refer to the production of compute services in one country for consumption in another as </w:t>
      </w:r>
      <w:r>
        <w:rPr>
          <w:i/>
        </w:rPr>
        <w:t>FLOP exporting</w:t>
      </w:r>
      <w:r>
        <w:t xml:space="preserve">. Rather than exporting raw energy resources as primary commodities, countries can use cheap electricity to produce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40" w:name="WorldBank2024txt"/>
      <w:hyperlink w:anchor="WorldBank2024" w:history="1">
        <w:r>
          <w:rPr>
            <w:color w:val="1F3864"/>
            <w:u w:val="single"/>
          </w:rPr>
          <w:t xml:space="preserve">World Bank 2024</w:t>
        </w:r>
      </w:hyperlink>
      <w:bookmarkEnd w:id="240"/>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would allow energy-rich developing countries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3" w:name="Limao2001txt"/>
      <w:hyperlink w:anchor="Limao2001" w:history="1">
        <w:r>
          <w:rPr>
            <w:color w:val="1F3864"/>
            <w:u w:val="single"/>
          </w:rPr>
          <w:t xml:space="preserve">Limão and Venables (2001)</w:t>
        </w:r>
      </w:hyperlink>
      <w:bookmarkEnd w:id="243"/>
      <w:r>
        <w:t xml:space="preserve"> demonstrate that infrastructure quality determines trade costs. In our model, network infrastructure plays the analogous role for digital trade.</w:t>
      </w:r>
    </w:p>
    <w:p>
      <w:pPr>
        <w:spacing w:before="0" w:after="160"/>
        <w:ind w:firstLine="0"/>
        <w:jc w:val="both"/>
      </w:pPr>
      <w:r>
        <w:t xml:space="preserve">Unlike the offshoring of IT services, which is labor-intensive and skill-biased (</w:t>
      </w:r>
      <w:bookmarkStart w:id="207" w:name="Blinder2006txt"/>
      <w:hyperlink w:anchor="Blinder2006" w:history="1">
        <w:r>
          <w:rPr>
            <w:color w:val="1F3864"/>
            <w:u w:val="single"/>
          </w:rPr>
          <w:t xml:space="preserve">Blinder 2006</w:t>
        </w:r>
      </w:hyperlink>
      <w:bookmarkEnd w:id="207"/>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the determinants of data center location. </w:t>
      </w:r>
      <w:bookmarkStart w:id="208" w:name="Flucker2013txt"/>
      <w:hyperlink w:anchor="Flucker2013" w:history="1">
        <w:r>
          <w:rPr>
            <w:color w:val="1F3864"/>
            <w:u w:val="single"/>
          </w:rPr>
          <w:t xml:space="preserve">Flucker et al. (2013)</w:t>
        </w:r>
      </w:hyperlink>
      <w:bookmarkEnd w:id="208"/>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ind w:firstLine="0"/>
        <w:jc w:val="both"/>
      </w:pPr>
      <w:r>
        <w:t xml:space="preserve">On the governance side, </w:t>
      </w:r>
      <w:bookmarkStart w:id="245" w:name="Sastry2024txt"/>
      <w:hyperlink w:anchor="Sastry2024" w:history="1">
        <w:r>
          <w:rPr>
            <w:color w:val="1F3864"/>
            <w:u w:val="single"/>
          </w:rPr>
          <w:t xml:space="preserve">Sastry et al. (2024)</w:t>
        </w:r>
      </w:hyperlink>
      <w:bookmarkEnd w:id="245"/>
      <w:r>
        <w:t xml:space="preserve"> argue that compute is well-suited for regulation because governments can track the number of chips in circulation, restrict who can buy them, and measure how much computation they perform. </w:t>
      </w:r>
      <w:bookmarkStart w:id="209" w:name="Lehdonvirta2024txt"/>
      <w:hyperlink w:anchor="Lehdonvirta2024" w:history="1">
        <w:r>
          <w:rPr>
            <w:color w:val="1F3864"/>
            <w:u w:val="single"/>
          </w:rPr>
          <w:t xml:space="preserve">Lehdonvirta et al. (2024)</w:t>
        </w:r>
      </w:hyperlink>
      <w:bookmarkEnd w:id="209"/>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6" w:name="Biglaiser2024txt"/>
      <w:hyperlink w:anchor="Biglaiser2024" w:history="1">
        <w:r>
          <w:rPr>
            <w:color w:val="1F3864"/>
            <w:u w:val="single"/>
          </w:rPr>
          <w:t xml:space="preserve">Biglaiser et al. (2024)</w:t>
        </w:r>
      </w:hyperlink>
      <w:bookmarkEnd w:id="246"/>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Existing digital trade models treat cloud services as homogeneous and demand-driven (</w:t>
      </w:r>
      <w:bookmarkStart w:id="255" w:name="Stojkoski2024txt"/>
      <w:hyperlink w:anchor="Stojkoski2024" w:history="1">
        <w:r>
          <w:rPr>
            <w:color w:val="1F3864"/>
            <w:u w:val="single"/>
          </w:rPr>
          <w:t xml:space="preserve">Stojkoski et al. 2024</w:t>
        </w:r>
      </w:hyperlink>
      <w:bookmarkEnd w:id="255"/>
      <w:r>
        <w:t xml:space="preserve">); this paper models the supply side, where location-specific energy costs and institutional quality determine which countries can produce compute competitively.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10" w:name="Ohlin1933txt"/>
      <w:hyperlink w:anchor="Ohlin1933" w:history="1">
        <w:r>
          <w:rPr>
            <w:color w:val="1F3864"/>
            <w:u w:val="single"/>
          </w:rPr>
          <w:t xml:space="preserve">Ohlin 1933</w:t>
        </w:r>
      </w:hyperlink>
      <w:bookmarkEnd w:id="210"/>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1" w:name="BaileyEtAl2017txt"/>
      <w:hyperlink w:anchor="BaileyEtAl2017" w:history="1">
        <w:r>
          <w:rPr>
            <w:color w:val="1F3864"/>
            <w:u w:val="single"/>
          </w:rPr>
          <w:t xml:space="preserve">Bailey, Strezhnev, and Voeten 2017</w:t>
        </w:r>
      </w:hyperlink>
      <w:bookmarkEnd w:id="211"/>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2" w:name="WorldBank2024txt"/>
      <w:hyperlink w:anchor="WorldBank2024" w:history="1">
        <w:r>
          <w:rPr>
            <w:color w:val="1F3864"/>
            <w:u w:val="single"/>
          </w:rPr>
          <w:t xml:space="preserve">World Bank 2024</w:t>
        </w:r>
      </w:hyperlink>
      <w:bookmarkEnd w:id="212"/>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3" w:name="WBES2025txt"/>
      <w:hyperlink w:anchor="WBES2025" w:history="1">
        <w:r>
          <w:rPr>
            <w:color w:val="1F3864"/>
            <w:u w:val="single"/>
          </w:rPr>
          <w:t xml:space="preserve">World Bank Enterprise Survey 2025</w:t>
        </w:r>
      </w:hyperlink>
      <w:bookmarkEnd w:id="213"/>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UptimeInstitute2024txt"/>
      <w:hyperlink w:anchor="UptimeInstitute2024" w:history="1">
        <w:r>
          <w:rPr>
            <w:color w:val="1F3864"/>
            <w:u w:val="single"/>
          </w:rPr>
          <w:t xml:space="preserve">Uptime Institute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(2020)</w:t>
        </w:r>
      </w:hyperlink>
      <w:bookmarkEnd w:id="225"/>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6" w:name="Deloitte2025txt"/>
      <w:hyperlink w:anchor="Deloitte2025" w:history="1">
        <w:r>
          <w:rPr>
            <w:color w:val="1F3864"/>
            <w:u w:val="single"/>
          </w:rPr>
          <w:t xml:space="preserve">Deloitte 2025</w:t>
        </w:r>
      </w:hyperlink>
      <w:bookmarkEnd w:id="226"/>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7" w:name="Frick2019txt"/>
      <w:hyperlink w:anchor="Frick2019" w:history="1">
        <w:r>
          <w:rPr>
            <w:color w:val="1F3864"/>
            <w:u w:val="single"/>
          </w:rPr>
          <w:t xml:space="preserve">Frick, Rodríguez-Pose, and Wong 2019</w:t>
        </w:r>
      </w:hyperlink>
      <w:bookmarkEnd w:id="227"/>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8" w:name="Lazard2025txt"/>
      <w:hyperlink w:anchor="Lazard2025" w:history="1">
        <w:r>
          <w:rPr>
            <w:color w:val="1F3864"/>
            <w:u w:val="single"/>
          </w:rPr>
          <w:t xml:space="preserve">Lazard 2025</w:t>
        </w:r>
      </w:hyperlink>
      <w:bookmarkEnd w:id="228"/>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(Turkmenistan, Tajikistan, Russia) lose ground. With hardware dominating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five have less than 100 MW of installed data center capacity: Kyrgyzstan (rank 5, 5 MW), Kosovo (rank 7, 5 MW), Montenegro (rank 8, 5 MW), Ethiopia (rank 10, 10 MW), and Iceland (rank 11, 60 MW). Meanwhile, several high-cost countries host large data center clusters: the Netherlands (rank 31, 1,800 MW), Ireland (rank 71, 1,260 MW), and Singapore (rank 66,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Inference supply thus concentrates around latency-bounded regional hubs, each major market sourcing from a distinct nearby supplier.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9" w:name="EatonKortum2002txt"/>
      <w:hyperlink w:anchor="EatonKortum2002" w:history="1">
        <w:r>
          <w:rPr>
            <w:color w:val="1F3864"/>
            <w:u w:val="single"/>
          </w:rPr>
          <w:t xml:space="preserve">Eaton and Kortum 2002</w:t>
        </w:r>
      </w:hyperlink>
      <w:bookmarkEnd w:id="229"/>
      <w:r>
        <w:t xml:space="preserve">, </w:t>
      </w:r>
      <w:bookmarkStart w:id="250" w:name="ACR2012txt"/>
      <w:hyperlink w:anchor="ACR2012" w:history="1">
        <w:r>
          <w:rPr>
            <w:color w:val="1F3864"/>
            <w:u w:val="single"/>
          </w:rPr>
          <w:t xml:space="preserve">Arkolakis et al. 2012</w:t>
        </w:r>
      </w:hyperlink>
      <w:bookmarkEnd w:id="250"/>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not trivial: the bilateral premium shifts most countries toward domestic production, forgoing the cost savings from specialization. Developing countries that adopt broad data localization requirements risk foreclosing both import savings and regional export opportunities — the very specialization gains the model predicts. The </w:t>
      </w:r>
      <w:bookmarkStart w:id="230" w:name="WorldBank2025txt"/>
      <w:hyperlink w:anchor="WorldBank2025" w:history="1">
        <w:r>
          <w:rPr>
            <w:color w:val="1F3864"/>
            <w:u w:val="single"/>
          </w:rPr>
          <w:t xml:space="preserve">World Bank (2025)</w:t>
        </w:r>
      </w:hyperlink>
      <w:bookmarkEnd w:id="230"/>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1" w:name="Calcaterra2024txt"/>
      <w:hyperlink w:anchor="Calcaterra2024" w:history="1">
        <w:r>
          <w:rPr>
            <w:color w:val="1F3864"/>
            <w:u w:val="single"/>
          </w:rPr>
          <w:t xml:space="preserve">Calcaterra et al. 2024</w:t>
        </w:r>
      </w:hyperlink>
      <w:bookmarkEnd w:id="231"/>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Across 85 countries, low-energy-cost producers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Because hardware accounts for roughly 90 percent of the unit cost and is globally priced, the cross-country cost spread is only 12–20 percent — narrower than in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point to a new avenue for economic participation in the global economy. Countries like Kyrgyzstan, Montenegro, and Egypt, which rank among the cheapest FLOP producers in the calibration, could use their energy resource endowments—hydropower, natural gas, and solar irradiance—to turn cheap power into a high-value digital export without building a domestic AI research ecosystem. FLOP exporting resembles aluminum smelting near cheap hydropower — imported capital equipment transforms local electricity into an exportable product with minimal domestic labor — but with two differences: the input is renewable where generated from hydro, solar, or geothermal sources, and compute demand is growing faster than demand for any physical commodity. The resource curse literature (</w:t>
      </w:r>
      <w:bookmarkStart w:id="233" w:name="vanderPloeg2011txt"/>
      <w:hyperlink w:anchor="vanderPloeg2011" w:history="1">
        <w:r>
          <w:rPr>
            <w:color w:val="1F3864"/>
            <w:u w:val="single"/>
          </w:rPr>
          <w:t xml:space="preserve">van der Ploeg 2011</w:t>
        </w:r>
      </w:hyperlink>
      <w:bookmarkEnd w:id="233"/>
      <w:r>
        <w:t xml:space="preserve">) warns, however, that concentrated export revenues can lead to Dutch disease, institutional degradation, and exposure to demand cycles. Whether FLOP exporting countries share these risks depends on the revenue-sharing model they adopt: a sovereign wealth fund approach (Norway) versus elite capture (Dutch disease). Large-scale compute export revenues could also appreciate the real exchange rate, crowding out other tradable sectors, a channel particularly relevant for small, open economies where data center electricity consumption rivals existing industrial load.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DOJFTC2010"/>
      <w:r>
        <w:rPr>
          <w:color w:val="1F3864"/>
          <w:u w:val="single"/>
        </w:rPr>
        <w:t xml:space="preserve">U.S. Department of Justice and Federal Trade Commission. </w:t>
      </w:r>
      <w:r>
        <w:t xml:space="preserve">(2010). </w:t>
      </w:r>
      <w:r>
        <w:rPr>
          <w:i/>
        </w:rPr>
        <w:t>Horizontal Merger Guidelines</w:t>
      </w:r>
      <w:r>
        <w:t>. Washington, DC.</w:t>
      </w:r>
      <w:bookmarkEnd w:id="540"/>
    </w:p>
    <w:p>
      <w:pPr>
        <w:spacing w:before="0" w:after="80" w:line="240" w:lineRule="exact"/>
        <w:ind w:hanging="720" w:left="720"/>
        <w:jc w:val="both"/>
      </w:pPr>
      <w:bookmarkStart w:id="541" w:name="UNCTAD2025"/>
      <w:r>
        <w:rPr>
          <w:color w:val="1F3864"/>
          <w:u w:val="single"/>
        </w:rPr>
        <w:t xml:space="preserve">UNCTAD. </w:t>
      </w:r>
      <w:r>
        <w:t xml:space="preserve">(2025). </w:t>
      </w:r>
      <w:r>
        <w:rPr>
          <w:i/>
        </w:rPr>
        <w:t>Technology and Innovation Report 2025</w:t>
      </w:r>
      <w:r>
        <w:t>. Geneva: United Nations.</w:t>
      </w:r>
      <w:bookmarkEnd w:id="541"/>
    </w:p>
    <w:p>
      <w:pPr>
        <w:spacing w:before="0" w:after="80" w:line="240" w:lineRule="exact"/>
        <w:ind w:hanging="720" w:left="720"/>
        <w:jc w:val="both"/>
      </w:pPr>
      <w:bookmarkStart w:id="542"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2"/>
    </w:p>
    <w:p>
      <w:pPr>
        <w:spacing w:before="0" w:after="80" w:line="240" w:lineRule="exact"/>
        <w:ind w:hanging="720" w:left="720"/>
        <w:jc w:val="both"/>
      </w:pPr>
      <w:bookmarkStart w:id="543"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3"/>
    </w:p>
    <w:p>
      <w:pPr>
        <w:spacing w:before="0" w:after="80" w:line="240" w:lineRule="exact"/>
        <w:ind w:hanging="720" w:left="720"/>
        <w:jc w:val="both"/>
      </w:pPr>
      <w:bookmarkStart w:id="544"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4"/>
    </w:p>
    <w:p>
      <w:pPr>
        <w:spacing w:before="0" w:after="80" w:line="240" w:lineRule="exact"/>
        <w:ind w:hanging="720" w:left="720"/>
        <w:jc w:val="both"/>
      </w:pPr>
      <w:bookmarkStart w:id="545"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7"/>
    </w:p>
    <w:p>
      <w:pPr>
        <w:spacing w:before="0" w:after="80" w:line="240" w:lineRule="exact"/>
        <w:ind w:hanging="720" w:left="720"/>
        <w:jc w:val="both"/>
      </w:pPr>
      <w:bookmarkStart w:id="548"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8" w:name="WorldBank2024txt"/>
      <w:hyperlink w:anchor="WorldBank2024" w:history="1">
        <w:r>
          <w:rPr>
            <w:color w:val="1F3864"/>
            <w:u w:val="single"/>
          </w:rPr>
          <w:t xml:space="preserve">World Bank</w:t>
        </w:r>
      </w:hyperlink>
      <w:bookmarkEnd w:id="238"/>
      <w:r>
        <w:t xml:space="preserve">. enterprisesurveys.org.</w:t>
      </w:r>
      <w:bookmarkEnd w:id="548"/>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