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25, 2026  18:32</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six developing countries rank among the fifteen cheapest producers after governance adjustment, but bilateral trust deficits eliminate all developing-country exports under the standard sovereignty specification. When a hyperscaler intermediates the transaction, the buyer’s trust attaches to the operator rather than the host country, restoring developing-country competitiveness: six developing economies re-enter as potential exporters. The cross-country cost spread is only 12–20 percent, making compute both the easiest tradable sector for developing countries to enter on cost grounds and the one most vulnerable to small policy-induced frictions. For energy-rich developing countries,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bypassing the manufacturing stage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 xml:space="preserve">Recent megaprojects confirm that FLOP exporting is technically and commercially feasible. Armenia is deploying 50,000 GPUs in a $4 billion investment (</w:t>
      </w:r>
      <w:bookmarkStart w:id="239" w:name="Firebird2026txt"/>
      <w:hyperlink w:anchor="Firebird2026" w:history="1">
        <w:r>
          <w:rPr>
            <w:color w:val="1F3864"/>
            <w:u w:val="single"/>
          </w:rPr>
          <w:t xml:space="preserve">Firebird 2026</w:t>
        </w:r>
      </w:hyperlink>
      <w:bookmarkEnd w:id="239"/>
      <w:r>
        <w:t xml:space="preserve">), Kenya, Saudi Arabia, and Malaysia have each attracted billion-dollar data center commitments, and cloud computing exports already exceed $9 billion annually (</w:t>
      </w:r>
      <w:bookmarkStart w:id="202" w:name="WorldBank2025txt"/>
      <w:hyperlink w:anchor="WorldBank2025" w:history="1">
        <w:r>
          <w:rPr>
            <w:color w:val="1F3864"/>
            <w:u w:val="single"/>
          </w:rPr>
          <w:t xml:space="preserve">World Bank 2025</w:t>
        </w:r>
      </w:hyperlink>
      <w:bookmarkEnd w:id="202"/>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We offer the first such model, treating FLOPs as commodities produced and exported according to Ricardian comparative advantage. We make three contributions. First, we develop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we calibrate the model for 85 countries using data on electricity prices, climate, data center construction costs, and inter-country network latency, correcting for energy subsidies that distort headline cost rankings. Third, we characterize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5" w:name="Korinek2021txt"/>
      <w:hyperlink w:anchor="Korinek2021" w:history="1">
        <w:r>
          <w:rPr>
            <w:color w:val="1F3864"/>
            <w:u w:val="single"/>
          </w:rPr>
          <w:t xml:space="preserve">Korinek and Stiglitz (2021)</w:t>
        </w:r>
      </w:hyperlink>
      <w:bookmarkEnd w:id="205"/>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7" w:name="Brainard1997txt"/>
      <w:hyperlink w:anchor="Brainard1997" w:history="1">
        <w:r>
          <w:rPr>
            <w:color w:val="1F3864"/>
            <w:u w:val="single"/>
          </w:rPr>
          <w:t xml:space="preserve">Brainard (1997)</w:t>
        </w:r>
      </w:hyperlink>
      <w:bookmarkEnd w:id="257"/>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8" w:name="Pilz2025txt"/>
      <w:hyperlink w:anchor="Pilz2025" w:history="1">
        <w:r>
          <w:rPr>
            <w:color w:val="1F3864"/>
            <w:u w:val="single"/>
          </w:rPr>
          <w:t xml:space="preserve">Pilz et al. (2025)</w:t>
        </w:r>
      </w:hyperlink>
      <w:bookmarkEnd w:id="258"/>
      <w:r>
        <w:t xml:space="preserve"> project that AI data center power demand could reach 327 GW by 2030 and that domestic power shortages may push compute infrastructure abroad. The </w:t>
      </w:r>
      <w:bookmarkStart w:id="259" w:name="WorldBank2025txt"/>
      <w:hyperlink w:anchor="WorldBank2025" w:history="1">
        <w:r>
          <w:rPr>
            <w:color w:val="1F3864"/>
            <w:u w:val="single"/>
          </w:rPr>
          <w:t xml:space="preserve">World Bank (2025)</w:t>
        </w:r>
      </w:hyperlink>
      <w:bookmarkEnd w:id="259"/>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5" w:name="Stojkoski2024txt"/>
      <w:hyperlink w:anchor="Stojkoski2024" w:history="1">
        <w:r>
          <w:rPr>
            <w:color w:val="1F3864"/>
            <w:u w:val="single"/>
          </w:rPr>
          <w:t xml:space="preserve">Stojkoski et al. (2024)</w:t>
        </w:r>
      </w:hyperlink>
      <w:bookmarkEnd w:id="255"/>
      <w:r>
        <w:t xml:space="preserve"> document the geography of cloud exports but treat cloud services as homogeneous; the present model adds supply-side cost structure and a training–inference distinction that generates location-specific comparative advantage. The present model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This specification treats the host country as the relevant trust counterparty. When a hyperscaler intermediates the transaction, the relevant counterparty is the operator, not the host.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1" w:name="Eq2txt901"/>
      <w:hyperlink w:anchor="Eq2" w:history="1">
        <w:r>
          <w:rPr>
            <w:color w:val="1F3864"/>
            <w:u w:val="single"/>
          </w:rPr>
          <w:t xml:space="preserve">equation (2)</w:t>
        </w:r>
      </w:hyperlink>
      <w:bookmarkEnd w:id="901"/>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Section 6.2 reports calibration results under both specifications.</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Surveys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4" w:name="Eq3txt904"/>
      <w:hyperlink w:anchor="Eq3" w:history="1">
        <w:r>
          <w:rPr>
            <w:color w:val="1F3864"/>
            <w:u w:val="single"/>
          </w:rPr>
          <w:t xml:space="preserve">eq. (3)</w:t>
        </w:r>
      </w:hyperlink>
      <w:bookmarkEnd w:id="904"/>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6" w:name="Farole2011txt"/>
      <w:hyperlink w:anchor="Farole2011" w:history="1">
        <w:r>
          <w:rPr>
            <w:color w:val="1F3864"/>
            <w:u w:val="single"/>
          </w:rPr>
          <w:t xml:space="preserve">Farole 2011</w:t>
        </w:r>
      </w:hyperlink>
      <w:bookmarkEnd w:id="256"/>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values closer to zero flag thinner cost advantages more easily erased by sovereignty frictions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as specified in equation (2′).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GPUs cannot be shipped to Iran, Russia, or Belarus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9 countries become exporters, 6 of them developing economies: Georgia, Indonesia, Kyrgyzstan, Tajikistan, Turkmenistan, and Ukraine. The developing-country export opportunity identified in the cost rankings (column 3)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 India ($15 billion AdaniConneX/Google campus), Indonesia (120 MW Jakarta), Malaysia (300 MW Johor), Kenya ($1 billion Microsoft/G42 geothermal campus), and Armenia ($4 billion Firebird project) —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 particularly governments and regulated industries —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six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2" w:name="vanderPloeg2011txt"/>
      <w:hyperlink w:anchor="vanderPloeg2011" w:history="1">
        <w:r>
          <w:rPr>
            <w:color w:val="1F3864"/>
            <w:u w:val="single"/>
          </w:rPr>
          <w:t xml:space="preserve">van der Ploeg 2011</w:t>
        </w:r>
      </w:hyperlink>
      <w:bookmarkEnd w:id="232"/>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 Step 5 replaces the bilateral sovereignty premium with equation (2′), in which the trust counterparty is the hyperscaler operator rather than the host country.</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−9.9%</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−8.1%</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−8.0%</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−6.4%</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−6.1%</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000" w:type="dxa"/>
          </w:tcPr>
          <w:p>
            <w:pPr>
              <w:jc w:val="left"/>
              <w:spacing w:before="10" w:after="10"/>
            </w:pPr>
            <w:r/>
            <w:r>
              <w:rPr>
                <w:rFonts w:ascii="Times New Roman" w:hAnsi="Times New Roman"/>
                <w:sz w:val="16"/>
              </w:rPr>
              <w:t>Georgia</w:t>
            </w:r>
          </w:p>
        </w:tc>
        <w:tc>
          <w:tcPr>
            <w:tcBorders>
              <w:bottom w:val="double" w:sz="4" w:space="0" w:color="auto"/>
            </w:tcBorders>
            <w:tcW w:w="1100" w:type="dxa"/>
          </w:tcPr>
          <w:p>
            <w:pPr>
              <w:jc w:val="center"/>
              <w:spacing w:before="10" w:after="10"/>
            </w:pPr>
            <w:r/>
            <w:r>
              <w:rPr>
                <w:rFonts w:ascii="Times New Roman" w:hAnsi="Times New Roman"/>
                <w:sz w:val="16"/>
              </w:rPr>
              <w:t>$1.52</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IE†</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