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20:08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0" w:line="240" w:lineRule="auto"/>
        <w:ind w:firstLine="0" w:left="720" w:right="720"/>
        <w:jc w:val="both"/>
      </w:pPr>
      <w:r>
        <w:rPr>
          <w:b/>
        </w:rPr>
        <w:t xml:space="preserve">JEL Classification: </w:t>
      </w:r>
      <w:r>
        <w:t>F14, F18, L86, O14, O33, Q40</w:t>
      </w:r>
    </w:p>
    <w:p>
      <w:pPr>
        <w:spacing w:before="0" w:after="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0"/>
        <w:ind w:firstLine="0"/>
        <w:jc w:val="both"/>
      </w:pPr>
    </w:p>
    <w:p>
      <w:pPr>
        <w:spacing w:before="0" w:after="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3. Model of Compute Production and Trade</w:t>
      </w:r>
    </w:p>
    <w:p>
      <w:pPr>
        <w:spacing w:before="0" w:after="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0"/>
        <w:ind w:firstLine="0"/>
        <w:jc w:val="both"/>
      </w:pPr>
      <w:r>
        <w:t>This section derives the formal properties of the capacity-constrained equilibrium defined in Section 3. Full derivations are shown in Appendix B.</w:t>
      </w:r>
    </w:p>
    <w:p>
      <w:pPr>
        <w:spacing w:before="0" w:after="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0"/>
        <w:ind w:firstLine="0"/>
        <w:jc w:val="both"/>
      </w:pPr>
    </w:p>
    <w:p>
      <w:pPr>
        <w:spacing w:before="0" w:after="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0"/>
        <w:ind w:firstLine="0"/>
        <w:jc w:val="both"/>
      </w:pP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8. Conclusion</w:t>
      </w:r>
    </w:p>
    <w:p>
      <w:pPr>
        <w:spacing w:before="0" w:after="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