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23:59</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five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26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Kyrgyzstan, Kosovo, Montenegro, Ethiopia, and Vietnam. The Δ column shows the rank change from raw tariffs to the preferred specification (column 1 to column 4): Turkmenistan drops 74 places, Tajikistan drops 36, while Denmark and Iceland rise 27 places. Countries that combine cheap energy with adequate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exports are more dispersed, with the top five exporters being Canada (44%), Finland (7%), Norway (7%), Malaysia (1%), and Singapore (0.4%), collectively accounting for 59% of cross-border inference demand (HHI = 0.20).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8 countries become exporters, 5 of them developing economies: Georgia, Indonesia, Kyrgyzstan, Tajikistan, and Ukraine. The developing-country export opportunity identified in the cost rankings (column 3) is not eliminated by sovereignty — it is blocked by the absence of a trust intermediary and restored when one is present.</w:t>
      </w:r>
      <w:r>
        <w:t xml:space="preserve"> Within the top 25 countries shown in Table 3b, Georgia and Kyrgyzstan are the visible developing-country exporters; the remaining developing-country exporters (Indonesia (rank 39), Ukraine (rank 41), and Tajikistan (rank 48)) appear at lower efficiency-adjusted ranks where their FDI-intermediated costs fall below the import threshold.</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five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