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29, 2026  00:29</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at unsubsidized prices, yet bilateral trust deficits between developing-country producers and OECD buyers eliminate nearly all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machine learning models (ML) has been doubling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of global electricity demand, and that share is projected to exceed 3%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countries can use cheap electricity to produce higher-value-added digital services. For resource-rich developing countries, FLOP exporting offers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5" w:name="AykutEtAl2026txt"/>
      <w:hyperlink w:anchor="AykutEtAl2026" w:history="1">
        <w:r>
          <w:rPr>
            <w:color w:val="1F3864"/>
            <w:u w:val="single"/>
          </w:rPr>
          <w:t xml:space="preserve">Aykut et al. 2026</w:t>
        </w:r>
      </w:hyperlink>
      <w:bookmarkEnd w:id="245"/>
      <w:r>
        <w:t xml:space="preserve">) and annual cloud computing exports exceed $9 billion (</w:t>
      </w:r>
      <w:bookmarkStart w:id="260" w:name="WorldBank2025txt"/>
      <w:hyperlink w:anchor="WorldBank2025" w:history="1">
        <w:r>
          <w:rPr>
            <w:color w:val="1F3864"/>
            <w:u w:val="single"/>
          </w:rPr>
          <w:t xml:space="preserve">World Bank 2025</w:t>
        </w:r>
      </w:hyperlink>
      <w:bookmarkEnd w:id="260"/>
      <w:r>
        <w:t xml:space="preserve">).</w:t>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and makes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Our calibration exercise reveals that cheap electricity and favorable cooling conditions are necessary but not sufficient for competitive compute exporting. Hardware amortization accounts for approximately 90 percent of the compute unit cost,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above is Ricardian (country-specific production costs driven by technology and input prices), but the justification for resource-rich comparative advantage is closer to the Heckscher–Ohlin: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wedge dependence on bilateral institutional alignment follows from the incomplete-contracts theory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Cost advantage and actual investment diverge sharply.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Most investment flows between geopolitical allies, consistent with the bilateral sovereignty premium rather than cost alone driving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reducing the share of global training demand available to foreign producers from 3% to 0%. Inference exports are more resilient to sovereignty premia because the latency advantage of proximity partially insulates regional hubs.</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66" w:name="IMF2025txt"/>
      <w:hyperlink w:anchor="IMF2025" w:history="1">
        <w:r>
          <w:rPr>
            <w:color w:val="1F3864"/>
            <w:u w:val="single"/>
          </w:rPr>
          <w:t xml:space="preserve">IMF 2025</w:t>
        </w:r>
      </w:hyperlink>
      <w:bookmarkEnd w:id="266"/>
      <w:r>
        <w:t xml:space="preserve">). </w:t>
      </w:r>
      <w:bookmarkStart w:id="259" w:name="AlvarezEtAl2026txt"/>
      <w:hyperlink w:anchor="AlvarezEtAl2026" w:history="1">
        <w:r>
          <w:rPr>
            <w:color w:val="1F3864"/>
            <w:u w:val="single"/>
          </w:rPr>
          <w:t xml:space="preserve">Alvarez et al. (2026)</w:t>
        </w:r>
      </w:hyperlink>
      <w:bookmarkEnd w:id="259"/>
      <w:r>
        <w:t xml:space="preserve"> find that in the US, a one-unit increase in log cumulative data-center revenue raises local electricity prices by roughly 0.9 percent, significant at the 1 percent level across all horizons; counties that have ever hosted a data center exhibit a 3.9 percent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of financing capital.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Countries with cheap electricity and favorable cooling conditions face a low barrier to cost-competitiveness. But even modest frictions, such as a sovereignty premium, a governance penalty, or a higher cost of capital, can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Reis, L., Fragkos, P., Briera, T., Boer, H., Egli, F., Emmerling, J., Iyer, G., Mittal, S., Polzin, F., Sanders, M., Schmidt, T., Serebriakova, 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Heim, L., Belfield, H., Anderljung, M., Brundage, M., Hazell, J., O’Keefe, C., Hadfield, G. K., Ngo, R., Pilz, K., Gor, G., Bluemke, E., Shoker, S., Egan, J., Trager, R. F., Avin, S., Weller, A., Bengio, Y., and D. Coyle.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Koch, P., Coll, E.,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He, H., Li, Y., Lyu, X., Steinbuks, J., Vergara Cobos, E., Dann, C., García-Santana, M., and H. Selod.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