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13:17</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3" w:name="EpochAI2024txt"/>
      <w:hyperlink w:anchor="EpochAI2024" w:history="1">
        <w:r>
          <w:rPr>
            <w:color w:val="1F3864"/>
            <w:u w:val="single"/>
          </w:rPr>
          <w:t xml:space="preserve">Epoch AI 2024</w:t>
        </w:r>
      </w:hyperlink>
      <w:bookmarkEnd w:id="233"/>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4" w:name="WorldBank2024txt"/>
      <w:hyperlink w:anchor="WorldBank2024" w:history="1">
        <w:r>
          <w:rPr>
            <w:color w:val="1F3864"/>
            <w:u w:val="single"/>
          </w:rPr>
          <w:t xml:space="preserve">World Bank 2024</w:t>
        </w:r>
      </w:hyperlink>
      <w:bookmarkEnd w:id="234"/>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5" w:name="Sastry2024txt"/>
      <w:hyperlink w:anchor="Sastry2024" w:history="1">
        <w:r>
          <w:rPr>
            <w:color w:val="1F3864"/>
            <w:u w:val="single"/>
          </w:rPr>
          <w:t xml:space="preserve">Sastry et al. 2024</w:t>
        </w:r>
      </w:hyperlink>
      <w:bookmarkEnd w:id="235"/>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6" w:name="Pilz2025txt"/>
      <w:hyperlink w:anchor="Pilz2025" w:history="1">
        <w:r>
          <w:rPr>
            <w:color w:val="1F3864"/>
            <w:u w:val="single"/>
          </w:rPr>
          <w:t xml:space="preserve">Pilz et al. 2025</w:t>
        </w:r>
      </w:hyperlink>
      <w:bookmarkEnd w:id="236"/>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7" w:name="Limao2001txt"/>
      <w:hyperlink w:anchor="Limao2001" w:history="1">
        <w:r>
          <w:rPr>
            <w:color w:val="1F3864"/>
            <w:u w:val="single"/>
          </w:rPr>
          <w:t xml:space="preserve">Limão and Venables (2001)</w:t>
        </w:r>
      </w:hyperlink>
      <w:bookmarkEnd w:id="237"/>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8" w:name="HMY2004txt"/>
      <w:hyperlink w:anchor="HMY2004" w:history="1">
        <w:r>
          <w:rPr>
            <w:color w:val="1F3864"/>
            <w:u w:val="single"/>
          </w:rPr>
          <w:t xml:space="preserve">Helpman et al. (2004)</w:t>
        </w:r>
      </w:hyperlink>
      <w:bookmarkEnd w:id="238"/>
      <w:r>
        <w:t xml:space="preserve"> extend this to heterogeneous firms choosing between exporting and FDI.</w:t>
      </w:r>
    </w:p>
    <w:p>
      <w:pPr>
        <w:spacing w:before="0" w:after="160"/>
        <w:ind w:firstLine="0"/>
        <w:jc w:val="both"/>
      </w:pPr>
      <w:r>
        <w:t xml:space="preserve">On the governance side, </w:t>
      </w:r>
      <w:bookmarkStart w:id="239" w:name="Sastry2024txt"/>
      <w:hyperlink w:anchor="Sastry2024" w:history="1">
        <w:r>
          <w:rPr>
            <w:color w:val="1F3864"/>
            <w:u w:val="single"/>
          </w:rPr>
          <w:t xml:space="preserve">Sastry et al. (2024)</w:t>
        </w:r>
      </w:hyperlink>
      <w:bookmarkEnd w:id="239"/>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0" w:name="Biglaiser2024txt"/>
      <w:hyperlink w:anchor="Biglaiser2024" w:history="1">
        <w:r>
          <w:rPr>
            <w:color w:val="1F3864"/>
            <w:u w:val="single"/>
          </w:rPr>
          <w:t xml:space="preserve">Biglaiser et al. (2024)</w:t>
        </w:r>
      </w:hyperlink>
      <w:bookmarkEnd w:id="240"/>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4,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1" w:name="Eurostat2025txt"/>
      <w:hyperlink w:anchor="Eurostat2025" w:history="1">
        <w:r>
          <w:rPr>
            <w:color w:val="1F3864"/>
            <w:u w:val="single"/>
          </w:rPr>
          <w:t xml:space="preserve">Eurostat 2025</w:t>
        </w:r>
      </w:hyperlink>
      <w:bookmarkEnd w:id="241"/>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runs in the 60–75% range (</w:t>
      </w:r>
      <w:bookmarkStart w:id="242" w:name="Barroso2018txt"/>
      <w:hyperlink w:anchor="Barroso2018" w:history="1">
        <w:r>
          <w:rPr>
            <w:color w:val="1F3864"/>
            <w:u w:val="single"/>
          </w:rPr>
          <w:t xml:space="preserve">Barroso et al. 2018</w:t>
        </w:r>
      </w:hyperlink>
      <w:bookmarkEnd w:id="242"/>
      <w:r>
        <w:t xml:space="preserve">). A new entrant would likely achieve 40–60% utilization in the early years, doubling the effective hardware cost per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w:t>
      </w:r>
      <w:hyperlink w:anchor="TableA1" w:history="1">
        <w:r>
          <w:rPr>
            <w:color w:val="1F3864"/>
            <w:u w:val="single"/>
          </w:rPr>
          <w:t xml:space="preserve">Table A1</w:t>
        </w:r>
      </w:hyperlink>
      <w:r>
        <w:t>.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our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3" w:name="WorldBank2024txt"/>
      <w:hyperlink w:anchor="WorldBank2024" w:history="1">
        <w:r>
          <w:rPr>
            <w:color w:val="1F3864"/>
            <w:u w:val="single"/>
          </w:rPr>
          <w:t xml:space="preserve">World Bank</w:t>
        </w:r>
      </w:hyperlink>
      <w:bookmarkEnd w:id="243"/>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xml:space="preserve">. But this ranking is misleading. Iran’s headline cost rests on electricity priced at $0.005/kWh, a figure sustained by one of the world’s largest fossil fuel subsidies. Turkmenistan, Algeria, Qatar, and several other low-cost producers face similar distortions. </w:t>
      </w:r>
    </w:p>
    <w:p>
      <w:pPr>
        <w:spacing w:before="0" w:after="160"/>
        <w:ind w:firstLine="0"/>
        <w:jc w:val="both"/>
      </w:pPr>
      <w:r>
        <w:t xml:space="preserve">To distinguish genuine comparative advantage from fiscal artifact, we replace subsidized tariffs with cost-recovery prices. These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The resulting cost-recovery ranking—column (2) of </w:t>
      </w:r>
      <w:hyperlink w:anchor="Table3" w:history="1">
        <w:r>
          <w:rPr>
            <w:color w:val="1F3864"/>
            <w:u w:val="single"/>
          </w:rPr>
          <w:t xml:space="preserve">Table 3</w:t>
        </w:r>
      </w:hyperlink>
      <w:r>
        <w:t>—shifts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the export scale, this fiscal arithmetic becomes unsustainable. Iran drops from first to 24th. Eleven countries change their trade regimes.</w:t>
      </w:r>
    </w:p>
    <w:p>
      <w:pPr>
        <w:spacing w:before="0" w:after="160"/>
        <w:ind w:firstLine="0"/>
        <w:jc w:val="both"/>
      </w:pPr>
      <w:r>
        <w:t xml:space="preserve">Dividing the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w:t>
      </w:r>
      <w:hyperlink w:anchor="Table3" w:history="1">
        <w:r>
          <w:rPr>
            <w:color w:val="1F3864"/>
            <w:u w:val="single"/>
          </w:rPr>
          <w:t xml:space="preserve">Table 3</w:t>
        </w:r>
      </w:hyperlink>
      <w:r>
        <w:t xml:space="preserve">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reliability adjustment, the five cheapest producers are </w:t>
      </w:r>
      <w:r>
        <w:t xml:space="preserve">Canada ($1.61/hr), Norway ($1.62/hr), Finland ($1.62/hr), Sweden ($1.63/hr), and Iceland ($1.64/hr). </w:t>
      </w:r>
      <w:r>
        <w:t>The Δ column records the rank change from raw tariffs to the preferred specification: Iran drops 84 places</w:t>
      </w:r>
      <w:r>
        <w:t>, Kyrgyzstan drops 64</w:t>
      </w:r>
      <w:r>
        <w:t xml:space="preserve">, while Austria rises 56 places, </w:t>
      </w:r>
      <w:r>
        <w:t>and Switzerland rises 50</w:t>
      </w:r>
      <w:r>
        <w:t xml:space="preserve">. 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 </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GPU export controls (Section 6.1) and water scarcity in Iran, Turkmenistan, Egypt, and Saudi Arabia further constrain several low-cost producers.</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w:t>
      </w:r>
      <w:hyperlink w:anchor="Table3" w:history="1">
        <w:r>
          <w:rPr>
            <w:color w:val="1F3864"/>
            <w:u w:val="single"/>
          </w:rPr>
          <w:t xml:space="preserve">Table 3</w:t>
        </w:r>
      </w:hyperlink>
      <w:r>
        <w:t xml:space="preserve">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3" w:name="Eq3txt903"/>
      <w:hyperlink w:anchor="Eq3" w:history="1">
        <w:r>
          <w:rPr>
            <w:color w:val="1F3864"/>
            <w:u w:val="single"/>
          </w:rPr>
          <w:t xml:space="preserve">equation (3)</w:t>
        </w:r>
      </w:hyperlink>
      <w:bookmarkEnd w:id="903"/>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w:t>
      </w:r>
      <w:hyperlink w:anchor="TableA1" w:history="1">
        <w:r>
          <w:rPr>
            <w:color w:val="1F3864"/>
            <w:u w:val="single"/>
          </w:rPr>
          <w:t xml:space="preserve">Table A1</w:t>
        </w:r>
      </w:hyperlink>
      <w:r>
        <w:t xml:space="preserve">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w:t>
      </w:r>
      <w:hyperlink w:anchor="TableA1" w:history="1">
        <w:r>
          <w:rPr>
            <w:color w:val="1F3864"/>
            <w:u w:val="single"/>
          </w:rPr>
          <w:t xml:space="preserve">Table A1</w:t>
        </w:r>
      </w:hyperlink>
      <w:r>
        <w:t xml:space="preserve">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6" w:name="EatonKortum2002txt"/>
      <w:hyperlink w:anchor="EatonKortum2002" w:history="1">
        <w:r>
          <w:rPr>
            <w:color w:val="1F3864"/>
            <w:u w:val="single"/>
          </w:rPr>
          <w:t xml:space="preserve">Eaton and Kortum 2002</w:t>
        </w:r>
      </w:hyperlink>
      <w:bookmarkEnd w:id="246"/>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Given the narrow cross-country cost spread documented in Section 6, institutional quality, sovereignty preferences, and access to GPU hardware are often decisive in determining actual data center location.For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47" w:name="vanderPloeg2011txt"/>
      <w:hyperlink w:anchor="vanderPloeg2011" w:history="1">
        <w:r>
          <w:rPr>
            <w:color w:val="1F3864"/>
            <w:u w:val="single"/>
          </w:rPr>
          <w:t xml:space="preserve">van der Ploeg 2011</w:t>
        </w:r>
      </w:hyperlink>
      <w:bookmarkEnd w:id="247"/>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1" w:name="WorldBank2024txt"/>
      <w:hyperlink w:anchor="WorldBank2024" w:history="1">
        <w:r>
          <w:rPr>
            <w:i/>
            <w:color w:val="1F3864"/>
            <w:u w:val="single"/>
          </w:rPr>
          <w:t xml:space="preserve">World Bank</w:t>
        </w:r>
      </w:hyperlink>
      <w:bookmarkEnd w:id="231"/>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4" w:name="Eq3txt904"/>
      <w:hyperlink w:anchor="Eq3" w:history="1">
        <w:r>
          <w:rPr>
            <w:sz w:val="20"/>
            <w:color w:val="1F3864"/>
            <w:u w:val="single"/>
          </w:rPr>
          <w:t xml:space="preserve">equation (3)</w:t>
        </w:r>
      </w:hyperlink>
      <w:bookmarkEnd w:id="904"/>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5" w:name="Eq1txt905"/>
      <w:hyperlink w:anchor="Eq1" w:history="1">
        <w:r>
          <w:rPr>
            <w:color w:val="1F3864"/>
            <w:u w:val="single"/>
          </w:rPr>
          <w:t xml:space="preserve">equation (1)</w:t>
        </w:r>
      </w:hyperlink>
      <w:bookmarkEnd w:id="905"/>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6" w:name="Eq3txt906"/>
      <w:hyperlink w:anchor="Eq3" w:history="1">
        <w:r>
          <w:rPr>
            <w:color w:val="1F3864"/>
            <w:u w:val="single"/>
          </w:rPr>
          <w:t xml:space="preserve">equation (3)</w:t>
        </w:r>
      </w:hyperlink>
      <w:bookmarkEnd w:id="906"/>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