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v20  —  February 18, 2026  17:10</w:t>
      </w:r>
    </w:p>
    <w:p>
      <w:pPr>
        <w:spacing w:before="240" w:after="160" w:line="240" w:lineRule="auto"/>
        <w:ind w:firstLine="0" w:left="720" w:right="720"/>
        <w:jc w:val="both"/>
      </w:pPr>
      <w:r>
        <w:rPr>
          <w:b/>
        </w:rPr>
        <w:t>Abstract</w:t>
      </w:r>
      <w:r>
        <w:t>: This paper develops a trade model in which computing services (FLOPs) are produced and traded internationally, with costs driven by electricity prices, climate, and construction costs.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location choices. For energy-rich developing countries with limited export diversification, compute exports offer a pathway to convert natural resources into high-value digital services and integrate into the global economy.</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Demand for computational resources is driven by the expansion of artificial intelligence. The compute used to train the largest AI models has been doubling every six months since 2010 (</w:t>
      </w:r>
      <w:bookmarkStart w:id="235" w:name="EpochAI2024txt"/>
      <w:hyperlink w:anchor="EpochAI2024" w:history="1">
        <w:r>
          <w:rPr>
            <w:color w:val="1F3864"/>
            <w:u w:val="single"/>
          </w:rPr>
          <w:t xml:space="preserve">Epoch AI 2024</w:t>
        </w:r>
      </w:hyperlink>
      <w:bookmarkEnd w:id="235"/>
      <w:r>
        <w:t xml:space="preserve">). Data centers accounted for approximately 1.5% of global electricity demand in 2024—more than the electricity consumption of France—a share projected to more than double by 2030 (</w:t>
      </w:r>
      <w:bookmarkStart w:id="252" w:name="IEA2025txt"/>
      <w:hyperlink w:anchor="IEA2025" w:history="1">
        <w:r>
          <w:rPr>
            <w:color w:val="1F3864"/>
            <w:u w:val="single"/>
          </w:rPr>
          <w:t xml:space="preserve">IEA 2025</w:t>
        </w:r>
      </w:hyperlink>
      <w:bookmarkEnd w:id="252"/>
      <w:r>
        <w:t xml:space="preserve">).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computation creates a new type of export opportunity. This paper refers to converting cheap electricity into exportable compute services as </w:t>
      </w:r>
      <w:r>
        <w:rPr>
          <w:i/>
        </w:rPr>
        <w:t>FLOP exporting</w:t>
      </w:r>
      <w:r>
        <w:t xml:space="preserve">—the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(operated by providers such as Amazon Web Services, Microsoft Azure, or Google Cloud) employs only about 50 permanent staff (</w:t>
      </w:r>
      <w:bookmarkStart w:id="236" w:name="UptimeInstitute2024txt"/>
      <w:hyperlink w:anchor="UptimeInstitute2024" w:history="1">
        <w:r>
          <w:rPr>
            <w:color w:val="1F3864"/>
            <w:u w:val="single"/>
          </w:rPr>
          <w:t xml:space="preserve">Uptime Institute 2024</w:t>
        </w:r>
      </w:hyperlink>
      <w:bookmarkEnd w:id="236"/>
      <w:r>
        <w:t xml:space="preserve">), so the human capital constraints that have historically limited export upgrading in developing countries (</w:t>
      </w:r>
      <w:bookmarkStart w:id="202" w:name="Hausmann2007txt"/>
      <w:hyperlink w:anchor="Hausmann2007" w:history="1">
        <w:r>
          <w:rPr>
            <w:color w:val="1F3864"/>
            <w:u w:val="single"/>
          </w:rPr>
          <w:t xml:space="preserve">Hausmann, Hwang, and Rodrik 2007</w:t>
        </w:r>
      </w:hyperlink>
      <w:bookmarkEnd w:id="202"/>
      <w:r>
        <w:t xml:space="preserve">) are largely absent.</w:t>
      </w:r>
      <w:r>
        <w:rPr>
          <w:rStyle w:val="FootnoteReference"/>
        </w:rPr>
        <w:footnoteReference w:id="3"/>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already technically and commercially feasible. Armenia is deploying 50,000 GPUs in a $4 billion AI megaproject (</w:t>
      </w:r>
      <w:bookmarkStart w:id="203" w:name="Firebird2026txt"/>
      <w:hyperlink w:anchor="Firebird2026" w:history="1">
        <w:r>
          <w:rPr>
            <w:color w:val="1F3864"/>
            <w:u w:val="single"/>
          </w:rPr>
          <w:t xml:space="preserve">Firebird 2026</w:t>
        </w:r>
      </w:hyperlink>
      <w:bookmarkEnd w:id="203"/>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4" w:name="WorldBank2025txt"/>
      <w:hyperlink w:anchor="WorldBank2025" w:history="1">
        <w:r>
          <w:rPr>
            <w:color w:val="1F3864"/>
            <w:u w:val="single"/>
          </w:rPr>
          <w:t xml:space="preserve">World Bank 2025</w:t>
        </w:r>
      </w:hyperlink>
      <w:bookmarkEnd w:id="204"/>
      <w:r>
        <w:t xml:space="preserve">). A 40 MW data center in Kyrgyzstan could generate annual revenue of $630–950 million at wholesale contract rates, equivalent to over 15% of Kyrgyzstan’s $3.8 billion in goods exports (</w:t>
      </w:r>
      <w:bookmarkStart w:id="237" w:name="WorldBank2024txt"/>
      <w:hyperlink w:anchor="WorldBank2024" w:history="1">
        <w:r>
          <w:rPr>
            <w:color w:val="1F3864"/>
            <w:u w:val="single"/>
          </w:rPr>
          <w:t xml:space="preserve">World Bank 2024</w:t>
        </w:r>
      </w:hyperlink>
      <w:bookmarkEnd w:id="237"/>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8" w:name="Sastry2024txt"/>
      <w:hyperlink w:anchor="Sastry2024" w:history="1">
        <w:r>
          <w:rPr>
            <w:color w:val="1F3864"/>
            <w:u w:val="single"/>
          </w:rPr>
          <w:t xml:space="preserve">Sastry, Heim, et al. 2024</w:t>
        </w:r>
      </w:hyperlink>
      <w:bookmarkEnd w:id="238"/>
      <w:r>
        <w:t xml:space="preserve">, </w:t>
      </w:r>
      <w:bookmarkStart w:id="205" w:name="Lehdonvirta2024txt"/>
      <w:hyperlink w:anchor="Lehdonvirta2024" w:history="1">
        <w:r>
          <w:rPr>
            <w:color w:val="1F3864"/>
            <w:u w:val="single"/>
          </w:rPr>
          <w:t xml:space="preserve">Lehdonvirta, Wu, and Hawkins 2024</w:t>
        </w:r>
      </w:hyperlink>
      <w:bookmarkEnd w:id="205"/>
      <w:r>
        <w:t xml:space="preserve">, </w:t>
      </w:r>
      <w:bookmarkStart w:id="239" w:name="Pilz2025txt"/>
      <w:hyperlink w:anchor="Pilz2025" w:history="1">
        <w:r>
          <w:rPr>
            <w:color w:val="1F3864"/>
            <w:u w:val="single"/>
          </w:rPr>
          <w:t xml:space="preserve">Pilz, Mahmood, and Heim 2025</w:t>
        </w:r>
      </w:hyperlink>
      <w:bookmarkEnd w:id="239"/>
      <w:r>
        <w:t xml:space="preserve">),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6" w:name="Goldfarb2018txt"/>
      <w:hyperlink w:anchor="Goldfarb2018" w:history="1">
        <w:r>
          <w:rPr>
            <w:color w:val="1F3864"/>
            <w:u w:val="single"/>
          </w:rPr>
          <w:t xml:space="preserve">Goldfarb and Trefler (2018)</w:t>
        </w:r>
      </w:hyperlink>
      <w:bookmarkEnd w:id="206"/>
      <w:r>
        <w:t xml:space="preserve"> argue that AI shifts comparative advantage toward countries with data, human capital, and institutional capacity. The model introduces a complementary mechanism—comparative advantage in compute</w:t>
      </w:r>
      <w:r>
        <w:rPr>
          <w:i/>
        </w:rPr>
        <w:t>production</w:t>
      </w:r>
      <w:r>
        <w:t xml:space="preserve"> depends on electricity costs and climate, so resource-rich countries could become compute exporters without domestic AI research industries. </w:t>
      </w:r>
      <w:bookmarkStart w:id="240" w:name="Korinek2021txt"/>
      <w:hyperlink w:anchor="Korinek2021" w:history="1">
        <w:r>
          <w:rPr>
            <w:color w:val="1F3864"/>
            <w:u w:val="single"/>
          </w:rPr>
          <w:t xml:space="preserve">Korinek and Stiglitz (2021)</w:t>
        </w:r>
      </w:hyperlink>
      <w:bookmarkEnd w:id="240"/>
      <w:r>
        <w:t xml:space="preserve"> raise the possibility that developing countries could be left behind in the AI revolution. FLOP exporting offers a pathway for energy-rich developing countries to participate. The concept of FLOP exporting as value chain upgrading connects to </w:t>
      </w:r>
      <w:bookmarkStart w:id="207" w:name="Hausmann2007txt"/>
      <w:hyperlink w:anchor="Hausmann2007" w:history="1">
        <w:r>
          <w:rPr>
            <w:color w:val="1F3864"/>
            <w:u w:val="single"/>
          </w:rPr>
          <w:t xml:space="preserve">Hausmann, Hwang, and Rodrik (2007)</w:t>
        </w:r>
      </w:hyperlink>
      <w:bookmarkEnd w:id="207"/>
      <w:r>
        <w:t xml:space="preserve">, who show that what a country exports matters for growth. </w:t>
      </w:r>
      <w:bookmarkStart w:id="241" w:name="Limao2001txt"/>
      <w:hyperlink w:anchor="Limao2001" w:history="1">
        <w:r>
          <w:rPr>
            <w:color w:val="1F3864"/>
            <w:u w:val="single"/>
          </w:rPr>
          <w:t xml:space="preserve">Limão and Venables (2001)</w:t>
        </w:r>
      </w:hyperlink>
      <w:bookmarkEnd w:id="241"/>
      <w:r>
        <w:t xml:space="preserve"> demonstrate that infrastructure quality determines trade costs. In the model, network infrastructure plays the analogous role for digital trade. </w:t>
      </w:r>
      <w:bookmarkStart w:id="253" w:name="Krugman1991txt"/>
      <w:hyperlink w:anchor="Krugman1991" w:history="1">
        <w:r>
          <w:rPr>
            <w:color w:val="1F3864"/>
            <w:u w:val="single"/>
          </w:rPr>
          <w:t xml:space="preserve">Krugman (1991)</w:t>
        </w:r>
      </w:hyperlink>
      <w:bookmarkEnd w:id="253"/>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Tozer, and Whitehead (2013)</w:t>
        </w:r>
      </w:hyperlink>
      <w:bookmarkEnd w:id="208"/>
      <w:r>
        <w:t xml:space="preserve"> show that climate affects data center cooling costs. </w:t>
      </w:r>
      <w:bookmarkStart w:id="242" w:name="Oltmanns2021txt"/>
      <w:hyperlink w:anchor="Oltmanns2021" w:history="1">
        <w:r>
          <w:rPr>
            <w:color w:val="1F3864"/>
            <w:u w:val="single"/>
          </w:rPr>
          <w:t xml:space="preserve">Oltmanns, Krcmarik, and Gatti (2021)</w:t>
        </w:r>
      </w:hyperlink>
      <w:bookmarkEnd w:id="242"/>
      <w:r>
        <w:t xml:space="preserve"> model data center location as a function of electricity prices, climate, connectivity, and political stability. </w:t>
      </w:r>
      <w:bookmarkStart w:id="259" w:name="Liu2023txt"/>
      <w:hyperlink w:anchor="Liu2023" w:history="1">
        <w:r>
          <w:rPr>
            <w:color w:val="1F3864"/>
            <w:u w:val="single"/>
          </w:rPr>
          <w:t xml:space="preserve">Liu et al. (2023)</w:t>
        </w:r>
      </w:hyperlink>
      <w:bookmarkEnd w:id="259"/>
      <w:r>
        <w:t xml:space="preserve"> study data center placement under renewable energy constraints. These studies focus on where firms should build data centers.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54" w:name="HMY2004txt"/>
      <w:hyperlink w:anchor="HMY2004" w:history="1">
        <w:r>
          <w:rPr>
            <w:color w:val="1F3864"/>
            <w:u w:val="single"/>
          </w:rPr>
          <w:t xml:space="preserve">Helpman, Melitz, and Yeaple (2004)</w:t>
        </w:r>
      </w:hyperlink>
      <w:bookmarkEnd w:id="254"/>
      <w:r>
        <w:t xml:space="preserve"> extend this to heterogeneous firms choosing between exporting and FDI.</w:t>
      </w:r>
    </w:p>
    <w:p>
      <w:pPr>
        <w:spacing w:before="0" w:after="160"/>
        <w:ind w:firstLine="0"/>
        <w:jc w:val="both"/>
      </w:pPr>
      <w:r>
        <w:t xml:space="preserve">Several papers address compute governance directly. </w:t>
      </w:r>
      <w:bookmarkStart w:id="255" w:name="Sastry2024txt"/>
      <w:hyperlink w:anchor="Sastry2024" w:history="1">
        <w:r>
          <w:rPr>
            <w:color w:val="1F3864"/>
            <w:u w:val="single"/>
          </w:rPr>
          <w:t xml:space="preserve">Sastry, Heim, et al. (2024)</w:t>
        </w:r>
      </w:hyperlink>
      <w:bookmarkEnd w:id="255"/>
      <w:r>
        <w:t xml:space="preserve"> argue that compute is well-suited for regulation because governments can track the number of chips in circulation, restrict who can buy them, and measure how much computation they perform. </w:t>
      </w:r>
      <w:bookmarkStart w:id="243" w:name="Lehdonvirta2024txt"/>
      <w:hyperlink w:anchor="Lehdonvirta2024" w:history="1">
        <w:r>
          <w:rPr>
            <w:color w:val="1F3864"/>
            <w:u w:val="single"/>
          </w:rPr>
          <w:t xml:space="preserve">Lehdonvirta, Wu, and Hawkins (2024)</w:t>
        </w:r>
      </w:hyperlink>
      <w:bookmarkEnd w:id="243"/>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Mahmood, and Heim (2025)</w:t>
        </w:r>
      </w:hyperlink>
      <w:bookmarkEnd w:id="256"/>
      <w:r>
        <w:t xml:space="preserve"> project that AI data center power demand could reach 327 GW by 2030 and that domestic power shortages may push compute infrastructure abroad. The </w:t>
      </w:r>
      <w:bookmarkStart w:id="262" w:name="WorldBank2025txt"/>
      <w:hyperlink w:anchor="WorldBank2025" w:history="1">
        <w:r>
          <w:rPr>
            <w:color w:val="1F3864"/>
            <w:u w:val="single"/>
          </w:rPr>
          <w:t xml:space="preserve">World Bank (2025)</w:t>
        </w:r>
      </w:hyperlink>
      <w:bookmarkEnd w:id="262"/>
      <w:r>
        <w:t xml:space="preserve"> documents the resulting global compute divide: high-income countries hold 77% of colocation data center capacity and account for 87% of cloud computing exports (</w:t>
      </w:r>
      <w:bookmarkStart w:id="260" w:name="Stojkoski2024txt"/>
      <w:hyperlink w:anchor="Stojkoski2024" w:history="1">
        <w:r>
          <w:rPr>
            <w:color w:val="1F3864"/>
            <w:u w:val="single"/>
          </w:rPr>
          <w:t xml:space="preserve">Stojkoski et al. 2024</w:t>
        </w:r>
      </w:hyperlink>
      <w:bookmarkEnd w:id="260"/>
      <w:r>
        <w:t xml:space="preserve">), but the report offers descriptive evidence without a formal framework linking production costs to trade patterns. On the industrial organization side, </w:t>
      </w:r>
      <w:bookmarkStart w:id="209" w:name="Biglaiser2024txt"/>
      <w:hyperlink w:anchor="Biglaiser2024" w:history="1">
        <w:r>
          <w:rPr>
            <w:color w:val="1F3864"/>
            <w:u w:val="single"/>
          </w:rPr>
          <w:t xml:space="preserve">Biglaiser, Crémer, and Mantovani (2024)</w:t>
        </w:r>
      </w:hyperlink>
      <w:bookmarkEnd w:id="209"/>
      <w:r>
        <w:t xml:space="preserve"> survey the economics of cloud markets—switching costs, egress fees, and platform competition among hyperscalers—but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The production of compute at scale takes place in data centers that house thousands of GPU-equipped servers. Consider </w:t>
      </w:r>
      <m:oMath>
        <m:r>
          <m:rPr>
            <m:sty m:val="i"/>
          </m:rPr>
          <w:rPr>
            <w:rFonts w:ascii="Cambria Math" w:hAnsi="Cambria Math"/>
          </w:rPr>
          <m:t xml:space="preserve">N</m:t>
        </m:r>
      </m:oMath>
      <w:r>
        <w:t xml:space="preserve"> countries, each capable of producing compute services. The unit cost of producing one GPU-hour of compute in country </w:t>
      </w:r>
      <m:oMath>
        <m:r>
          <m:rPr>
            <m:sty m:val="i"/>
          </m:rPr>
          <w:rPr>
            <w:rFonts w:ascii="Cambria Math" w:hAnsi="Cambria Math"/>
          </w:rPr>
          <m:t xml:space="preserve">j</m:t>
        </m:r>
      </m:oMath>
      <w:r>
        <w:t xml:space="preserve"> depends on three inputs—electricity, hardware, and data center construction.</w:t>
      </w:r>
      <w:r>
        <w:rPr>
          <w:rStyle w:val="FootnoteReference"/>
        </w:rPr>
        <w:footnoteReference w:id="6"/>
      </w:r>
    </w:p>
    <w:p>
      <w:pPr>
        <w:spacing w:before="0" w:after="160"/>
        <w:ind w:firstLine="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210" w:name="Flucker2013txt"/>
      <w:hyperlink w:anchor="Flucker2013" w:history="1">
        <w:r>
          <w:rPr>
            <w:color w:val="1F3864"/>
            <w:u w:val="single"/>
          </w:rPr>
          <w:t xml:space="preserve">Flucker, Tozer, and Whitehead 2013</w:t>
        </w:r>
      </w:hyperlink>
      <w:bookmarkEnd w:id="210"/>
      <w:r>
        <w:t xml:space="preserve">). PUE is modeled as a linear function of peak summer temperature: </w:t>
      </w: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w:r>
        <w:t xml:space="preserve">, where </w:t>
      </w:r>
      <m:oMath>
        <m:r>
          <m:rPr>
            <m:sty m:val="i"/>
          </m:rPr>
          <w:rPr>
            <w:rFonts w:ascii="Cambria Math" w:hAnsi="Cambria Math"/>
          </w:rPr>
          <m:t xml:space="preserve">φ</m:t>
        </m:r>
      </m:oMath>
      <w:r>
        <w:t xml:space="preserve"> is the baseline PUE in cold climates and </w:t>
      </w:r>
      <m:oMath>
        <m:r>
          <m:rPr>
            <m:sty m:val="i"/>
          </m:rPr>
          <w:rPr>
            <w:rFonts w:ascii="Cambria Math" w:hAnsi="Cambria Math"/>
          </w:rPr>
          <m:t xml:space="preserve">δ</m:t>
        </m:r>
      </m:oMath>
      <w:r>
        <w:t xml:space="preserve"> is the sensitivity per °C above the reference temperature </w:t>
      </w:r>
      <m:oMath>
        <m:bar>
          <m:barPr>
            <m:pos m:val="top"/>
          </m:barPr>
          <m:e>
            <m:r>
              <m:rPr>
                <m:sty m:val="i"/>
              </m:rPr>
              <w:rPr>
                <w:rFonts w:ascii="Cambria Math" w:hAnsi="Cambria Math"/>
              </w:rPr>
              <m:t xml:space="preserve">θ</m:t>
            </m:r>
          </m:e>
        </m:bar>
      </m:oMath>
      <w:r>
        <w:t>. PUE ranges from 1.08 in cold climates to over 1.4 in hot ones.</w:t>
      </w:r>
      <w:r>
        <w:rPr>
          <w:rStyle w:val="FootnoteReference"/>
        </w:rPr>
        <w:footnoteReference w:id="7"/>
      </w:r>
    </w:p>
    <w:p>
      <w:pPr>
        <w:spacing w:before="0" w:after="40"/>
        <w:ind w:firstLine="0"/>
        <w:jc w:val="both"/>
      </w:pPr>
      <w:r>
        <w:t xml:space="preserve">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(through PUE), and construction costs.</w:t>
      </w:r>
    </w:p>
    <w:p>
      <w:pPr>
        <w:spacing w:before="0" w:after="160"/>
        <w:ind w:firstLine="0"/>
        <w:jc w:val="both"/>
      </w:pPr>
      <w:r>
        <w:t xml:space="preserve">Countries export goods intensive in their abundant factors (</w:t>
      </w:r>
      <w:bookmarkStart w:id="211" w:name="Ohlin1933txt"/>
      <w:hyperlink w:anchor="Ohlin1933" w:history="1">
        <w:r>
          <w:rPr>
            <w:color w:val="1F3864"/>
            <w:u w:val="single"/>
          </w:rPr>
          <w:t xml:space="preserve">Ohlin 1933</w:t>
        </w:r>
      </w:hyperlink>
      <w:bookmarkEnd w:id="211"/>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Following the trade-in-tasks framework of </w:t>
      </w:r>
      <w:bookmarkStart w:id="212" w:name="Grossman2008txt"/>
      <w:hyperlink w:anchor="Grossman2008" w:history="1">
        <w:r>
          <w:rPr>
            <w:color w:val="1F3864"/>
            <w:u w:val="single"/>
          </w:rPr>
          <w:t xml:space="preserve">Grossman and Rossi-Hansberg (2008)</w:t>
        </w:r>
      </w:hyperlink>
      <w:bookmarkEnd w:id="212"/>
      <w:r>
        <w:t xml:space="preserve"> and the iceberg cost structure of </w:t>
      </w:r>
      <w:bookmarkStart w:id="244" w:name="EatonKortum2002txt"/>
      <w:hyperlink w:anchor="EatonKortum2002" w:history="1">
        <w:r>
          <w:rPr>
            <w:color w:val="1F3864"/>
            <w:u w:val="single"/>
          </w:rPr>
          <w:t xml:space="preserve">Eaton and Kortum (2002)</w:t>
        </w:r>
      </w:hyperlink>
      <w:bookmarkEnd w:id="244"/>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and back, measured in milliseconds (ms). Within a country, latency is typically 5–10 ms, while across continents it can exceed 150 ms. For training, the workload ships to the seller,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3" w:name="Hummels2013txt"/>
      <w:hyperlink w:anchor="Hummels2013" w:history="1">
        <w:r>
          <w:rPr>
            <w:color w:val="1F3864"/>
            <w:u w:val="single"/>
          </w:rPr>
          <w:t xml:space="preserve">Hummels and Schaur (2013)</w:t>
        </w:r>
      </w:hyperlink>
      <w:bookmarkEnd w:id="213"/>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 compiled from industry sources as follows: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r>
        <w:t xml:space="preserve">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4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Following </w:t>
      </w:r>
      <w:bookmarkStart w:id="214" w:name="DFS1977txt"/>
      <w:hyperlink w:anchor="DFS1977" w:history="1">
        <w:r>
          <w:rPr>
            <w:color w:val="1F3864"/>
            <w:u w:val="single"/>
          </w:rPr>
          <w:t xml:space="preserve">Dornbusch, Fischer, and Samuelson (1977)</w:t>
        </w:r>
      </w:hyperlink>
      <w:bookmarkEnd w:id="214"/>
      <w:r>
        <w:t xml:space="preserve">, countries are ranked by production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 xml:space="preserve">. In the capacity-constrained equilibrium, exporters fill demand in cost order, with country (1) supplying up to its capacity, then country (2), and so on.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at which cumulative capacity first meets export demand. The equilibrium training price equals the marginal exporter’s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measuring the incremental gain from relaxing the capacity ceiling by one GPU-hour.</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pPr>
        <w:pStyle w:val="Heading1"/>
      </w:pPr>
      <w:r>
        <w:rPr>
          <w:rFonts w:ascii="Times New Roman" w:hAnsi="Times New Roman"/>
          <w:b/>
          <w:color w:val="2F5496"/>
          <w:sz w:val="28"/>
        </w:rPr>
        <w:t>4. Equilibrium Properties Results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rPr>
        <w:t xml:space="preserve">Proposition 1 (Country Taxonomy). </w:t>
      </w:r>
      <w:r>
        <w:t>In equilibrium, each country falls into exactly one of three regimes: (i) exporter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when the country supplies compute to the world market up to its capacity, (ii) domestic producer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the sovereignty premium makes domestic production cheaper than importing, and (iii) importer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when even with the sovereignty markup, foreign compute is cheaper. The three cases partition the cost space and are mutually exclusive.</w:t>
      </w:r>
    </w:p>
    <w:p>
      <w:pPr>
        <w:spacing w:before="0" w:after="160"/>
        <w:ind w:firstLine="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t>
      </w:r>
      <w:bookmarkStart w:id="215" w:name="DOJFTC2010txt"/>
      <w:hyperlink w:anchor="DOJFTC2010" w:history="1">
        <w:r>
          <w:rPr>
            <w:color w:val="1F3864"/>
            <w:u w:val="single"/>
          </w:rPr>
          <w:t xml:space="preserve">U.S. DOJ and FTC 2010</w:t>
        </w:r>
      </w:hyperlink>
      <w:bookmarkEnd w:id="215"/>
      <w:r>
        <w:t xml:space="preserve">). Intuitively, when cheap producers hit capacity limits, residual demand spills over to costlier suppliers, spreading market shares more evenly. The proof follows from the strict Cauchy-Schwarz inequality when at least two producers hold positive market shares.</w:t>
      </w:r>
    </w:p>
    <w:p>
      <w:pPr>
        <w:spacing w:before="0" w:after="160"/>
        <w:ind w:firstLine="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a higher world price makes imports more expensive.</w:t>
      </w:r>
    </w:p>
    <w:p>
      <w:pPr>
        <w:spacing w:before="0" w:after="160"/>
        <w:ind w:firstLine="0"/>
        <w:jc w:val="both"/>
      </w:pPr>
      <w:r>
        <w:rPr>
          <w:b/>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grid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which corresponds to large industrial consumers (</w:t>
      </w:r>
      <w:bookmarkStart w:id="245" w:name="Eurostat2025txt"/>
      <w:hyperlink w:anchor="Eurostat2025" w:history="1">
        <w:r>
          <w:rPr>
            <w:color w:val="1F3864"/>
            <w:u w:val="single"/>
          </w:rPr>
          <w:t xml:space="preserve">Eurostat 2025</w:t>
        </w:r>
      </w:hyperlink>
      <w:bookmarkEnd w:id="245"/>
      <w:r>
        <w:t xml:space="preserve">). For non-European countries, the paper uses national regulator tariff sheets and secondary sources, including U.S. Energy Information Administration (</w:t>
      </w:r>
      <w:bookmarkStart w:id="257" w:name="EIA2025txt"/>
      <w:hyperlink w:anchor="EIA2025" w:history="1">
        <w:r>
          <w:rPr>
            <w:color w:val="1F3864"/>
            <w:u w:val="single"/>
          </w:rPr>
          <w:t xml:space="preserve">EIA 2025</w:t>
        </w:r>
      </w:hyperlink>
      <w:bookmarkEnd w:id="257"/>
      <w:r>
        <w:t xml:space="preserve">) for the United States, KEPCO for South Korea, national utility tariffs for Central Asian countries (Barki Tojik, AERA, Ministry of Energy of Uzbekistan), and </w:t>
      </w:r>
      <w:bookmarkStart w:id="216" w:name="GlobalPetrolPrices2025txt"/>
      <w:hyperlink w:anchor="GlobalPetrolPrices2025" w:history="1">
        <w:r>
          <w:rPr>
            <w:color w:val="1F3864"/>
            <w:u w:val="single"/>
          </w:rPr>
          <w:t xml:space="preserve">GlobalPetrolPrices (2025)</w:t>
        </w:r>
      </w:hyperlink>
      <w:bookmarkEnd w:id="216"/>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8" w:name="TurnerTownsend2025txt"/>
      <w:hyperlink w:anchor="TurnerTownsend2025" w:history="1">
        <w:r>
          <w:rPr>
            <w:color w:val="1F3864"/>
            <w:u w:val="single"/>
          </w:rPr>
          <w:t xml:space="preserve">Turner &amp; Townsend 2025</w:t>
        </w:r>
      </w:hyperlink>
      <w:bookmarkEnd w:id="218"/>
      <w:r>
        <w:t xml:space="preserve">). For the remaining countries, construction costs are predicted using a log-linear regression of ln($/W) on ln(GDP per capita), urban population share, a seismic zone indicator, and </w:t>
      </w:r>
      <w:bookmarkStart w:id="246" w:name="WorldBank2024txt"/>
      <w:hyperlink w:anchor="WorldBank2024" w:history="1">
        <w:r>
          <w:rPr>
            <w:color w:val="1F3864"/>
            <w:u w:val="single"/>
          </w:rPr>
          <w:t xml:space="preserve">World Bank</w:t>
        </w:r>
      </w:hyperlink>
      <w:bookmarkEnd w:id="246"/>
      <w:r>
        <w:t xml:space="preserve"> regional dummies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The per-GPU construction cost in </w:t>
      </w:r>
      <w:bookmarkStart w:id="901" w:name="Eq1txt901"/>
      <w:hyperlink w:anchor="Eq1" w:history="1">
        <w:r>
          <w:rPr>
            <w:color w:val="1F3864"/>
            <w:u w:val="single"/>
          </w:rPr>
          <w:t xml:space="preserve">equation (1)</w:t>
        </w:r>
      </w:hyperlink>
      <w:bookmarkEnd w:id="901"/>
      <w:r>
        <w:t xml:space="preserve"> equals 700 W (the GPU thermal design power) times the build cost per watt.</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with list price $25,000, thermal design power 700W, economic lifetime 3 years, utilization rate 70% (</w:t>
      </w:r>
      <w:bookmarkStart w:id="220" w:name="Barroso2018txt"/>
      <w:hyperlink w:anchor="Barroso2018" w:history="1">
        <w:r>
          <w:rPr>
            <w:color w:val="1F3864"/>
            <w:u w:val="single"/>
          </w:rPr>
          <w:t xml:space="preserve">Barroso, Hölzle, and Ranganathan 2018</w:t>
        </w:r>
      </w:hyperlink>
      <w:bookmarkEnd w:id="220"/>
      <w:r>
        <w:t xml:space="preserve">; </w:t>
      </w:r>
      <w:bookmarkStart w:id="258" w:name="NVIDIA2024txt"/>
      <w:hyperlink w:anchor="NVIDIA2024" w:history="1">
        <w:r>
          <w:rPr>
            <w:color w:val="1F3864"/>
            <w:u w:val="single"/>
          </w:rPr>
          <w:t xml:space="preserve">NVIDIA 2024</w:t>
        </w:r>
      </w:hyperlink>
      <w:bookmarkEnd w:id="258"/>
      <w:r>
        <w:t xml:space="preserve">). Google’s fleet-wide GPU utilization, after years of optimization with custom schedulers and workload packing, runs in the 60–75% range (</w:t>
      </w:r>
      <w:bookmarkStart w:id="247" w:name="Barroso2018txt"/>
      <w:hyperlink w:anchor="Barroso2018" w:history="1">
        <w:r>
          <w:rPr>
            <w:color w:val="1F3864"/>
            <w:u w:val="single"/>
          </w:rPr>
          <w:t xml:space="preserve">Barroso, Hölzle, and Ranganathan 2018</w:t>
        </w:r>
      </w:hyperlink>
      <w:bookmarkEnd w:id="247"/>
      <w:r>
        <w:t xml:space="preserve">). A new entrant in Central Asia would likely achieve 40–60% utilization in early years, which would roughly double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21" w:name="Barroso2018txt"/>
      <w:hyperlink w:anchor="Barroso2018" w:history="1">
        <w:r>
          <w:rPr>
            <w:color w:val="1F3864"/>
            <w:u w:val="single"/>
          </w:rPr>
          <w:t xml:space="preserve">Barroso, Hölzle, and Ranganathan 2018</w:t>
        </w:r>
      </w:hyperlink>
      <w:bookmarkEnd w:id="221"/>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Hardware generation.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against competitors with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8" w:name="WorldBank2024txt"/>
      <w:hyperlink w:anchor="WorldBank2024" w:history="1">
        <w:r>
          <w:rPr>
            <w:color w:val="1F3864"/>
            <w:u w:val="single"/>
          </w:rPr>
          <w:t xml:space="preserve">World Bank</w:t>
        </w:r>
      </w:hyperlink>
      <w:bookmarkEnd w:id="248"/>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3" w:name="Eq3txt903"/>
      <w:hyperlink w:anchor="Eq3" w:history="1">
        <w:r>
          <w:rPr>
            <w:color w:val="1F3864"/>
            <w:u w:val="single"/>
          </w:rPr>
          <w:t xml:space="preserve">equation (3)</w:t>
        </w:r>
      </w:hyperlink>
      <w:bookmarkEnd w:id="903"/>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9" w:name="Cloudscene2025txt"/>
      <w:hyperlink w:anchor="Cloudscene2025" w:history="1">
        <w:r>
          <w:rPr>
            <w:color w:val="1F3864"/>
            <w:u w:val="single"/>
          </w:rPr>
          <w:t xml:space="preserve">Cloudscene</w:t>
        </w:r>
      </w:hyperlink>
      <w:bookmarkEnd w:id="249"/>
      <w:r>
        <w:t xml:space="preserve">), are substantially larger on average, and </w:t>
      </w:r>
      <w:bookmarkStart w:id="224" w:name="IEA2025txt"/>
      <w:hyperlink w:anchor="IEA2025" w:history="1">
        <w:r>
          <w:rPr>
            <w:color w:val="1F3864"/>
            <w:u w:val="single"/>
          </w:rPr>
          <w:t xml:space="preserve">IEA (2025)</w:t>
        </w:r>
      </w:hyperlink>
      <w:bookmarkEnd w:id="224"/>
      <w:r>
        <w:t xml:space="preserve"> data confirm that China accounts for roughly 25% of global data center electricity consumption versus 44% for the United States.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in the spirit of the multi-country Ricardian tests of </w:t>
      </w:r>
      <w:bookmarkStart w:id="225" w:name="CDK2012txt"/>
      <w:hyperlink w:anchor="CDK2012" w:history="1">
        <w:r>
          <w:rPr>
            <w:color w:val="1F3864"/>
            <w:u w:val="single"/>
          </w:rPr>
          <w:t xml:space="preserve">Costinot, Donaldson, and Komunjer (2012)</w:t>
        </w:r>
      </w:hyperlink>
      <w:bookmarkEnd w:id="225"/>
      <w:r>
        <w:t xml:space="preserve">.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6" w:name="UptimeInstitute2024txt"/>
      <w:hyperlink w:anchor="UptimeInstitute2024" w:history="1">
        <w:r>
          <w:rPr>
            <w:color w:val="1F3864"/>
            <w:u w:val="single"/>
          </w:rPr>
          <w:t xml:space="preserve">Uptime Institute 2024</w:t>
        </w:r>
      </w:hyperlink>
      <w:bookmarkEnd w:id="22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7" w:name="Liu2023txt"/>
      <w:hyperlink w:anchor="Liu2023" w:history="1">
        <w:r>
          <w:rPr>
            <w:color w:val="1F3864"/>
            <w:u w:val="single"/>
          </w:rPr>
          <w:t xml:space="preserve">Liu et al. 2023</w:t>
        </w:r>
      </w:hyperlink>
      <w:bookmarkEnd w:id="22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sorted by unit cost under observed electricity prices. </w:t>
      </w:r>
      <w:r>
        <w:t>Under observed tariffs,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($1.58/hr) and Greenland ($1.62/hr) face high electricity prices.</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50" w:name="IMF2025txt"/>
      <w:hyperlink w:anchor="IMF2025" w:history="1">
        <w:r>
          <w:rPr>
            <w:color w:val="1F3864"/>
            <w:u w:val="single"/>
          </w:rPr>
          <w:t xml:space="preserve">IMF 2025</w:t>
        </w:r>
      </w:hyperlink>
      <w:bookmarkEnd w:id="250"/>
      <w:r>
        <w:t xml:space="preserve">, </w:t>
      </w:r>
      <w:bookmarkStart w:id="228" w:name="Lazard2025txt"/>
      <w:hyperlink w:anchor="Lazard2025" w:history="1">
        <w:r>
          <w:rPr>
            <w:color w:val="1F3864"/>
            <w:u w:val="single"/>
          </w:rPr>
          <w:t xml:space="preserve">Lazard 2025</w:t>
        </w:r>
      </w:hyperlink>
      <w:bookmarkEnd w:id="228"/>
      <w:r>
        <w:t xml:space="preserve">). This adjustment is applied to </w:t>
      </w:r>
      <w:r>
        <w:t>13 countries</w:t>
      </w:r>
      <w:r>
        <w:t xml:space="preserve"> whose retail electricity prices fall below estimated LRMC. Hydropower producers (Kyrgyzstan, Canada, Norway) are not adjusted because their low prices reflect genuine resource advantages rather than fiscal transfers. The resulting cost-recovery ranking is the paper’s preferred baseline.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r>
          <m:rPr>
            <m:sty m:val="p"/>
          </m:rPr>
          <w:rPr>
            <w:rFonts w:ascii="Cambria Math" w:hAnsi="Cambria Math"/>
          </w:rPr>
          <m:t xml:space="preserve"> = 6.4%</m:t>
        </m:r>
      </m:oMath>
      <w:r>
        <w:t xml:space="preserve"> and Japan 6.9%. Countries with high </w:t>
      </w:r>
      <m:oMath>
        <m:sSubSup>
          <m:sSubSupPr/>
          <m:e>
            <m:r>
              <m:rPr>
                <m:sty m:val="i"/>
              </m:rPr>
              <w:rPr>
                <w:rFonts w:ascii="Cambria Math" w:hAnsi="Cambria Math"/>
              </w:rPr>
              <m:t xml:space="preserve">λ</m:t>
            </m:r>
          </m:e>
          <m:sub>
            <m:r>
              <m:rPr>
                <m:sty m:val="i"/>
              </m:rPr>
              <w:rPr>
                <w:rFonts w:ascii="Cambria Math" w:hAnsi="Cambria Math"/>
              </w:rPr>
              <m:t xml:space="preserve"/>
            </m:r>
          </m:sub>
          <m:sup>
            <m:r>
              <m:rPr>
                <m:sty m:val="i"/>
              </m:rPr>
              <w:rPr>
                <w:rFonts w:ascii="Cambria Math" w:hAnsi="Cambria Math"/>
              </w:rPr>
              <m:t xml:space="preserve">*</m:t>
            </m:r>
          </m:sup>
        </m:sSub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9" w:name="WorldBank2025txt"/>
      <w:hyperlink w:anchor="WorldBank2025" w:history="1">
        <w:r>
          <w:rPr>
            <w:color w:val="1F3864"/>
            <w:u w:val="single"/>
          </w:rPr>
          <w:t xml:space="preserve">World Bank (2025)</w:t>
        </w:r>
      </w:hyperlink>
      <w:bookmarkEnd w:id="229"/>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Grid reliability further narrows the set of viable exporters. 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in </w:t>
      </w:r>
      <w:bookmarkStart w:id="905" w:name="Eq2txt905"/>
      <w:hyperlink w:anchor="Eq2" w:history="1">
        <w:r>
          <w:rPr>
            <w:color w:val="1F3864"/>
            <w:u w:val="single"/>
          </w:rPr>
          <w:t xml:space="preserve">equation (2)</w:t>
        </w:r>
      </w:hyperlink>
      <w:bookmarkEnd w:id="905"/>
      <w:r>
        <w:t xml:space="preserve"> formalizes these factors. Dividing each country’s engineering cost by its reliability score yields the effective cost </w:t>
      </w:r>
      <m:oMath>
        <m:sSubSup>
          <m:sSubSupPr/>
          <m:e>
            <m:r>
              <m:rPr>
                <m:sty m:val="i"/>
              </m:rPr>
              <w:rPr>
                <w:rFonts w:ascii="Cambria Math" w:hAnsi="Cambria Math"/>
              </w:rPr>
              <m:t xml:space="preserve">c</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w:t>
      </w:r>
      <w:r>
        <w:t xml:space="preserve">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years, compared with 15–25 years for the building shell) means that hardware amortization dominates the per-GPU-hour cost, accounting for over 80 percent of the total.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r>
        <w:t>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pPr>
        <w:spacing w:before="0" w:after="160"/>
        <w:ind w:firstLine="0"/>
        <w:jc w:val="both"/>
      </w:pPr>
      <w:r>
        <w:t xml:space="preserve">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31" w:name="ACR2012txt"/>
      <w:hyperlink w:anchor="ACR2012" w:history="1">
        <w:r>
          <w:rPr>
            <w:color w:val="1F3864"/>
            <w:u w:val="single"/>
          </w:rPr>
          <w:t xml:space="preserve">Arkolakis, Costinot, and Rodríguez-Clare 2012</w:t>
        </w:r>
      </w:hyperlink>
      <w:bookmarkEnd w:id="231"/>
      <w:r>
        <w:t xml:space="preserve">). The model generates a country taxonomy (full importers, training exporters, inference hubs, and hybrid regimes) that maps onto observed investment patterns. This geographic structure is consistent with </w:t>
      </w:r>
      <w:bookmarkStart w:id="251" w:name="Lehdonvirta2024txt"/>
      <w:hyperlink w:anchor="Lehdonvirta2024" w:history="1">
        <w:r>
          <w:rPr>
            <w:color w:val="1F3864"/>
            <w:u w:val="single"/>
          </w:rPr>
          <w:t xml:space="preserve">Lehdonvirta, Wu, and Hawkins (2024)</w:t>
        </w:r>
      </w:hyperlink>
      <w:bookmarkEnd w:id="251"/>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CDK2012"/>
      <w:hyperlink w:anchor="CDK2012txt" w:history="1">
        <w:r>
          <w:rPr>
            <w:color w:val="1F3864"/>
            <w:u w:val="single"/>
          </w:rPr>
          <w:t xml:space="preserve">Costinot, A., J. Donaldson, and I. Komunjer. (2012). </w:t>
        </w:r>
      </w:hyperlink>
      <w:r>
        <w:t xml:space="preserve">“What Goods Do Countries Trade? A Quantitative Exploration of Ricardo’s Ideas.” </w:t>
      </w:r>
      <w:r>
        <w:rPr>
          <w:i/>
        </w:rPr>
        <w:t>Review of Economic Studies</w:t>
      </w:r>
      <w:r>
        <w:t>, 79(2): 581–608.</w:t>
      </w:r>
      <w:bookmarkEnd w:id="505"/>
    </w:p>
    <w:p>
      <w:pPr>
        <w:spacing w:before="0" w:after="80" w:line="240" w:lineRule="exact"/>
        <w:ind w:hanging="720" w:left="720"/>
        <w:jc w:val="both"/>
      </w:pPr>
      <w:bookmarkStart w:id="506" w:name="Deloitte2020"/>
      <w:r>
        <w:rPr>
          <w:color w:val="1F3864"/>
          <w:u w:val="single"/>
        </w:rPr>
        <w:t xml:space="preserve">Deloitte and Google. (2020). </w:t>
      </w:r>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DFS1977"/>
      <w:hyperlink w:anchor="DFS1977txt" w:history="1">
        <w:r>
          <w:rPr>
            <w:color w:val="1F3864"/>
            <w:u w:val="single"/>
          </w:rPr>
          <w:t xml:space="preserve">Dornbusch, R., S. Fischer, and P. Samuelson. (1977). </w:t>
        </w:r>
      </w:hyperlink>
      <w:r>
        <w:t xml:space="preserve">“Comparative Advantage, Trade, and Payments in a Ricardian Model with a Continuum of Goods.” </w:t>
      </w:r>
      <w:r>
        <w:rPr>
          <w:i/>
        </w:rPr>
        <w:t>American Economic Review</w:t>
      </w:r>
      <w:r>
        <w:t>, 67(5): 823–839.</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(2024). </w:t>
        </w:r>
      </w:hyperlink>
      <w:r>
        <w:t>“Data Center Staffing: Trends and Best Practices.”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(2)</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(2)</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(2)</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(2)</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(2)</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(2)</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(2)</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r>
              <w:rPr>
                <w:sz w:val="16"/>
              </w:rPr>
              <w:t>Google (2024)</w:t>
            </w:r>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(2)</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(3)</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(5)</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(4)</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(4)</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(2a)</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3txt906"/>
      <w:hyperlink w:anchor="Eq3" w:history="1">
        <w:r>
          <w:rPr>
            <w:sz w:val="15"/>
            <w:color w:val="1F3864"/>
            <w:u w:val="single"/>
          </w:rPr>
          <w:t xml:space="preserve">equation (3)</w:t>
        </w:r>
      </w:hyperlink>
      <w:bookmarkEnd w:id="906"/>
      <w:r>
        <w:rPr>
          <w:sz w:val="15"/>
        </w:rPr>
        <w:t xml:space="preserve">.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3txt908"/>
      <w:hyperlink w:anchor="Eq3" w:history="1">
        <w:r>
          <w:rPr>
            <w:color w:val="1F3864"/>
            <w:u w:val="single"/>
          </w:rPr>
          <w:t xml:space="preserve">equation (3)</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$115</w:t>
            </w:r>
          </w:p>
        </w:tc>
        <w:tc>
          <w:tcPr>
            <w:tcW w:w="2600" w:type="dxa"/>
          </w:tcPr>
          <w:p>
            <w:pPr>
              <w:jc w:val="right"/>
              <w:spacing w:before="10" w:after="10"/>
            </w:pPr>
            <w:r/>
            <w:r>
              <w:rPr>
                <w:sz w:val="16"/>
              </w:rPr>
              <w:t>14.2%</w:t>
            </w:r>
          </w:p>
        </w:tc>
      </w:tr>
      <w:tr>
        <w:tc>
          <w:tcPr>
            <w:tcW w:w="3800" w:type="dxa"/>
          </w:tcPr>
          <w:p>
            <w:pPr>
              <w:spacing w:before="10" w:after="10"/>
            </w:pPr>
            <w:r/>
            <w:r>
              <w:rPr>
                <w:sz w:val="16"/>
              </w:rPr>
              <w:t>GPU price −20%</w:t>
            </w:r>
          </w:p>
        </w:tc>
        <w:tc>
          <w:tcPr>
            <w:tcW w:w="2400" w:type="dxa"/>
          </w:tcPr>
          <w:p>
            <w:pPr>
              <w:spacing w:before="10" w:after="10"/>
            </w:pPr>
            <w:r/>
            <w:r>
              <w:rPr>
                <w:sz w:val="16"/>
              </w:rPr>
              <w:t>$733</w:t>
            </w:r>
          </w:p>
        </w:tc>
        <w:tc>
          <w:tcPr>
            <w:tcW w:w="2600" w:type="dxa"/>
          </w:tcPr>
          <w:p>
            <w:pPr>
              <w:jc w:val="right"/>
              <w:spacing w:before="10" w:after="10"/>
            </w:pPr>
            <w:r/>
            <w:r>
              <w:rPr>
                <w:sz w:val="16"/>
              </w:rPr>
              <w:t>24.3%</w:t>
            </w:r>
          </w:p>
        </w:tc>
      </w:tr>
      <w:tr>
        <w:tc>
          <w:tcPr>
            <w:tcW w:w="3800" w:type="dxa"/>
          </w:tcPr>
          <w:p>
            <w:pPr>
              <w:spacing w:before="10" w:after="10"/>
            </w:pPr>
            <w:r/>
            <w:r>
              <w:rPr>
                <w:sz w:val="16"/>
              </w:rPr>
              <w:t>GPU price +20%</w:t>
            </w:r>
          </w:p>
        </w:tc>
        <w:tc>
          <w:tcPr>
            <w:tcW w:w="2400" w:type="dxa"/>
          </w:tcPr>
          <w:p>
            <w:pPr>
              <w:spacing w:before="10" w:after="10"/>
            </w:pPr>
            <w:r/>
            <w:r>
              <w:rPr>
                <w:sz w:val="16"/>
              </w:rPr>
              <w:t>$-503</w:t>
            </w:r>
          </w:p>
        </w:tc>
        <w:tc>
          <w:tcPr>
            <w:tcW w:w="2600" w:type="dxa"/>
          </w:tcPr>
          <w:p>
            <w:pPr>
              <w:jc w:val="right"/>
              <w:spacing w:before="10" w:after="10"/>
            </w:pPr>
            <w:r/>
            <w:r>
              <w:rPr>
                <w:sz w:val="16"/>
              </w:rPr>
              <w:t>6.2%</w:t>
            </w:r>
          </w:p>
        </w:tc>
      </w:tr>
      <w:tr>
        <w:tc>
          <w:tcPr>
            <w:tcW w:w="3800" w:type="dxa"/>
          </w:tcPr>
          <w:p>
            <w:pPr>
              <w:spacing w:before="10" w:after="10"/>
            </w:pPr>
            <w:r/>
            <w:r>
              <w:rPr>
                <w:sz w:val="16"/>
              </w:rPr>
              <w:t>Electricity +50%</w:t>
            </w:r>
          </w:p>
        </w:tc>
        <w:tc>
          <w:tcPr>
            <w:tcW w:w="2400" w:type="dxa"/>
          </w:tcPr>
          <w:p>
            <w:pPr>
              <w:spacing w:before="10" w:after="10"/>
            </w:pPr>
            <w:r/>
            <w:r>
              <w:rPr>
                <w:sz w:val="16"/>
              </w:rPr>
              <w:t>$68</w:t>
            </w:r>
          </w:p>
        </w:tc>
        <w:tc>
          <w:tcPr>
            <w:tcW w:w="2600" w:type="dxa"/>
          </w:tcPr>
          <w:p>
            <w:pPr>
              <w:jc w:val="right"/>
              <w:spacing w:before="10" w:after="10"/>
            </w:pPr>
            <w:r/>
            <w:r>
              <w:rPr>
                <w:sz w:val="16"/>
              </w:rPr>
              <w:t>13.5%</w:t>
            </w:r>
          </w:p>
        </w:tc>
      </w:tr>
      <w:tr>
        <w:tc>
          <w:tcPr>
            <w:tcW w:w="3800" w:type="dxa"/>
          </w:tcPr>
          <w:p>
            <w:pPr>
              <w:spacing w:before="10" w:after="10"/>
            </w:pPr>
            <w:r/>
            <w:r>
              <w:rPr>
                <w:sz w:val="16"/>
              </w:rPr>
              <w:t>Electricity −25%</w:t>
            </w:r>
          </w:p>
        </w:tc>
        <w:tc>
          <w:tcPr>
            <w:tcW w:w="2400" w:type="dxa"/>
          </w:tcPr>
          <w:p>
            <w:pPr>
              <w:spacing w:before="10" w:after="10"/>
            </w:pPr>
            <w:r/>
            <w:r>
              <w:rPr>
                <w:sz w:val="16"/>
              </w:rPr>
              <w:t>$138</w:t>
            </w:r>
          </w:p>
        </w:tc>
        <w:tc>
          <w:tcPr>
            <w:tcW w:w="2600" w:type="dxa"/>
          </w:tcPr>
          <w:p>
            <w:pPr>
              <w:jc w:val="right"/>
              <w:spacing w:before="10" w:after="10"/>
            </w:pPr>
            <w:r/>
            <w:r>
              <w:rPr>
                <w:sz w:val="16"/>
              </w:rPr>
              <w:t>14.5%</w:t>
            </w:r>
          </w:p>
        </w:tc>
      </w:tr>
      <w:tr>
        <w:tc>
          <w:tcPr>
            <w:tcW w:w="3800" w:type="dxa"/>
          </w:tcPr>
          <w:p>
            <w:pPr>
              <w:spacing w:before="10" w:after="10"/>
            </w:pPr>
            <w:r/>
            <w:r>
              <w:rPr>
                <w:sz w:val="16"/>
              </w:rPr>
              <w:t>Revenue +5%</w:t>
            </w:r>
          </w:p>
        </w:tc>
        <w:tc>
          <w:tcPr>
            <w:tcW w:w="2400" w:type="dxa"/>
          </w:tcPr>
          <w:p>
            <w:pPr>
              <w:spacing w:before="10" w:after="10"/>
            </w:pPr>
            <w:r/>
            <w:r>
              <w:rPr>
                <w:sz w:val="16"/>
              </w:rPr>
              <w:t>$269</w:t>
            </w:r>
          </w:p>
        </w:tc>
        <w:tc>
          <w:tcPr>
            <w:tcW w:w="2600" w:type="dxa"/>
          </w:tcPr>
          <w:p>
            <w:pPr>
              <w:jc w:val="right"/>
              <w:spacing w:before="10" w:after="10"/>
            </w:pPr>
            <w:r/>
            <w:r>
              <w:rPr>
                <w:sz w:val="16"/>
              </w:rPr>
              <w:t>16.3%</w:t>
            </w:r>
          </w:p>
        </w:tc>
      </w:tr>
      <w:tr>
        <w:tc>
          <w:tcPr>
            <w:tcW w:w="3800" w:type="dxa"/>
          </w:tcPr>
          <w:p>
            <w:pPr>
              <w:spacing w:before="10" w:after="10"/>
            </w:pPr>
            <w:r/>
            <w:r>
              <w:rPr>
                <w:sz w:val="16"/>
              </w:rPr>
              <w:t>Revenue −5%</w:t>
            </w:r>
          </w:p>
        </w:tc>
        <w:tc>
          <w:tcPr>
            <w:tcW w:w="2400" w:type="dxa"/>
          </w:tcPr>
          <w:p>
            <w:pPr>
              <w:spacing w:before="10" w:after="10"/>
            </w:pPr>
            <w:r/>
            <w:r>
              <w:rPr>
                <w:sz w:val="16"/>
              </w:rPr>
              <w:t>$-39</w:t>
            </w:r>
          </w:p>
        </w:tc>
        <w:tc>
          <w:tcPr>
            <w:tcW w:w="2600" w:type="dxa"/>
          </w:tcPr>
          <w:p>
            <w:pPr>
              <w:jc w:val="right"/>
              <w:spacing w:before="10" w:after="10"/>
            </w:pPr>
            <w:r/>
            <w:r>
              <w:rPr>
                <w:sz w:val="16"/>
              </w:rPr>
              <w:t>12.0%</w:t>
            </w:r>
          </w:p>
        </w:tc>
      </w:tr>
      <w:tr>
        <w:tc>
          <w:tcPr>
            <w:tcW w:w="3800" w:type="dxa"/>
          </w:tcPr>
          <w:p>
            <w:pPr>
              <w:spacing w:before="10" w:after="10"/>
            </w:pPr>
            <w:r/>
            <w:r>
              <w:rPr>
                <w:sz w:val="16"/>
              </w:rPr>
              <w:t>Utilization 80%</w:t>
            </w:r>
          </w:p>
        </w:tc>
        <w:tc>
          <w:tcPr>
            <w:tcW w:w="2400" w:type="dxa"/>
          </w:tcPr>
          <w:p>
            <w:pPr>
              <w:spacing w:before="10" w:after="10"/>
            </w:pPr>
            <w:r/>
            <w:r>
              <w:rPr>
                <w:sz w:val="16"/>
              </w:rPr>
              <w:t>$710</w:t>
            </w:r>
          </w:p>
        </w:tc>
        <w:tc>
          <w:tcPr>
            <w:tcW w:w="2600" w:type="dxa"/>
          </w:tcPr>
          <w:p>
            <w:pPr>
              <w:jc w:val="right"/>
              <w:spacing w:before="10" w:after="10"/>
            </w:pPr>
            <w:r/>
            <w:r>
              <w:rPr>
                <w:sz w:val="16"/>
              </w:rPr>
              <w:t>22.7%</w:t>
            </w:r>
          </w:p>
        </w:tc>
      </w:tr>
      <w:tr>
        <w:tc>
          <w:tcPr>
            <w:tcW w:w="3800" w:type="dxa"/>
          </w:tcPr>
          <w:p>
            <w:pPr>
              <w:spacing w:before="10" w:after="10"/>
            </w:pPr>
            <w:r/>
            <w:r>
              <w:rPr>
                <w:sz w:val="16"/>
              </w:rPr>
              <w:t>Utilization 60%</w:t>
            </w:r>
          </w:p>
        </w:tc>
        <w:tc>
          <w:tcPr>
            <w:tcW w:w="2400" w:type="dxa"/>
          </w:tcPr>
          <w:p>
            <w:pPr>
              <w:spacing w:before="10" w:after="10"/>
            </w:pPr>
            <w:r/>
            <w:r>
              <w:rPr>
                <w:sz w:val="16"/>
              </w:rPr>
              <w:t>$-480</w:t>
            </w:r>
          </w:p>
        </w:tc>
        <w:tc>
          <w:tcPr>
            <w:tcW w:w="2600" w:type="dxa"/>
          </w:tcPr>
          <w:p>
            <w:pPr>
              <w:jc w:val="right"/>
              <w:spacing w:before="10" w:after="10"/>
            </w:pPr>
            <w:r/>
            <w:r>
              <w:rPr>
                <w:sz w:val="16"/>
              </w:rPr>
              <w:t>5.8%</w:t>
            </w:r>
          </w:p>
        </w:tc>
      </w:tr>
      <w:tr>
        <w:tc>
          <w:tcPr>
            <w:tcW w:w="3800" w:type="dxa"/>
          </w:tcPr>
          <w:p>
            <w:pPr>
              <w:spacing w:before="10" w:after="10"/>
            </w:pPr>
            <w:r/>
            <w:r>
              <w:rPr>
                <w:sz w:val="16"/>
              </w:rPr>
              <w:t>WACC 10%</w:t>
            </w:r>
          </w:p>
        </w:tc>
        <w:tc>
          <w:tcPr>
            <w:tcW w:w="2400" w:type="dxa"/>
          </w:tcPr>
          <w:p>
            <w:pPr>
              <w:spacing w:before="10" w:after="10"/>
            </w:pPr>
            <w:r/>
            <w:r>
              <w:rPr>
                <w:sz w:val="16"/>
              </w:rPr>
              <w:t>$346</w:t>
            </w:r>
          </w:p>
        </w:tc>
        <w:tc>
          <w:tcPr>
            <w:tcW w:w="2600" w:type="dxa"/>
          </w:tcPr>
          <w:p>
            <w:pPr>
              <w:jc w:val="right"/>
              <w:spacing w:before="10" w:after="10"/>
            </w:pPr>
            <w:r/>
            <w:r>
              <w:rPr>
                <w:sz w:val="16"/>
              </w:rPr>
              <w:t>14.2%</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$-108</w:t>
            </w:r>
          </w:p>
        </w:tc>
        <w:tc>
          <w:tcPr>
            <w:tcBorders>
              <w:bottom w:val="double" w:sz="4" w:space="0" w:color="auto"/>
            </w:tcBorders>
            <w:tcW w:w="2600" w:type="dxa"/>
          </w:tcPr>
          <w:p>
            <w:pPr>
              <w:jc w:val="right"/>
              <w:spacing w:before="10" w:after="10"/>
            </w:pPr>
            <w:r/>
            <w:r>
              <w:rPr>
                <w:sz w:val="16"/>
              </w:rPr>
              <w:t>14.2%</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