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20:28</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six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 and that share is projected to more than double by 2030 (</w:t>
      </w:r>
      <w:bookmarkStart w:id="246" w:name="IEA2025txt"/>
      <w:hyperlink w:anchor="IEA2025" w:history="1">
        <w:r>
          <w:rPr>
            <w:color w:val="1F3864"/>
            <w:u w:val="single"/>
          </w:rPr>
          <w:t xml:space="preserve">IEA 2025</w:t>
        </w:r>
      </w:hyperlink>
      <w:bookmarkEnd w:id="246"/>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5" w:name="Firebird2026txt"/>
      <w:hyperlink w:anchor="Firebird2026" w:history="1">
        <w:r>
          <w:rPr>
            <w:color w:val="1F3864"/>
            <w:u w:val="single"/>
          </w:rPr>
          <w:t xml:space="preserve">Firebird 2026</w:t>
        </w:r>
      </w:hyperlink>
      <w:bookmarkEnd w:id="235"/>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6" w:name="WorldBank2024txt"/>
      <w:hyperlink w:anchor="WorldBank2024" w:history="1">
        <w:r>
          <w:rPr>
            <w:color w:val="1F3864"/>
            <w:u w:val="single"/>
          </w:rPr>
          <w:t xml:space="preserve">World Bank 2024</w:t>
        </w:r>
      </w:hyperlink>
      <w:bookmarkEnd w:id="236"/>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7" w:name="Sastry2024txt"/>
      <w:hyperlink w:anchor="Sastry2024" w:history="1">
        <w:r>
          <w:rPr>
            <w:color w:val="1F3864"/>
            <w:u w:val="single"/>
          </w:rPr>
          <w:t xml:space="preserve">Sastry et al. 2024</w:t>
        </w:r>
      </w:hyperlink>
      <w:bookmarkEnd w:id="237"/>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8" w:name="Pilz2025txt"/>
      <w:hyperlink w:anchor="Pilz2025" w:history="1">
        <w:r>
          <w:rPr>
            <w:color w:val="1F3864"/>
            <w:u w:val="single"/>
          </w:rPr>
          <w:t xml:space="preserve">Pilz et al. 2025</w:t>
        </w:r>
      </w:hyperlink>
      <w:bookmarkEnd w:id="238"/>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9" w:name="Limao2001txt"/>
      <w:hyperlink w:anchor="Limao2001" w:history="1">
        <w:r>
          <w:rPr>
            <w:color w:val="1F3864"/>
            <w:u w:val="single"/>
          </w:rPr>
          <w:t xml:space="preserve">Limão and Venables (2001)</w:t>
        </w:r>
      </w:hyperlink>
      <w:bookmarkEnd w:id="239"/>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40" w:name="HMY2004txt"/>
      <w:hyperlink w:anchor="HMY2004" w:history="1">
        <w:r>
          <w:rPr>
            <w:color w:val="1F3864"/>
            <w:u w:val="single"/>
          </w:rPr>
          <w:t xml:space="preserve">Helpman et al. (2004)</w:t>
        </w:r>
      </w:hyperlink>
      <w:bookmarkEnd w:id="240"/>
      <w:r>
        <w:t xml:space="preserve"> extend this to heterogeneous firms choosing between exporting and FDI.</w:t>
      </w:r>
    </w:p>
    <w:p>
      <w:pPr>
        <w:spacing w:before="0" w:after="160"/>
        <w:ind w:firstLine="0"/>
        <w:jc w:val="both"/>
      </w:pPr>
      <w:r>
        <w:t xml:space="preserve">On the governance side, </w:t>
      </w:r>
      <w:bookmarkStart w:id="241" w:name="Sastry2024txt"/>
      <w:hyperlink w:anchor="Sastry2024" w:history="1">
        <w:r>
          <w:rPr>
            <w:color w:val="1F3864"/>
            <w:u w:val="single"/>
          </w:rPr>
          <w:t xml:space="preserve">Sastry et al. (2024)</w:t>
        </w:r>
      </w:hyperlink>
      <w:bookmarkEnd w:id="241"/>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2" w:name="Biglaiser2024txt"/>
      <w:hyperlink w:anchor="Biglaiser2024" w:history="1">
        <w:r>
          <w:rPr>
            <w:color w:val="1F3864"/>
            <w:u w:val="single"/>
          </w:rPr>
          <w:t xml:space="preserve">Biglaiser et al. (2024)</w:t>
        </w:r>
      </w:hyperlink>
      <w:bookmarkEnd w:id="242"/>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0" w:name="Stojkoski2024txt"/>
      <w:hyperlink w:anchor="Stojkoski2024" w:history="1">
        <w:r>
          <w:rPr>
            <w:color w:val="1F3864"/>
            <w:u w:val="single"/>
          </w:rPr>
          <w:t xml:space="preserve">Stojkoski et al. (2024)</w:t>
        </w:r>
      </w:hyperlink>
      <w:bookmarkEnd w:id="250"/>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0" w:name="Krugman1991txt"/>
      <w:hyperlink w:anchor="Krugman1991" w:history="1">
        <w:r>
          <w:rPr>
            <w:color w:val="1F3864"/>
            <w:u w:val="single"/>
          </w:rPr>
          <w:t xml:space="preserve">Krugman 1991</w:t>
        </w:r>
      </w:hyperlink>
      <w:bookmarkEnd w:id="21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1" w:name="Eurostat2025txt"/>
      <w:hyperlink w:anchor="Eurostat2025" w:history="1">
        <w:r>
          <w:rPr>
            <w:color w:val="1F3864"/>
            <w:u w:val="single"/>
          </w:rPr>
          <w:t xml:space="preserve">Eurostat 2025</w:t>
        </w:r>
      </w:hyperlink>
      <w:bookmarkEnd w:id="211"/>
      <w:r>
        <w:t xml:space="preserve">). For non-European countries, the prices are obtained from national regulator tariff sheets and secondary sources, including the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w:t>
      </w:r>
      <w:r>
        <w:rPr>
          <w:rStyle w:val="FootnoteReference"/>
        </w:rPr>
        <w:footnoteReference w:id="24"/>
      </w:r>
      <w:r>
        <w:t xml:space="preserve">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2" w:name="Deloitte2020txt"/>
      <w:hyperlink w:anchor="Deloitte2020" w:history="1">
        <w:r>
          <w:rPr>
            <w:color w:val="1F3864"/>
            <w:u w:val="single"/>
          </w:rPr>
          <w:t xml:space="preserve">Deloitte (2020)</w:t>
        </w:r>
      </w:hyperlink>
      <w:bookmarkEnd w:id="222"/>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 xml:space="preserve">The gap between cost-based comparative advantage and actual investment is wide. Among the twenty cheapest producers under cost-recovery pricing, eight have less than 100 MW of installed data center capacity: Kyrgyzstan (rank 1, 5 MW), Ethiopia (rank 2, 10 MW), Kosovo (rank 4, 5 MW), Tajikistan (rank 6, 5 MW), Montenegro (rank 7, 5 MW), Azerbaijan (rank 11, 10 MW), Algeria (rank 12, 25 MW), Turkmenistan (rank 18, 5 MW). Meanwhile, several countries outside the top twenty host large data center clusters: the Netherlands (rank 60, 1,800 MW), Ireland (rank 84, 1,260 MW), and Singapore (rank 80,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−0.5%</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−0.9%</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−8.3%</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7 exporters (HHI = 0.66), confirming Proposition 2. </w:t>
      </w:r>
      <w:r>
        <w:t xml:space="preserve">The largest shadow values of grid capacity are in Kyrgyzstan ($0.027/hr), Canada ($0.013/hr), Ethiopia ($0.010/hr),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(6) of </w:t>
      </w:r>
      <w:hyperlink w:anchor="Table3b" w:history="1">
        <w:r>
          <w:rPr>
            <w:color w:val="1F3864"/>
            <w:u w:val="single"/>
          </w:rPr>
          <w:t xml:space="preserve">Table 3b</w:t>
        </w:r>
      </w:hyperlink>
      <w:r>
        <w:t xml:space="preserve"> reports regime assignments under the FDI specification. Under bilateral sovereignty (column 3), only Canada exports; all other countries either produce domestically or import. Under hyperscaler FDI (column 6), 8 countries become exporters, 6 of them developing economies: China, Ethiopia, Kosovo, Kyrgyzstan, Montenegro,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(6)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6" w:name="WorldBank2025txt"/>
      <w:hyperlink w:anchor="WorldBank2025" w:history="1">
        <w:r>
          <w:rPr>
            <w:color w:val="1F3864"/>
            <w:u w:val="single"/>
          </w:rPr>
          <w:t xml:space="preserve">World Bank (2025)</w:t>
        </w:r>
      </w:hyperlink>
      <w:bookmarkEnd w:id="226"/>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7" w:name="Calcaterra2024txt"/>
      <w:hyperlink w:anchor="Calcaterra2024" w:history="1">
        <w:r>
          <w:rPr>
            <w:color w:val="1F3864"/>
            <w:u w:val="single"/>
          </w:rPr>
          <w:t xml:space="preserve">Calcaterra et al. 2024</w:t>
        </w:r>
      </w:hyperlink>
      <w:bookmarkEnd w:id="227"/>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(5)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(3) and (4)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1.5% of compute spending. The resolution lies in the hyperscaler FDI channel: when a trusted cloud provider operates the facility, the buyer’s sovereignty concern attaches to the operator, not the host country. Under this specification, six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(6)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8" w:name="vanderPloeg2011txt"/>
      <w:hyperlink w:anchor="vanderPloeg2011" w:history="1">
        <w:r>
          <w:rPr>
            <w:color w:val="1F3864"/>
            <w:u w:val="single"/>
          </w:rPr>
          <w:t xml:space="preserve">van der Ploeg 2011</w:t>
        </w:r>
      </w:hyperlink>
      <w:bookmarkEnd w:id="228"/>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four-column progression in Table 3b makes the policy challenge concrete: cheap energy gets a country into the cost-feasible set (column 2), but bilateral trust eliminates the opportunity (column 3), and only hyperscaler intermediation restores it (column 6).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1" w:name="WorldBank2024txt"/>
      <w:hyperlink w:anchor="WorldBank2024" w:history="1">
        <w:r>
          <w:rPr>
            <w:color w:val="1F3864"/>
            <w:u w:val="single"/>
          </w:rPr>
          <w:t xml:space="preserve">World Bank</w:t>
        </w:r>
      </w:hyperlink>
      <w:bookmarkEnd w:id="231"/>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3" w:name="WorldBank2024txt"/>
      <w:hyperlink w:anchor="WorldBank2024" w:history="1">
        <w:r>
          <w:rPr>
            <w:color w:val="1F3864"/>
            <w:u w:val="single"/>
          </w:rPr>
          <w:t xml:space="preserve">World Bank</w:t>
        </w:r>
      </w:hyperlink>
      <w:bookmarkEnd w:id="233"/>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(3)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Azerbaijan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Algeria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Brazil</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Indonesia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Kazakhstan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20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-5</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(2) and (3) are the same, because the sovereignty premium does not affect production costs or cost rankings; it reshapes regime assignments. Δ = rank change from (1) to (2);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(3)/(4)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(5)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(6)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Rank₅</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$1.60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−0.6%</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0.5%</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0.5%</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0.8%</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0.9%</w:t>
            </w:r>
          </w:p>
        </w:tc>
      </w:tr>
      <w:tr>
        <w:tc>
          <w:tcPr>
            <w:tcW w:w="2000" w:type="dxa"/>
          </w:tcPr>
          <w:p>
            <w:pPr>
              <w:jc w:val="left"/>
              <w:spacing w:before="10" w:after="10"/>
            </w:pPr>
            <w:r/>
            <w:r>
              <w:rPr>
                <w:rFonts w:ascii="Times New Roman" w:hAnsi="Times New Roman"/>
                <w:sz w:val="16"/>
              </w:rPr>
              <w:t>Tajikistan</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1.0%</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1.4%</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1.5%</w:t>
            </w:r>
          </w:p>
        </w:tc>
      </w:tr>
      <w:tr>
        <w:tc>
          <w:tcPr>
            <w:tcW w:w="2000" w:type="dxa"/>
          </w:tcPr>
          <w:p>
            <w:pPr>
              <w:jc w:val="left"/>
              <w:spacing w:before="10" w:after="10"/>
            </w:pPr>
            <w:r/>
            <w:r>
              <w:rPr>
                <w:rFonts w:ascii="Times New Roman" w:hAnsi="Times New Roman"/>
                <w:sz w:val="16"/>
              </w:rPr>
              <w:t>Ukraine</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1.6%</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1.8%</w:t>
            </w:r>
          </w:p>
        </w:tc>
      </w:tr>
      <w:tr>
        <w:tc>
          <w:tcPr>
            <w:tcW w:w="2000" w:type="dxa"/>
          </w:tcPr>
          <w:p>
            <w:pPr>
              <w:jc w:val="left"/>
              <w:spacing w:before="10" w:after="10"/>
            </w:pPr>
            <w:r/>
            <w:r>
              <w:rPr>
                <w:rFonts w:ascii="Times New Roman" w:hAnsi="Times New Roman"/>
                <w:sz w:val="16"/>
              </w:rPr>
              <w:t>Azerbaijan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1.9%</w:t>
            </w:r>
          </w:p>
        </w:tc>
      </w:tr>
      <w:tr>
        <w:tc>
          <w:tcPr>
            <w:tcW w:w="2000" w:type="dxa"/>
          </w:tcPr>
          <w:p>
            <w:pPr>
              <w:jc w:val="left"/>
              <w:spacing w:before="10" w:after="10"/>
            </w:pPr>
            <w:r/>
            <w:r>
              <w:rPr>
                <w:rFonts w:ascii="Times New Roman" w:hAnsi="Times New Roman"/>
                <w:sz w:val="16"/>
              </w:rPr>
              <w:t>Algeria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1.9%</w:t>
            </w:r>
          </w:p>
        </w:tc>
      </w:tr>
      <w:tr>
        <w:tc>
          <w:tcPr>
            <w:tcW w:w="2000" w:type="dxa"/>
          </w:tcPr>
          <w:p>
            <w:pPr>
              <w:jc w:val="left"/>
              <w:spacing w:before="10" w:after="10"/>
            </w:pPr>
            <w:r/>
            <w:r>
              <w:rPr>
                <w:rFonts w:ascii="Times New Roman" w:hAnsi="Times New Roman"/>
                <w:sz w:val="16"/>
              </w:rPr>
              <w:t>Russia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2.0%</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2.2%</w:t>
            </w:r>
          </w:p>
        </w:tc>
      </w:tr>
      <w:tr>
        <w:tc>
          <w:tcPr>
            <w:tcW w:w="2000" w:type="dxa"/>
          </w:tcPr>
          <w:p>
            <w:pPr>
              <w:jc w:val="left"/>
              <w:spacing w:before="10" w:after="10"/>
            </w:pPr>
            <w:r/>
            <w:r>
              <w:rPr>
                <w:rFonts w:ascii="Times New Roman" w:hAnsi="Times New Roman"/>
                <w:sz w:val="16"/>
              </w:rPr>
              <w:t>Egypt</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2.2%</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2.2%</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Turkmenistan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2.5%</w:t>
            </w:r>
          </w:p>
        </w:tc>
      </w:tr>
      <w:tr>
        <w:tc>
          <w:tcPr>
            <w:tcW w:w="2000" w:type="dxa"/>
          </w:tcPr>
          <w:p>
            <w:pPr>
              <w:jc w:val="left"/>
              <w:spacing w:before="10" w:after="10"/>
            </w:pPr>
            <w:r/>
            <w:r>
              <w:rPr>
                <w:rFonts w:ascii="Times New Roman" w:hAnsi="Times New Roman"/>
                <w:sz w:val="16"/>
              </w:rPr>
              <w:t>Brazil</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2.5%</w:t>
            </w:r>
          </w:p>
        </w:tc>
      </w:tr>
      <w:tr>
        <w:tc>
          <w:tcPr>
            <w:tcW w:w="2000" w:type="dxa"/>
          </w:tcPr>
          <w:p>
            <w:pPr>
              <w:jc w:val="left"/>
              <w:spacing w:before="10" w:after="10"/>
            </w:pPr>
            <w:r/>
            <w:r>
              <w:rPr>
                <w:rFonts w:ascii="Times New Roman" w:hAnsi="Times New Roman"/>
                <w:sz w:val="16"/>
              </w:rPr>
              <w:t>Iran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2.9%</w:t>
            </w:r>
          </w:p>
        </w:tc>
      </w:tr>
      <w:tr>
        <w:tc>
          <w:tcPr>
            <w:tcW w:w="2000" w:type="dxa"/>
          </w:tcPr>
          <w:p>
            <w:pPr>
              <w:jc w:val="left"/>
              <w:spacing w:before="10" w:after="10"/>
            </w:pPr>
            <w:r/>
            <w:r>
              <w:rPr>
                <w:rFonts w:ascii="Times New Roman" w:hAnsi="Times New Roman"/>
                <w:sz w:val="16"/>
              </w:rPr>
              <w:t>Indonesia</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2.9%</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Kazakhstan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Borders>
              <w:bottom w:val="double" w:sz="4" w:space="0" w:color="auto"/>
            </w:tcBorders>
            <w:tcW w:w="2000" w:type="dxa"/>
          </w:tcPr>
          <w:p>
            <w:pPr>
              <w:jc w:val="left"/>
              <w:spacing w:before="10" w:after="10"/>
            </w:pPr>
            <w:r/>
            <w:r>
              <w:rPr>
                <w:rFonts w:ascii="Times New Roman" w:hAnsi="Times New Roman"/>
                <w:sz w:val="16"/>
              </w:rPr>
              <w:t>Uzbekistan</w:t>
            </w:r>
          </w:p>
        </w:tc>
        <w:tc>
          <w:tcPr>
            <w:tcBorders>
              <w:bottom w:val="double" w:sz="4" w:space="0" w:color="auto"/>
            </w:tcBorders>
            <w:tcW w:w="1100" w:type="dxa"/>
          </w:tcPr>
          <w:p>
            <w:pPr>
              <w:jc w:val="center"/>
              <w:spacing w:before="10" w:after="10"/>
            </w:pPr>
            <w:r/>
            <w:r>
              <w:rPr>
                <w:rFonts w:ascii="Times New Roman" w:hAnsi="Times New Roman"/>
                <w:sz w:val="16"/>
              </w:rPr>
              <w:t>$1.65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center"/>
              <w:spacing w:before="10" w:after="10"/>
            </w:pPr>
            <w:r/>
            <w:r>
              <w:rPr>
                <w:rFonts w:ascii="Times New Roman" w:hAnsi="Times New Roman"/>
                <w:sz w:val="16"/>
              </w:rPr>
              <w:t>3.0%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(3)/(4)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(5) Uniform: uniform λ = 10% premium (robustness check). (6)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(3)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0</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(2) rank (ascending). Column (3)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