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v32  —  April 12, 2026  16:25</w:t>
      </w:r>
    </w:p>
    <w:p>
      <w:pPr>
        <w:spacing w:before="240" w:after="0" w:line="240" w:lineRule="auto"/>
        <w:ind w:firstLine="0" w:left="720" w:right="720"/>
        <w:jc w:val="both"/>
      </w:pPr>
      <w:r>
        <w:rPr>
          <w:b/>
        </w:rPr>
        <w:t>Abstract</w:t>
      </w:r>
      <w:r>
        <w:t>: Energy-rich developing countries could convert cheap electricity into high-value AI compute exports. This paper develops a trade model of compute services that distinguishes latency-insensitive training from latency-sensitive inference and incorporates a bilateral sovereignty premium. Calibration across 85 countries shows that several developing countries rank among the cheapest producers under cost-recovery pricing, but bilateral trust deficits sharply curtail developing-country exports. Because hardware dominates unit cost, the cross-country cost spread is only 12–20 percent, making compute the easiest sector for developing countries to enter on cost grounds and the most vulnerable to small policy-induced frictions. The binding constraint for FLOP exporting is not electricity cost, but the institutional credibility needed to overcome bilateral trust deficits.</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the largest AI models has been doubling every six months since 2010 (</w:t>
      </w:r>
      <w:bookmarkStart w:id="200" w:name="EpochAI2024txt"/>
      <w:hyperlink w:anchor="EpochAI2024" w:history="1">
        <w:r>
          <w:rPr>
            <w:color w:val="1F3864"/>
            <w:u w:val="single"/>
          </w:rPr>
          <w:t xml:space="preserve">Epoch AI 2024</w:t>
        </w:r>
      </w:hyperlink>
      <w:bookmarkEnd w:id="200"/>
      <w:r>
        <w:t xml:space="preserve">). Data centers accounted for approximately 1.5% of global electricity demand in 2024, and that share is projected to more than double by 2030 (</w:t>
      </w:r>
      <w:bookmarkStart w:id="237" w:name="IEA2025txt"/>
      <w:hyperlink w:anchor="IEA2025" w:history="1">
        <w:r>
          <w:rPr>
            <w:color w:val="1F3864"/>
            <w:u w:val="single"/>
          </w:rPr>
          <w:t xml:space="preserve">IEA 2025</w:t>
        </w:r>
      </w:hyperlink>
      <w:bookmarkEnd w:id="237"/>
      <w:r>
        <w:t xml:space="preserve">).</w:t>
      </w:r>
    </w:p>
    <w:p>
      <w:pPr>
        <w:spacing w:before="0" w:after="160" w:line="360" w:lineRule="auto"/>
        <w:ind w:firstLine="0"/>
        <w:jc w:val="both"/>
      </w:pPr>
      <w:r>
        <w:t xml:space="preserve">This surge in demand for compute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higher-value-added digital services. For resource-rich developing countries, FLOP exporting could offer a route up the value chain.</w:t>
      </w:r>
    </w:p>
    <w:p>
      <w:pPr>
        <w:spacing w:before="0" w:after="160" w:line="360" w:lineRule="auto"/>
        <w:ind w:firstLine="0"/>
        <w:jc w:val="both"/>
      </w:pPr>
      <w:r>
        <w:t xml:space="preserve">Several megaprojects confirm that FLOP exporting is technically and commercially feasible. Armenia is deploying 50,000 GPUs in a $4 billion investment (</w:t>
      </w:r>
      <w:bookmarkStart w:id="238" w:name="Firebird2026txt"/>
      <w:hyperlink w:anchor="Firebird2026" w:history="1">
        <w:r>
          <w:rPr>
            <w:color w:val="1F3864"/>
            <w:u w:val="single"/>
          </w:rPr>
          <w:t xml:space="preserve">Firebird 2026</w:t>
        </w:r>
      </w:hyperlink>
      <w:bookmarkEnd w:id="238"/>
      <w:r>
        <w:t xml:space="preserve">). Kenya, Saudi Arabia, and Malaysia have each attracted billion-dollar data center commitments,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Announced global data-center FDI reached over $310 billion in 2025, with EMDEs accounting for roughly 40 percent of projects (</w:t>
      </w:r>
      <w:bookmarkStart w:id="239" w:name="AykutEtAl2026txt"/>
      <w:hyperlink w:anchor="AykutEtAl2026" w:history="1">
        <w:r>
          <w:rPr>
            <w:color w:val="1F3864"/>
            <w:u w:val="single"/>
          </w:rPr>
          <w:t xml:space="preserve">Aykut et al. 2026</w:t>
        </w:r>
      </w:hyperlink>
      <w:bookmarkEnd w:id="239"/>
      <w:r>
        <w:t xml:space="preserve">). Cloud computing exports already exceed $9 billion annually (</w:t>
      </w:r>
      <w:bookmarkStart w:id="253" w:name="WorldBank2025txt"/>
      <w:hyperlink w:anchor="WorldBank2025" w:history="1">
        <w:r>
          <w:rPr>
            <w:color w:val="1F3864"/>
            <w:u w:val="single"/>
          </w:rPr>
          <w:t xml:space="preserve">World Bank 2025</w:t>
        </w:r>
      </w:hyperlink>
      <w:bookmarkEnd w:id="253"/>
      <w:r>
        <w:t xml:space="preserve">). If Kyrgyzstan builds a 40 MW AI data center, it could generate annual revenue of $630–950 million at wholesale contract rates, equivalent to over 15% of Kyrgyzstan’s $3.8 billion in goods exports (</w:t>
      </w:r>
      <w:bookmarkStart w:id="259" w:name="WorldBank2024txt"/>
      <w:hyperlink w:anchor="WorldBank2024" w:history="1">
        <w:r>
          <w:rPr>
            <w:color w:val="1F3864"/>
            <w:u w:val="single"/>
          </w:rPr>
          <w:t xml:space="preserve">World Bank 2024</w:t>
        </w:r>
      </w:hyperlink>
      <w:bookmarkEnd w:id="259"/>
      <w:r>
        <w:t xml:space="preserve">).</w:t>
      </w:r>
      <w:r>
        <w:rPr>
          <w:rStyle w:val="FootnoteReference"/>
        </w:rPr>
        <w:footnoteReference w:id="5"/>
      </w:r>
    </w:p>
    <w:p>
      <w:pPr>
        <w:spacing w:before="0" w:after="160" w:line="360" w:lineRule="auto"/>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exists.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line="360" w:lineRule="auto"/>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exports. For energy-rich developing countries, the limiting factor is not electricity cost but the institutional credibility needed to overcome bilateral trust deficits.</w:t>
      </w:r>
    </w:p>
    <w:p>
      <w:pPr>
        <w:pStyle w:val="Heading1"/>
      </w:pPr>
      <w:r>
        <w:rPr>
          <w:rFonts w:ascii="Times New Roman" w:hAnsi="Times New Roman"/>
          <w:b/>
          <w:color w:val="2F5496"/>
          <w:sz w:val="28"/>
        </w:rPr>
        <w:t>2. Related Literature</w:t>
      </w:r>
    </w:p>
    <w:p>
      <w:pPr>
        <w:spacing w:before="0" w:after="160" w:line="360" w:lineRule="auto"/>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42" w:name="Korinek2021txt"/>
      <w:hyperlink w:anchor="Korinek2021" w:history="1">
        <w:r>
          <w:rPr>
            <w:color w:val="1F3864"/>
            <w:u w:val="single"/>
          </w:rPr>
          <w:t xml:space="preserve">Korinek and Stiglitz (2021)</w:t>
        </w:r>
      </w:hyperlink>
      <w:bookmarkEnd w:id="242"/>
      <w:r>
        <w:t xml:space="preserve"> warn that developing countries may be left behind in the AI revolution; FLOP exporting offers a route in. The concept relates to </w:t>
      </w:r>
      <w:bookmarkStart w:id="260" w:name="Hausmann2007txt"/>
      <w:hyperlink w:anchor="Hausmann2007" w:history="1">
        <w:r>
          <w:rPr>
            <w:color w:val="1F3864"/>
            <w:u w:val="single"/>
          </w:rPr>
          <w:t xml:space="preserve">Hausmann et al. (2007)</w:t>
        </w:r>
      </w:hyperlink>
      <w:bookmarkEnd w:id="260"/>
      <w:r>
        <w:t xml:space="preserve"> on export composition and growth, and to </w:t>
      </w:r>
      <w:bookmarkStart w:id="254" w:name="Limao2001txt"/>
      <w:hyperlink w:anchor="Limao2001" w:history="1">
        <w:r>
          <w:rPr>
            <w:color w:val="1F3864"/>
            <w:u w:val="single"/>
          </w:rPr>
          <w:t xml:space="preserve">Limão and Venables (2001)</w:t>
        </w:r>
      </w:hyperlink>
      <w:bookmarkEnd w:id="254"/>
      <w:r>
        <w:t xml:space="preserve"> on infrastructure as a trade cost determinant.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4" w:name="Blinder2006txt"/>
      <w:hyperlink w:anchor="Blinder2006" w:history="1">
        <w:r>
          <w:rPr>
            <w:color w:val="1F3864"/>
            <w:u w:val="single"/>
          </w:rPr>
          <w:t xml:space="preserve">Blinder 2006</w:t>
        </w:r>
      </w:hyperlink>
      <w:bookmarkEnd w:id="204"/>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pPr>
        <w:spacing w:before="0" w:after="160" w:line="360" w:lineRule="auto"/>
        <w:ind w:firstLine="0"/>
        <w:jc w:val="both"/>
      </w:pPr>
      <w:r>
        <w:t xml:space="preserve">Several studies examine where firms should build data centers. </w:t>
      </w:r>
      <w:bookmarkStart w:id="205" w:name="Flucker2013txt"/>
      <w:hyperlink w:anchor="Flucker2013" w:history="1">
        <w:r>
          <w:rPr>
            <w:color w:val="1F3864"/>
            <w:u w:val="single"/>
          </w:rPr>
          <w:t xml:space="preserve">Flucker et al. (2013)</w:t>
        </w:r>
      </w:hyperlink>
      <w:bookmarkEnd w:id="205"/>
      <w:r>
        <w:t xml:space="preserve"> show that climate affects data center cooling costs. </w:t>
      </w:r>
      <w:bookmarkStart w:id="255" w:name="Liu2023txt"/>
      <w:hyperlink w:anchor="Liu2023" w:history="1">
        <w:r>
          <w:rPr>
            <w:color w:val="1F3864"/>
            <w:u w:val="single"/>
          </w:rPr>
          <w:t xml:space="preserve">Liu et al. (2023)</w:t>
        </w:r>
      </w:hyperlink>
      <w:bookmarkEnd w:id="255"/>
      <w:r>
        <w:t xml:space="preserve"> study data center placement under renewable energy constraints. In international trade theory, </w:t>
      </w:r>
      <w:bookmarkStart w:id="261" w:name="Brainard1997txt"/>
      <w:hyperlink w:anchor="Brainard1997" w:history="1">
        <w:r>
          <w:rPr>
            <w:color w:val="1F3864"/>
            <w:u w:val="single"/>
          </w:rPr>
          <w:t xml:space="preserve">Brainard (1997)</w:t>
        </w:r>
      </w:hyperlink>
      <w:bookmarkEnd w:id="261"/>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line="360" w:lineRule="auto"/>
        <w:ind w:firstLine="0"/>
        <w:jc w:val="both"/>
      </w:pPr>
      <w:r>
        <w:t xml:space="preserve">On governance, </w:t>
      </w:r>
      <w:bookmarkStart w:id="244" w:name="Sastry2024txt"/>
      <w:hyperlink w:anchor="Sastry2024" w:history="1">
        <w:r>
          <w:rPr>
            <w:color w:val="1F3864"/>
            <w:u w:val="single"/>
          </w:rPr>
          <w:t xml:space="preserve">Sastry et al. (2024)</w:t>
        </w:r>
      </w:hyperlink>
      <w:bookmarkEnd w:id="244"/>
      <w:r>
        <w:t xml:space="preserve"> argue that compute is well-suited for regulation. </w:t>
      </w:r>
      <w:bookmarkStart w:id="206" w:name="Lehdonvirta2024txt"/>
      <w:hyperlink w:anchor="Lehdonvirta2024" w:history="1">
        <w:r>
          <w:rPr>
            <w:color w:val="1F3864"/>
            <w:u w:val="single"/>
          </w:rPr>
          <w:t xml:space="preserve">Lehdonvirta et al. (2024)</w:t>
        </w:r>
      </w:hyperlink>
      <w:bookmarkEnd w:id="206"/>
      <w:r>
        <w:t xml:space="preserve"> map a “Compute North” with training-capable hardware versus a “Compute South” limited to inference chips. </w:t>
      </w:r>
      <w:bookmarkStart w:id="256" w:name="Pilz2025txt"/>
      <w:hyperlink w:anchor="Pilz2025" w:history="1">
        <w:r>
          <w:rPr>
            <w:color w:val="1F3864"/>
            <w:u w:val="single"/>
          </w:rPr>
          <w:t xml:space="preserve">Pilz et al. (2025)</w:t>
        </w:r>
      </w:hyperlink>
      <w:bookmarkEnd w:id="256"/>
      <w:r>
        <w:t xml:space="preserve"> project that data center power demand could reach 327 GW by 2030. The </w:t>
      </w:r>
      <w:bookmarkStart w:id="262" w:name="WorldBank2025txt"/>
      <w:hyperlink w:anchor="WorldBank2025" w:history="1">
        <w:r>
          <w:rPr>
            <w:color w:val="1F3864"/>
            <w:u w:val="single"/>
          </w:rPr>
          <w:t xml:space="preserve">World Bank (2025)</w:t>
        </w:r>
      </w:hyperlink>
      <w:bookmarkEnd w:id="262"/>
      <w:r>
        <w:t xml:space="preserve"> documents the resulting divide (high-income countries hold 77% of colocation capacity), but does not offer a formal framework linking costs to trade patterns. </w:t>
      </w:r>
      <w:bookmarkStart w:id="245" w:name="Biglaiser2024txt"/>
      <w:hyperlink w:anchor="Biglaiser2024" w:history="1">
        <w:r>
          <w:rPr>
            <w:color w:val="1F3864"/>
            <w:u w:val="single"/>
          </w:rPr>
          <w:t xml:space="preserve">Biglaiser et al. (2024)</w:t>
        </w:r>
      </w:hyperlink>
      <w:bookmarkEnd w:id="245"/>
      <w:r>
        <w:t xml:space="preserve"> survey cloud market IO, and </w:t>
      </w:r>
      <w:bookmarkStart w:id="257" w:name="Stojkoski2024txt"/>
      <w:hyperlink w:anchor="Stojkoski2024" w:history="1">
        <w:r>
          <w:rPr>
            <w:color w:val="1F3864"/>
            <w:u w:val="single"/>
          </w:rPr>
          <w:t xml:space="preserve">Stojkoski et al. (2024)</w:t>
        </w:r>
      </w:hyperlink>
      <w:bookmarkEnd w:id="257"/>
      <w:r>
        <w:t xml:space="preserve"> estimate cloud export geography but treat services as homogeneous. The present model adds supply-side cost structure and a training–inference distinction.</w:t>
      </w:r>
    </w:p>
    <w:p>
      <w:pPr>
        <w:pStyle w:val="Heading1"/>
      </w:pPr>
      <w:r>
        <w:rPr>
          <w:rFonts w:ascii="Times New Roman" w:hAnsi="Times New Roman"/>
          <w:b/>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Although the cost structure above is Ricardian (country-specific production costs driven by technology and input prices), the justification for resource-rich comparative advantage is closer to the Heckscher–Ohlin model: countries export goods intensive in their abundant factors (</w:t>
      </w:r>
      <w:bookmarkStart w:id="207" w:name="Heckscher1919txt"/>
      <w:hyperlink w:anchor="Heckscher1919" w:history="1">
        <w:r>
          <w:rPr>
            <w:color w:val="1F3864"/>
            <w:u w:val="single"/>
          </w:rPr>
          <w:t xml:space="preserve">Heckscher 1919</w:t>
        </w:r>
      </w:hyperlink>
      <w:bookmarkEnd w:id="207"/>
      <w:r>
        <w:t xml:space="preserve">, </w:t>
      </w:r>
      <w:bookmarkStart w:id="246" w:name="Ohlin1933txt"/>
      <w:hyperlink w:anchor="Ohlin1933" w:history="1">
        <w:r>
          <w:rPr>
            <w:color w:val="1F3864"/>
            <w:u w:val="single"/>
          </w:rPr>
          <w:t xml:space="preserve">Ohlin 1933</w:t>
        </w:r>
      </w:hyperlink>
      <w:bookmarkEnd w:id="246"/>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8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UN General Assembly ideal-point distance (</w:t>
      </w:r>
      <w:bookmarkStart w:id="208" w:name="BaileyEtAl2017txt"/>
      <w:hyperlink w:anchor="BaileyEtAl2017" w:history="1">
        <w:r>
          <w:rPr>
            <w:color w:val="1F3864"/>
            <w:u w:val="single"/>
          </w:rPr>
          <w:t xml:space="preserve">Bailey, Strezhnev, and Voeten 2017</w:t>
        </w:r>
      </w:hyperlink>
      <w:bookmarkEnd w:id="208"/>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720" w:type="dxa"/>
            <w:vAlign w:val="center"/>
          </w:tcPr>
          <w:p>
            <w:pPr>
              <w:jc w:val="right"/>
              <w:spacing w:before="60" w:after="60"/>
            </w:pPr>
            <w:bookmarkStart w:id="802" w:name="Eq2"/>
            <w:r>
              <w:t>(2)</w:t>
            </w:r>
            <w:bookmarkEnd w:id="802"/>
          </w:p>
        </w:tc>
      </w:tr>
    </w:tbl>
    <w:p>
      <w:pPr>
        <w:spacing w:before="80" w:after="80" w:line="360" w:lineRule="auto"/>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Governance quality, grid reliability, and other institutional factors that affect the willingness of buyers to source compute from a particular country are captured by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Which countries in this set attract investment also depend on agglomeration economies, hyperscaler market structure, and network connectivity (</w:t>
      </w:r>
      <w:bookmarkStart w:id="209" w:name="Krugman1991txt"/>
      <w:hyperlink w:anchor="Krugman1991" w:history="1">
        <w:r>
          <w:rPr>
            <w:color w:val="1F3864"/>
            <w:u w:val="single"/>
          </w:rPr>
          <w:t xml:space="preserve">Krugman 1991</w:t>
        </w:r>
      </w:hyperlink>
      <w:bookmarkEnd w:id="209"/>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line="360" w:lineRule="auto"/>
        <w:ind w:firstLine="0"/>
        <w:jc w:val="both"/>
      </w:pPr>
      <w:r>
        <w:t>This section derives the formal properties of the capacity-constrained equilibrium defined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line="360" w:lineRule="auto"/>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0" w:name="Eurostat2025txt"/>
      <w:hyperlink w:anchor="Eurostat2025" w:history="1">
        <w:r>
          <w:rPr>
            <w:color w:val="1F3864"/>
            <w:u w:val="single"/>
          </w:rPr>
          <w:t xml:space="preserve">Eurostat 2025</w:t>
        </w:r>
      </w:hyperlink>
      <w:bookmarkEnd w:id="210"/>
      <w:r>
        <w:t xml:space="preserve">). For non-European countries, the prices are obtained from national regulator tariff sheets and secondary sources, including the U.S. Energy Information Administration (</w:t>
      </w:r>
      <w:bookmarkStart w:id="247" w:name="EIA2025txt"/>
      <w:hyperlink w:anchor="EIA2025" w:history="1">
        <w:r>
          <w:rPr>
            <w:color w:val="1F3864"/>
            <w:u w:val="single"/>
          </w:rPr>
          <w:t xml:space="preserve">EIA 2025</w:t>
        </w:r>
      </w:hyperlink>
      <w:bookmarkEnd w:id="247"/>
      <w:r>
        <w:t xml:space="preserve">) for the United States, KEPCO for South Korea,</w:t>
      </w:r>
      <w:r>
        <w:rPr>
          <w:rStyle w:val="FootnoteReference"/>
        </w:rPr>
        <w:footnoteReference w:id="24"/>
      </w:r>
      <w:r>
        <w:t xml:space="preserve"> national utility tariffs for Central Asian countries, and </w:t>
      </w:r>
      <w:bookmarkStart w:id="211" w:name="GlobalPetrolPrices2025txt"/>
      <w:hyperlink w:anchor="GlobalPetrolPrices2025" w:history="1">
        <w:r>
          <w:rPr>
            <w:color w:val="1F3864"/>
            <w:u w:val="single"/>
          </w:rPr>
          <w:t xml:space="preserve">GlobalPetrolPrices (2025)</w:t>
        </w:r>
      </w:hyperlink>
      <w:bookmarkEnd w:id="211"/>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2" w:name="Hersbach2020txt"/>
      <w:hyperlink w:anchor="Hersbach2020" w:history="1">
        <w:r>
          <w:rPr>
            <w:color w:val="1F3864"/>
            <w:u w:val="single"/>
          </w:rPr>
          <w:t xml:space="preserve">Hersbach et al. 2020</w:t>
        </w:r>
      </w:hyperlink>
      <w:bookmarkEnd w:id="212"/>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13" w:name="TurnerTownsend2025txt"/>
      <w:hyperlink w:anchor="TurnerTownsend2025" w:history="1">
        <w:r>
          <w:rPr>
            <w:color w:val="1F3864"/>
            <w:u w:val="single"/>
          </w:rPr>
          <w:t xml:space="preserve">Turner &amp; Townsend 2025</w:t>
        </w:r>
      </w:hyperlink>
      <w:bookmarkEnd w:id="213"/>
      <w:r>
        <w:t xml:space="preserve">), for 37 countries. For the remaining countries, costs are predicted (Appendix E). Since construction is only 3–6%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4" w:name="WonderNetwork2024txt"/>
      <w:hyperlink w:anchor="WonderNetwork2024" w:history="1">
        <w:r>
          <w:rPr>
            <w:color w:val="1F3864"/>
            <w:u w:val="single"/>
          </w:rPr>
          <w:t xml:space="preserve">WonderNetwork 2024</w:t>
        </w:r>
      </w:hyperlink>
      <w:bookmarkEnd w:id="214"/>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5" w:name="Cloudscene2025txt"/>
      <w:hyperlink w:anchor="Cloudscene2025" w:history="1">
        <w:r>
          <w:rPr>
            <w:color w:val="1F3864"/>
            <w:u w:val="single"/>
          </w:rPr>
          <w:t xml:space="preserve">Cloudscene 2025</w:t>
        </w:r>
      </w:hyperlink>
      <w:bookmarkEnd w:id="215"/>
      <w:r>
        <w:t xml:space="preserve">) and regional averages.</w:t>
      </w:r>
    </w:p>
    <w:p>
      <w:pPr>
        <w:spacing w:before="0" w:after="160" w:line="360" w:lineRule="auto"/>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6" w:name="Google2024txt"/>
      <w:hyperlink w:anchor="Google2024" w:history="1">
        <w:r>
          <w:rPr>
            <w:color w:val="1F3864"/>
            <w:u w:val="single"/>
          </w:rPr>
          <w:t xml:space="preserve">Google 2024</w:t>
        </w:r>
      </w:hyperlink>
      <w:bookmarkEnd w:id="216"/>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7" w:name="Liu2023txt"/>
      <w:hyperlink w:anchor="Liu2023" w:history="1">
        <w:r>
          <w:rPr>
            <w:color w:val="1F3864"/>
            <w:u w:val="single"/>
          </w:rPr>
          <w:t xml:space="preserve">Liu et al. 2023</w:t>
        </w:r>
      </w:hyperlink>
      <w:bookmarkEnd w:id="217"/>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8" w:name="UptimeInstitute2024txt"/>
      <w:hyperlink w:anchor="UptimeInstitute2024" w:history="1">
        <w:r>
          <w:rPr>
            <w:color w:val="1F3864"/>
            <w:u w:val="single"/>
          </w:rPr>
          <w:t xml:space="preserve">Uptime Institute 2024</w:t>
        </w:r>
      </w:hyperlink>
      <w:bookmarkEnd w:id="218"/>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19" w:name="Barroso2018txt"/>
      <w:hyperlink w:anchor="Barroso2018" w:history="1">
        <w:r>
          <w:rPr>
            <w:color w:val="1F3864"/>
            <w:u w:val="single"/>
          </w:rPr>
          <w:t xml:space="preserve">Barroso et al. 2018</w:t>
        </w:r>
      </w:hyperlink>
      <w:bookmarkEnd w:id="219"/>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0" w:name="Barroso2018txt"/>
      <w:hyperlink w:anchor="Barroso2018" w:history="1">
        <w:r>
          <w:rPr>
            <w:color w:val="1F3864"/>
            <w:u w:val="single"/>
          </w:rPr>
          <w:t xml:space="preserve">Barroso et al. 2018</w:t>
        </w:r>
      </w:hyperlink>
      <w:bookmarkEnd w:id="220"/>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1" w:name="Deloitte2020txt"/>
      <w:hyperlink w:anchor="Deloitte2020" w:history="1">
        <w:r>
          <w:rPr>
            <w:color w:val="1F3864"/>
            <w:u w:val="single"/>
          </w:rPr>
          <w:t xml:space="preserve">Deloitte and Google (2020)</w:t>
        </w:r>
      </w:hyperlink>
      <w:bookmarkEnd w:id="221"/>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0.04–0.07.</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2" w:name="Deloitte2025txt"/>
      <w:hyperlink w:anchor="Deloitte2025" w:history="1">
        <w:r>
          <w:rPr>
            <w:color w:val="1F3864"/>
            <w:u w:val="single"/>
          </w:rPr>
          <w:t xml:space="preserve">Deloitte 2025</w:t>
        </w:r>
      </w:hyperlink>
      <w:bookmarkEnd w:id="222"/>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The analysis proceeds by adjusting production costs and applying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reflects on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bookmarkStart w:id="248" w:name="IMF2025txt"/>
      <w:hyperlink w:anchor="IMF2025" w:history="1">
        <w:r>
          <w:rPr>
            <w:color w:val="1F3864"/>
            <w:u w:val="single"/>
          </w:rPr>
          <w:t xml:space="preserve">IMF 2025</w:t>
        </w:r>
      </w:hyperlink>
      <w:bookmarkEnd w:id="248"/>
      <w:r>
        <w:t xml:space="preserve">, </w:t>
      </w:r>
      <w:bookmarkStart w:id="223" w:name="Lazard2025txt"/>
      <w:hyperlink w:anchor="Lazard2025" w:history="1">
        <w:r>
          <w:rPr>
            <w:color w:val="1F3864"/>
            <w:u w:val="single"/>
          </w:rPr>
          <w:t xml:space="preserve">Lazard 2025</w:t>
        </w:r>
      </w:hyperlink>
      <w:bookmarkEnd w:id="223"/>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$93 million per year in implicit transfers.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Canada, Ethiopia, Kosovo, and Tajikistan. Iran drops from first to 24th and Turkmenistan falls 16 places. Forty countries change their trade regimes, but </w:t>
      </w:r>
      <w:r>
        <w:t>the remaining cross-country variation is narrow. Cheap energy is necessary but not sufficient for FLOP exporting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gap between cost advantage and actual investment is wide. Eight of the twenty cheapest producers have under 100 MW of installed capacity (e.g., Kyrgyzstan: rank 1, 5 MW), while countries outside the top twenty host large clusters (Netherlands: rank 59, 1,800 MW; Ireland: rank 84, 1,260 MW). The cost ranking identifies the feasible set of exporters, not a prediction of realized investment.</w:t>
      </w:r>
    </w:p>
    <w:p>
      <w:pPr>
        <w:spacing w:before="0" w:after="160" w:line="360" w:lineRule="auto"/>
        <w:ind w:firstLine="0"/>
        <w:jc w:val="both"/>
      </w:pPr>
      <w:r>
        <w:t xml:space="preserve">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bookmarkStart w:id="258" w:name="AykutEtAl2026txt"/>
      <w:hyperlink w:anchor="AykutEtAl2026" w:history="1">
        <w:r>
          <w:rPr>
            <w:color w:val="1F3864"/>
            <w:u w:val="single"/>
          </w:rPr>
          <w:t xml:space="preserve">Aykut et al. 2026</w:t>
        </w:r>
      </w:hyperlink>
      <w:bookmarkEnd w:id="258"/>
      <w:r>
        <w:t xml:space="preserve">). Moreover, most announced investment flows between geopolitical allies, consistent with the bilateral sovereignty premium rather than cost alone determining where capacity is built (</w:t>
      </w:r>
      <w:bookmarkStart w:id="249" w:name="StraubEtAl2026txt"/>
      <w:hyperlink w:anchor="StraubEtAl2026" w:history="1">
        <w:r>
          <w:rPr>
            <w:color w:val="1F3864"/>
            <w:u w:val="single"/>
          </w:rPr>
          <w:t xml:space="preserve">Straub et al. 2026</w:t>
        </w:r>
      </w:hyperlink>
      <w:bookmarkEnd w:id="249"/>
      <w:r>
        <w:t xml:space="preserve">). Econometric evidence confirms that electricity costs are not a robust predictor of data center location once market size and regulatory environment are controlled for (</w:t>
      </w:r>
      <w:bookmarkStart w:id="224" w:name="CaouiSteck2025txt"/>
      <w:hyperlink w:anchor="CaouiSteck2025" w:history="1">
        <w:r>
          <w:rPr>
            <w:color w:val="1F3864"/>
            <w:u w:val="single"/>
          </w:rPr>
          <w:t xml:space="preserve">Caoui and Steck 2025</w:t>
        </w:r>
      </w:hyperlink>
      <w:bookmarkEnd w:id="224"/>
      <w:r>
        <w:t xml:space="preserve">).</w:t>
      </w:r>
    </w:p>
    <w:p>
      <w:pPr>
        <w:spacing w:before="0" w:after="160" w:line="360" w:lineRule="auto"/>
        <w:ind w:firstLine="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Indonesia and Viet Nam (</w:t>
      </w:r>
      <w:bookmarkStart w:id="250" w:name="KatzEtAl2025txt"/>
      <w:hyperlink w:anchor="KatzEtAl2025" w:history="1">
        <w:r>
          <w:rPr>
            <w:color w:val="1F3864"/>
            <w:u w:val="single"/>
          </w:rPr>
          <w:t xml:space="preserve">Katz et al. 2025</w:t>
        </w:r>
      </w:hyperlink>
      <w:bookmarkEnd w:id="250"/>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bookmarkStart w:id="225" w:name="AykutEtAl2026txt"/>
      <w:hyperlink w:anchor="AykutEtAl2026" w:history="1">
        <w:r>
          <w:rPr>
            <w:color w:val="1F3864"/>
            <w:u w:val="single"/>
          </w:rPr>
          <w:t xml:space="preserve">Aykut et al. 2026</w:t>
        </w:r>
      </w:hyperlink>
      <w:bookmarkEnd w:id="225"/>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a dominant exporter (HHI = 0.996, with 1 other producer at the margin), leaving the training market close to the unconstrained benchmark of Proposition 2. </w:t>
      </w:r>
      <w:r>
        <w:t xml:space="preserve">The largest shadow values of grid capacity are in Kyrgyzstan ($0.014/hr), indicating modest returns to capacity expansion. </w:t>
      </w:r>
      <w:r>
        <w:t>Under the bilateral sovereignty premium, most training demand shifts to domestic production, and the residual export market is served by a single exporter at $1.58/hr.</w:t>
      </w:r>
    </w:p>
    <w:p>
      <w:pPr>
        <w:spacing w:before="0" w:after="160" w:line="360" w:lineRule="auto"/>
        <w:ind w:firstLine="0"/>
        <w:jc w:val="both"/>
      </w:pPr>
      <w:r>
        <w:t xml:space="preserve">Inference exports are more dispersed, with the top five exporters being Canada (43%), Kyrgyzstan (26%), Kosovo (6%), the United Kingdom (1%), and Indonesia (0.9%), collectively accounting for 77% of cross-border inference demand (HHI = 0.2591). </w:t>
      </w:r>
    </w:p>
    <w:p>
      <w:pPr>
        <w:spacing w:before="0" w:after="160" w:line="360" w:lineRule="auto"/>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17 countries, accounting for 6% of global inference demand. </w:t>
      </w:r>
    </w:p>
    <w:p>
      <w:pPr>
        <w:spacing w:before="0" w:after="160" w:line="360" w:lineRule="auto"/>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domestically. For China, the cheapest foreign source of inference is Kyrgyzstan. Inference supply thus concentrates around latency-bounded regional hubs, each major market sourcing from a distinct nearby producer.</w:t>
      </w:r>
    </w:p>
    <w:p>
      <w:pPr>
        <w:spacing w:before="0" w:after="160" w:line="360" w:lineRule="auto"/>
        <w:ind w:firstLine="0"/>
        <w:jc w:val="both"/>
      </w:pPr>
      <w:r>
        <w:t xml:space="preserve">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bookmarkStart w:id="226" w:name="AykutEtAl2026txt"/>
      <w:hyperlink w:anchor="AykutEtAl2026" w:history="1">
        <w:r>
          <w:rPr>
            <w:color w:val="1F3864"/>
            <w:u w:val="single"/>
          </w:rPr>
          <w:t xml:space="preserve">Aykut et al. 2026</w:t>
        </w:r>
      </w:hyperlink>
      <w:bookmarkEnd w:id="226"/>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pPr>
        <w:spacing w:before="0" w:after="160" w:line="360" w:lineRule="auto"/>
        <w:ind w:firstLine="0"/>
        <w:jc w:val="both"/>
      </w:pPr>
      <w:r>
        <w:t>Under cost-recovery pricing, the narrow cost spread means that even a 10% uniform sovereignty premium is sufficient to make domestic training viable for nearly all countries, leaving the share of global training demand available to foreign exporters negligible. Raising the uniform premium to 20% shifts one additional country (Greenland)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in the range of the welfare gains from trade in goods estimated in the quantitative trade literature, which range from roughly 0.2% to 10% depending on country size and specification (</w:t>
      </w:r>
      <w:bookmarkStart w:id="227" w:name="EatonKortum2002txt"/>
      <w:hyperlink w:anchor="EatonKortum2002" w:history="1">
        <w:r>
          <w:rPr>
            <w:color w:val="1F3864"/>
            <w:u w:val="single"/>
          </w:rPr>
          <w:t xml:space="preserve">Eaton and Kortum 2002</w:t>
        </w:r>
      </w:hyperlink>
      <w:bookmarkEnd w:id="227"/>
      <w:r>
        <w:t xml:space="preserve">, </w:t>
      </w:r>
      <w:bookmarkStart w:id="251" w:name="ACR2012txt"/>
      <w:hyperlink w:anchor="ACR2012" w:history="1">
        <w:r>
          <w:rPr>
            <w:color w:val="1F3864"/>
            <w:u w:val="single"/>
          </w:rPr>
          <w:t xml:space="preserve">Arkolakis et al. 2012</w:t>
        </w:r>
      </w:hyperlink>
      <w:bookmarkEnd w:id="251"/>
      <w:r>
        <w:t xml:space="preserve">).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pPr>
        <w:spacing w:before="0" w:after="160" w:line="360" w:lineRule="auto"/>
        <w:ind w:firstLine="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significant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28" w:name="WorldBank2025txt"/>
      <w:hyperlink w:anchor="WorldBank2025" w:history="1">
        <w:r>
          <w:rPr>
            <w:color w:val="1F3864"/>
            <w:u w:val="single"/>
          </w:rPr>
          <w:t xml:space="preserve">World Bank (2025)</w:t>
        </w:r>
      </w:hyperlink>
      <w:bookmarkEnd w:id="228"/>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line="360" w:lineRule="auto"/>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Fiscal sustainability is a concern: regulated tariffs in many developing countries cover operating expenses but not full capital cost, so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229" w:name="Chandramowli2024txt"/>
      <w:hyperlink w:anchor="Chandramowli2024" w:history="1">
        <w:r>
          <w:rPr>
            <w:color w:val="1F3864"/>
            <w:u w:val="single"/>
          </w:rPr>
          <w:t xml:space="preserve">Chandramowli et al. 2024</w:t>
        </w:r>
      </w:hyperlink>
      <w:bookmarkEnd w:id="229"/>
      <w:r>
        <w:t xml:space="preserve">), and AI data-center expansion alone could increase retail prices by 8–9 percent by 2030 (</w:t>
      </w:r>
      <w:bookmarkStart w:id="252" w:name="IMF2025txt"/>
      <w:hyperlink w:anchor="IMF2025" w:history="1">
        <w:r>
          <w:rPr>
            <w:color w:val="1F3864"/>
            <w:u w:val="single"/>
          </w:rPr>
          <w:t xml:space="preserve">IMF 2025</w:t>
        </w:r>
      </w:hyperlink>
      <w:bookmarkEnd w:id="252"/>
      <w:r>
        <w:t xml:space="preserve">). For small grids such as Kyrgyzstan’s, the proportional impact would be substantially larger, further eroding the cost advantages documented above.</w:t>
      </w:r>
    </w:p>
    <w:p>
      <w:pPr>
        <w:spacing w:before="0" w:after="160" w:line="360" w:lineRule="auto"/>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pPr>
        <w:spacing w:before="0" w:after="160" w:line="360" w:lineRule="auto"/>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0" w:name="Calcaterra2024txt"/>
      <w:hyperlink w:anchor="Calcaterra2024" w:history="1">
        <w:r>
          <w:rPr>
            <w:color w:val="1F3864"/>
            <w:u w:val="single"/>
          </w:rPr>
          <w:t xml:space="preserve">Calcaterra et al. 2024</w:t>
        </w:r>
      </w:hyperlink>
      <w:bookmarkEnd w:id="230"/>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institutional weaknesses raise the cost of capital, and the ranking of cheap-energy developing countries compresses sharply. Since most data-center FDI in practice is financed at the hyperscaler’s home WACC, this channel sets an upper bound on the developing-country discount but does not eliminate it.</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present model (</w:t>
      </w:r>
      <w:bookmarkStart w:id="231" w:name="AykutEtAl2026txt"/>
      <w:hyperlink w:anchor="AykutEtAl2026" w:history="1">
        <w:r>
          <w:rPr>
            <w:color w:val="1F3864"/>
            <w:u w:val="single"/>
          </w:rPr>
          <w:t xml:space="preserve">Aykut et al. 2026</w:t>
        </w:r>
      </w:hyperlink>
      <w:bookmarkEnd w:id="231"/>
      <w:r>
        <w:t xml:space="preserve">). Incorporating heterogeneous compute architectures—centralized GPU clusters for training, distributed edge nodes for inference—into the trade framework is a natural direction for future work.</w:t>
      </w:r>
    </w:p>
    <w:p>
      <w:pPr>
        <w:pStyle w:val="Heading1"/>
      </w:pPr>
      <w:r>
        <w:rPr>
          <w:rFonts w:ascii="Times New Roman" w:hAnsi="Times New Roman"/>
          <w:b/>
          <w:color w:val="2F5496"/>
          <w:sz w:val="28"/>
        </w:rPr>
        <w:t>8. Conclusion</w:t>
      </w:r>
    </w:p>
    <w:p>
      <w:pPr>
        <w:spacing w:before="0" w:after="160" w:line="360" w:lineRule="auto"/>
        <w:ind w:firstLine="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pPr>
        <w:spacing w:before="0" w:after="160" w:line="360" w:lineRule="auto"/>
        <w:ind w:firstLine="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pPr>
        <w:spacing w:before="0" w:after="160" w:line="360" w:lineRule="auto"/>
        <w:ind w:firstLine="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such as non-sanctioned status, credible long-term power contracts, stable network connectivity, and a regulatory environment conducive to capital-intensive investment. The absence of these conditions shifts most countries toward domestic production at a nontrivial welfare cost. The welfare loss, however, is small enough that governments with legitimate data-sovereignty objectives may prefer domestic supply. </w:t>
      </w:r>
    </w:p>
    <w:p>
      <w:pPr>
        <w:spacing w:before="0" w:after="160" w:line="360" w:lineRule="auto"/>
        <w:ind w:firstLine="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pPr>
        <w:spacing w:before="0" w:after="160" w:line="360" w:lineRule="auto"/>
        <w:ind w:firstLine="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pPr>
        <w:pStyle w:val="Heading1"/>
        <w:pageBreakBefore/>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1"/>
    </w:p>
    <w:p>
      <w:pPr>
        <w:spacing w:before="0" w:after="80" w:line="240" w:lineRule="exact"/>
        <w:ind w:hanging="720" w:left="720"/>
        <w:jc w:val="both"/>
      </w:pPr>
      <w:bookmarkStart w:id="502" w:name="AykutEtAl2026"/>
      <w:hyperlink w:anchor="AykutEtAl2026txt" w:history="1">
        <w:r>
          <w:rPr>
            <w:color w:val="1F3864"/>
            <w:u w:val="single"/>
          </w:rPr>
          <w:t xml:space="preserve">Aykut, D., S. Ozyurt, K. Jung, and E. Vergara Cobos. (2026). </w:t>
        </w:r>
      </w:hyperlink>
      <w:r>
        <w:t xml:space="preserve">“Data Center and AI Investment in EMDEs: Risks and Opportunities.” </w:t>
      </w:r>
      <w:r>
        <w:rPr>
          <w:i/>
        </w:rPr>
        <w:t>Watch This Space</w:t>
      </w:r>
      <w:r>
        <w:t xml:space="preserve">. Washington, DC: </w:t>
      </w:r>
      <w:bookmarkStart w:id="232" w:name="WorldBank2024txt"/>
      <w:hyperlink w:anchor="WorldBank2024" w:history="1">
        <w:r>
          <w:rPr>
            <w:color w:val="1F3864"/>
            <w:u w:val="single"/>
          </w:rPr>
          <w:t xml:space="preserve">World Bank</w:t>
        </w:r>
      </w:hyperlink>
      <w:bookmarkEnd w:id="232"/>
      <w:r>
        <w:t xml:space="preserve"> Group.</w:t>
      </w:r>
      <w:bookmarkEnd w:id="502"/>
    </w:p>
    <w:p>
      <w:pPr>
        <w:spacing w:before="0" w:after="80" w:line="240" w:lineRule="exact"/>
        <w:ind w:hanging="720" w:left="720"/>
        <w:jc w:val="both"/>
      </w:pPr>
      <w:bookmarkStart w:id="503"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3"/>
    </w:p>
    <w:p>
      <w:pPr>
        <w:spacing w:before="0" w:after="80" w:line="240" w:lineRule="exact"/>
        <w:ind w:hanging="720" w:left="720"/>
        <w:jc w:val="both"/>
      </w:pPr>
      <w:bookmarkStart w:id="504"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4"/>
    </w:p>
    <w:p>
      <w:pPr>
        <w:spacing w:before="0" w:after="80" w:line="240" w:lineRule="exact"/>
        <w:ind w:hanging="720" w:left="720"/>
        <w:jc w:val="both"/>
      </w:pPr>
      <w:bookmarkStart w:id="505" w:name="BenzJaax2020"/>
      <w:r>
        <w:rPr>
          <w:color w:val="1F3864"/>
          <w:u w:val="single"/>
        </w:rPr>
        <w:t xml:space="preserve">Benz, S. and A. Jaax. (2020). </w:t>
      </w:r>
      <w:r>
        <w:t xml:space="preserve">“The Costs of Regulatory Barriers to Trade in Services: New Estimates of Ad Valorem Tariff Equivalents.” </w:t>
      </w:r>
      <w:r>
        <w:rPr>
          <w:i/>
        </w:rPr>
        <w:t>OECD Trade Policy Papers</w:t>
      </w:r>
      <w:r>
        <w:t>, No. 238. Paris: OECD Publishing.</w:t>
      </w:r>
      <w:bookmarkEnd w:id="505"/>
    </w:p>
    <w:p>
      <w:pPr>
        <w:spacing w:before="0" w:after="80" w:line="240" w:lineRule="exact"/>
        <w:ind w:hanging="720" w:left="720"/>
        <w:jc w:val="both"/>
      </w:pPr>
      <w:bookmarkStart w:id="506"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6"/>
    </w:p>
    <w:p>
      <w:pPr>
        <w:spacing w:before="0" w:after="80" w:line="240" w:lineRule="exact"/>
        <w:ind w:hanging="720" w:left="720"/>
        <w:jc w:val="both"/>
      </w:pPr>
      <w:bookmarkStart w:id="507"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7"/>
    </w:p>
    <w:p>
      <w:pPr>
        <w:spacing w:before="0" w:after="80" w:line="240" w:lineRule="exact"/>
        <w:ind w:hanging="720" w:left="720"/>
        <w:jc w:val="both"/>
      </w:pPr>
      <w:bookmarkStart w:id="508"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8"/>
    </w:p>
    <w:p>
      <w:pPr>
        <w:spacing w:before="0" w:after="80" w:line="240" w:lineRule="exact"/>
        <w:ind w:hanging="720" w:left="720"/>
        <w:jc w:val="both"/>
      </w:pPr>
      <w:bookmarkStart w:id="509"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9"/>
    </w:p>
    <w:p>
      <w:pPr>
        <w:spacing w:before="0" w:after="80" w:line="240" w:lineRule="exact"/>
        <w:ind w:hanging="720" w:left="720"/>
        <w:jc w:val="both"/>
      </w:pPr>
      <w:bookmarkStart w:id="510" w:name="CaouiSteck2025"/>
      <w:hyperlink w:anchor="CaouiSteck2025txt" w:history="1">
        <w:r>
          <w:rPr>
            <w:color w:val="1F3864"/>
            <w:u w:val="single"/>
          </w:rPr>
          <w:t xml:space="preserve">Caoui, E. H., and A. Steck. (2025). </w:t>
        </w:r>
      </w:hyperlink>
      <w:r>
        <w:t xml:space="preserve">“Content Providers and the Deployment of Internet Infrastructure.” </w:t>
      </w:r>
      <w:r>
        <w:rPr>
          <w:i/>
        </w:rPr>
        <w:t>Information Economics and Policy</w:t>
      </w:r>
      <w:r>
        <w:t>. doi:10.1016/j.infoecopol.2025.101134.</w:t>
      </w:r>
      <w:bookmarkEnd w:id="510"/>
    </w:p>
    <w:p>
      <w:pPr>
        <w:spacing w:before="0" w:after="80" w:line="240" w:lineRule="exact"/>
        <w:ind w:hanging="720" w:left="720"/>
        <w:jc w:val="both"/>
      </w:pPr>
      <w:bookmarkStart w:id="511" w:name="Chandramowli2024"/>
      <w:hyperlink w:anchor="Chandramowli2024txt" w:history="1">
        <w:r>
          <w:rPr>
            <w:color w:val="1F3864"/>
            <w:u w:val="single"/>
          </w:rPr>
          <w:t xml:space="preserve">Chandramowli, S., et al. (2024). </w:t>
        </w:r>
      </w:hyperlink>
      <w:r>
        <w:t xml:space="preserve">“Impact of Emerging Technologies on Electricity Demand and Prices.” </w:t>
      </w:r>
      <w:r>
        <w:rPr>
          <w:i/>
        </w:rPr>
        <w:t>Rhodium Group Analysis</w:t>
      </w:r>
      <w:r>
        <w:t>.</w:t>
      </w:r>
      <w:bookmarkEnd w:id="511"/>
    </w:p>
    <w:p>
      <w:pPr>
        <w:spacing w:before="0" w:after="80" w:line="240" w:lineRule="exact"/>
        <w:ind w:hanging="720" w:left="720"/>
        <w:jc w:val="both"/>
      </w:pPr>
      <w:bookmarkStart w:id="512"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2"/>
    </w:p>
    <w:p>
      <w:pPr>
        <w:spacing w:before="0" w:after="80" w:line="240" w:lineRule="exact"/>
        <w:ind w:hanging="720" w:left="720"/>
        <w:jc w:val="both"/>
      </w:pPr>
      <w:bookmarkStart w:id="513" w:name="Deloitte2020"/>
      <w:hyperlink w:anchor="Deloitte2020txt" w:history="1">
        <w:r>
          <w:rPr>
            <w:color w:val="1F3864"/>
            <w:u w:val="single"/>
          </w:rPr>
          <w:t xml:space="preserve">Deloitte and Google. (2020). </w:t>
        </w:r>
      </w:hyperlink>
      <w:r>
        <w:t>“Milliseconds Make Millions.” Deloitte Digital and Google.</w:t>
      </w:r>
      <w:bookmarkEnd w:id="513"/>
    </w:p>
    <w:p>
      <w:pPr>
        <w:spacing w:before="0" w:after="80" w:line="240" w:lineRule="exact"/>
        <w:ind w:hanging="720" w:left="720"/>
        <w:jc w:val="both"/>
      </w:pPr>
      <w:bookmarkStart w:id="514"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4"/>
    </w:p>
    <w:p>
      <w:pPr>
        <w:spacing w:before="0" w:after="80" w:line="240" w:lineRule="exact"/>
        <w:ind w:hanging="720" w:left="720"/>
        <w:jc w:val="both"/>
      </w:pPr>
      <w:bookmarkStart w:id="515"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5"/>
    </w:p>
    <w:p>
      <w:pPr>
        <w:spacing w:before="0" w:after="80" w:line="240" w:lineRule="exact"/>
        <w:ind w:hanging="720" w:left="720"/>
        <w:jc w:val="both"/>
      </w:pPr>
      <w:bookmarkStart w:id="516"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6"/>
    </w:p>
    <w:p>
      <w:pPr>
        <w:spacing w:before="0" w:after="80" w:line="240" w:lineRule="exact"/>
        <w:ind w:hanging="720" w:left="720"/>
        <w:jc w:val="both"/>
      </w:pPr>
      <w:bookmarkStart w:id="517" w:name="EpochAI2024"/>
      <w:hyperlink w:anchor="EpochAI2024txt" w:history="1">
        <w:r>
          <w:rPr>
            <w:color w:val="1F3864"/>
            <w:u w:val="single"/>
          </w:rPr>
          <w:t xml:space="preserve">Epoch AI. (2024). </w:t>
        </w:r>
      </w:hyperlink>
      <w:r>
        <w:t>“The Training Compute of Notable AI Models.” epochai.org.</w:t>
      </w:r>
      <w:bookmarkEnd w:id="517"/>
    </w:p>
    <w:p>
      <w:pPr>
        <w:spacing w:before="0" w:after="80" w:line="240" w:lineRule="exact"/>
        <w:ind w:hanging="720" w:left="720"/>
        <w:jc w:val="both"/>
      </w:pPr>
      <w:bookmarkStart w:id="518"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8"/>
    </w:p>
    <w:p>
      <w:pPr>
        <w:spacing w:before="0" w:after="80" w:line="240" w:lineRule="exact"/>
        <w:ind w:hanging="720" w:left="720"/>
        <w:jc w:val="both"/>
      </w:pPr>
      <w:bookmarkStart w:id="519"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9"/>
    </w:p>
    <w:p>
      <w:pPr>
        <w:spacing w:before="0" w:after="80" w:line="240" w:lineRule="exact"/>
        <w:ind w:hanging="720" w:left="720"/>
        <w:jc w:val="both"/>
      </w:pPr>
      <w:bookmarkStart w:id="520"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20"/>
    </w:p>
    <w:p>
      <w:pPr>
        <w:spacing w:before="0" w:after="80" w:line="240" w:lineRule="exact"/>
        <w:ind w:hanging="720" w:left="720"/>
        <w:jc w:val="both"/>
      </w:pPr>
      <w:bookmarkStart w:id="521"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1"/>
    </w:p>
    <w:p>
      <w:pPr>
        <w:spacing w:before="0" w:after="80" w:line="240" w:lineRule="exact"/>
        <w:ind w:hanging="720" w:left="720"/>
        <w:jc w:val="both"/>
      </w:pPr>
      <w:bookmarkStart w:id="522"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2"/>
    </w:p>
    <w:p>
      <w:pPr>
        <w:spacing w:before="0" w:after="80" w:line="240" w:lineRule="exact"/>
        <w:ind w:hanging="720" w:left="720"/>
        <w:jc w:val="both"/>
      </w:pPr>
      <w:bookmarkStart w:id="523" w:name="Google2024"/>
      <w:hyperlink w:anchor="Google2024txt" w:history="1">
        <w:r>
          <w:rPr>
            <w:color w:val="1F3864"/>
            <w:u w:val="single"/>
          </w:rPr>
          <w:t xml:space="preserve">Google. </w:t>
        </w:r>
      </w:hyperlink>
      <w:r>
        <w:t xml:space="preserve">(2024). </w:t>
      </w:r>
      <w:r>
        <w:rPr>
          <w:i/>
        </w:rPr>
        <w:t>2024 Environmental Report</w:t>
      </w:r>
      <w:r>
        <w:t>. sustainability.google.</w:t>
      </w:r>
      <w:bookmarkEnd w:id="523"/>
    </w:p>
    <w:p>
      <w:pPr>
        <w:spacing w:before="0" w:after="80" w:line="240" w:lineRule="exact"/>
        <w:ind w:hanging="720" w:left="720"/>
        <w:jc w:val="both"/>
      </w:pPr>
      <w:bookmarkStart w:id="524"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4"/>
    </w:p>
    <w:p>
      <w:pPr>
        <w:spacing w:before="0" w:after="80" w:line="240" w:lineRule="exact"/>
        <w:ind w:hanging="720" w:left="720"/>
        <w:jc w:val="both"/>
      </w:pPr>
      <w:bookmarkStart w:id="525"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25"/>
    </w:p>
    <w:p>
      <w:pPr>
        <w:spacing w:before="0" w:after="80" w:line="240" w:lineRule="exact"/>
        <w:ind w:hanging="720" w:left="720"/>
        <w:jc w:val="both"/>
      </w:pPr>
      <w:bookmarkStart w:id="526"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6"/>
    </w:p>
    <w:p>
      <w:pPr>
        <w:spacing w:before="0" w:after="80" w:line="240" w:lineRule="exact"/>
        <w:ind w:hanging="720" w:left="720"/>
        <w:jc w:val="both"/>
      </w:pPr>
      <w:bookmarkStart w:id="527"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7"/>
    </w:p>
    <w:p>
      <w:pPr>
        <w:spacing w:before="0" w:after="80" w:line="240" w:lineRule="exact"/>
        <w:ind w:hanging="720" w:left="720"/>
        <w:jc w:val="both"/>
      </w:pPr>
      <w:bookmarkStart w:id="528" w:name="IEA2025"/>
      <w:hyperlink w:anchor="IEA2025txt" w:history="1">
        <w:r>
          <w:rPr>
            <w:color w:val="1F3864"/>
            <w:u w:val="single"/>
          </w:rPr>
          <w:t xml:space="preserve">IEA. (2025). </w:t>
        </w:r>
      </w:hyperlink>
      <w:r>
        <w:t>“Energy Demand from AI.” Published online at iea.org.</w:t>
      </w:r>
      <w:bookmarkEnd w:id="528"/>
    </w:p>
    <w:p>
      <w:pPr>
        <w:spacing w:before="0" w:after="80" w:line="240" w:lineRule="exact"/>
        <w:ind w:hanging="720" w:left="720"/>
        <w:jc w:val="both"/>
      </w:pPr>
      <w:bookmarkStart w:id="529"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9"/>
    </w:p>
    <w:p>
      <w:pPr>
        <w:spacing w:before="0" w:after="80" w:line="240" w:lineRule="exact"/>
        <w:ind w:hanging="720" w:left="720"/>
        <w:jc w:val="both"/>
      </w:pPr>
      <w:bookmarkStart w:id="530" w:name="KatzEtAl2025"/>
      <w:hyperlink w:anchor="KatzEtAl2025txt" w:history="1">
        <w:r>
          <w:rPr>
            <w:color w:val="1F3864"/>
            <w:u w:val="single"/>
          </w:rPr>
          <w:t xml:space="preserve">Katz, R., K. Jung, and F. Callorda. (2025). </w:t>
        </w:r>
      </w:hyperlink>
      <w:r>
        <w:t>“The Economic Impact of AI and Cloud Investment in Asia-Pacific.” Report prepared for the Asian Development Bank.</w:t>
      </w:r>
      <w:bookmarkEnd w:id="530"/>
    </w:p>
    <w:p>
      <w:pPr>
        <w:spacing w:before="0" w:after="80" w:line="240" w:lineRule="exact"/>
        <w:ind w:hanging="720" w:left="720"/>
        <w:jc w:val="both"/>
      </w:pPr>
      <w:bookmarkStart w:id="531"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31"/>
    </w:p>
    <w:p>
      <w:pPr>
        <w:spacing w:before="0" w:after="80" w:line="240" w:lineRule="exact"/>
        <w:ind w:hanging="720" w:left="720"/>
        <w:jc w:val="both"/>
      </w:pPr>
      <w:bookmarkStart w:id="532"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2"/>
    </w:p>
    <w:p>
      <w:pPr>
        <w:spacing w:before="0" w:after="80" w:line="240" w:lineRule="exact"/>
        <w:ind w:hanging="720" w:left="720"/>
        <w:jc w:val="both"/>
      </w:pPr>
      <w:bookmarkStart w:id="533"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3"/>
    </w:p>
    <w:p>
      <w:pPr>
        <w:spacing w:before="0" w:after="80" w:line="240" w:lineRule="exact"/>
        <w:ind w:hanging="720" w:left="720"/>
        <w:jc w:val="both"/>
      </w:pPr>
      <w:bookmarkStart w:id="534"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4"/>
    </w:p>
    <w:p>
      <w:pPr>
        <w:spacing w:before="0" w:after="80" w:line="240" w:lineRule="exact"/>
        <w:ind w:hanging="720" w:left="720"/>
        <w:jc w:val="both"/>
      </w:pPr>
      <w:bookmarkStart w:id="535"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3" w:name="WorldBank2024txt"/>
      <w:hyperlink w:anchor="WorldBank2024" w:history="1">
        <w:r>
          <w:rPr>
            <w:i/>
            <w:color w:val="1F3864"/>
            <w:u w:val="single"/>
          </w:rPr>
          <w:t xml:space="preserve">World Bank</w:t>
        </w:r>
      </w:hyperlink>
      <w:bookmarkEnd w:id="233"/>
      <w:r>
        <w:rPr>
          <w:i/>
        </w:rPr>
        <w:t xml:space="preserve"> Economic Review</w:t>
      </w:r>
      <w:r>
        <w:t>, 15(3): 451–479.</w:t>
      </w:r>
      <w:bookmarkEnd w:id="535"/>
    </w:p>
    <w:p>
      <w:pPr>
        <w:spacing w:before="0" w:after="80" w:line="240" w:lineRule="exact"/>
        <w:ind w:hanging="720" w:left="720"/>
        <w:jc w:val="both"/>
      </w:pPr>
      <w:bookmarkStart w:id="536"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6"/>
    </w:p>
    <w:p>
      <w:pPr>
        <w:spacing w:before="0" w:after="80" w:line="240" w:lineRule="exact"/>
        <w:ind w:hanging="720" w:left="720"/>
        <w:jc w:val="both"/>
      </w:pPr>
      <w:bookmarkStart w:id="537" w:name="NVIDIA2024"/>
      <w:r>
        <w:rPr>
          <w:color w:val="1F3864"/>
          <w:u w:val="single"/>
        </w:rPr>
        <w:t xml:space="preserve">NVIDIA. </w:t>
      </w:r>
      <w:r>
        <w:t xml:space="preserve">(2024). </w:t>
      </w:r>
      <w:r>
        <w:rPr>
          <w:i/>
        </w:rPr>
        <w:t>NVIDIA H100 Tensor Core GPU Datasheet</w:t>
      </w:r>
      <w:r>
        <w:t>. nvidia.com.</w:t>
      </w:r>
      <w:bookmarkEnd w:id="537"/>
    </w:p>
    <w:p>
      <w:pPr>
        <w:spacing w:before="0" w:after="80" w:line="240" w:lineRule="exact"/>
        <w:ind w:hanging="720" w:left="720"/>
        <w:jc w:val="both"/>
      </w:pPr>
      <w:bookmarkStart w:id="538"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8"/>
    </w:p>
    <w:p>
      <w:pPr>
        <w:spacing w:before="0" w:after="80" w:line="240" w:lineRule="exact"/>
        <w:ind w:hanging="720" w:left="720"/>
        <w:jc w:val="both"/>
      </w:pPr>
      <w:bookmarkStart w:id="539"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9"/>
    </w:p>
    <w:p>
      <w:pPr>
        <w:spacing w:before="0" w:after="80" w:line="240" w:lineRule="exact"/>
        <w:ind w:hanging="720" w:left="720"/>
        <w:jc w:val="both"/>
      </w:pPr>
      <w:bookmarkStart w:id="540" w:name="Sastry2024"/>
      <w:hyperlink w:anchor="Sastry2024txt" w:history="1">
        <w:r>
          <w:rPr>
            <w:color w:val="1F3864"/>
            <w:u w:val="single"/>
          </w:rPr>
          <w:t xml:space="preserve">Sastry, G., L. Heim, et al. (2024). </w:t>
        </w:r>
      </w:hyperlink>
      <w:r>
        <w:t>“Computing Power and the Governance of Artificial Intelligence.” arXiv:2402.08797.</w:t>
      </w:r>
      <w:bookmarkEnd w:id="540"/>
    </w:p>
    <w:p>
      <w:pPr>
        <w:spacing w:before="0" w:after="80" w:line="240" w:lineRule="exact"/>
        <w:ind w:hanging="720" w:left="720"/>
        <w:jc w:val="both"/>
      </w:pPr>
      <w:bookmarkStart w:id="541"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41"/>
    </w:p>
    <w:p>
      <w:pPr>
        <w:spacing w:before="0" w:after="80" w:line="240" w:lineRule="exact"/>
        <w:ind w:hanging="720" w:left="720"/>
        <w:jc w:val="both"/>
      </w:pPr>
      <w:bookmarkStart w:id="542" w:name="StraubEtAl2026"/>
      <w:hyperlink w:anchor="StraubEtAl2026txt" w:history="1">
        <w:r>
          <w:rPr>
            <w:color w:val="1F3864"/>
            <w:u w:val="single"/>
          </w:rPr>
          <w:t xml:space="preserve">Straub, S., et al. </w:t>
        </w:r>
      </w:hyperlink>
      <w:r>
        <w:t xml:space="preserve">(2026). </w:t>
      </w:r>
      <w:r>
        <w:rPr>
          <w:i/>
        </w:rPr>
        <w:t>Infrastructure Foundations: From Current Assets to Future Growth</w:t>
      </w:r>
      <w:r>
        <w:t xml:space="preserve">. Sustainable Infrastructure Series. Washington, DC: </w:t>
      </w:r>
      <w:bookmarkStart w:id="234" w:name="WorldBank2024txt"/>
      <w:hyperlink w:anchor="WorldBank2024" w:history="1">
        <w:r>
          <w:rPr>
            <w:color w:val="1F3864"/>
            <w:u w:val="single"/>
          </w:rPr>
          <w:t xml:space="preserve">World Bank</w:t>
        </w:r>
      </w:hyperlink>
      <w:bookmarkEnd w:id="234"/>
      <w:r>
        <w:t xml:space="preserve">.</w:t>
      </w:r>
      <w:bookmarkEnd w:id="542"/>
    </w:p>
    <w:p>
      <w:pPr>
        <w:spacing w:before="0" w:after="80" w:line="240" w:lineRule="exact"/>
        <w:ind w:hanging="720" w:left="720"/>
        <w:jc w:val="both"/>
      </w:pPr>
      <w:bookmarkStart w:id="543"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43"/>
    </w:p>
    <w:p>
      <w:pPr>
        <w:spacing w:before="0" w:after="80" w:line="240" w:lineRule="exact"/>
        <w:ind w:hanging="720" w:left="720"/>
        <w:jc w:val="both"/>
      </w:pPr>
      <w:bookmarkStart w:id="544"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4"/>
    </w:p>
    <w:p>
      <w:pPr>
        <w:spacing w:before="0" w:after="80" w:line="240" w:lineRule="exact"/>
        <w:ind w:hanging="720" w:left="720"/>
        <w:jc w:val="both"/>
      </w:pPr>
      <w:bookmarkStart w:id="545"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5"/>
    </w:p>
    <w:p>
      <w:pPr>
        <w:spacing w:before="0" w:after="80" w:line="240" w:lineRule="exact"/>
        <w:ind w:hanging="720" w:left="720"/>
        <w:jc w:val="both"/>
      </w:pPr>
      <w:bookmarkStart w:id="546"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6"/>
    </w:p>
    <w:p>
      <w:pPr>
        <w:spacing w:before="0" w:after="80" w:line="240" w:lineRule="exact"/>
        <w:ind w:hanging="720" w:left="720"/>
        <w:jc w:val="both"/>
      </w:pPr>
      <w:bookmarkStart w:id="547"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5" w:name="WorldBank2024txt"/>
      <w:hyperlink w:anchor="WorldBank2024" w:history="1">
        <w:r>
          <w:rPr>
            <w:color w:val="1F3864"/>
            <w:u w:val="single"/>
          </w:rPr>
          <w:t xml:space="preserve">World Bank</w:t>
        </w:r>
      </w:hyperlink>
      <w:bookmarkEnd w:id="235"/>
      <w:r>
        <w:t xml:space="preserve">.</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22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22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pₗ*(d).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(3) Bilateral</w:t>
            </w:r>
          </w:p>
        </w:tc>
      </w:tr>
      <w:tr>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r>
      <w:tr>
        <w:tc>
          <w:tcPr>
            <w:tcW w:w="1400" w:type="dxa"/>
          </w:tcPr>
          <w:p>
            <w:pPr>
              <w:jc w:val="left"/>
              <w:spacing w:before="10" w:after="10"/>
            </w:pPr>
            <w:r/>
            <w:r>
              <w:rPr>
                <w:rFonts w:ascii="Times New Roman" w:hAnsi="Times New Roman"/>
                <w:sz w:val="16"/>
              </w:rPr>
              <w:t>Iran</w:t>
            </w:r>
          </w:p>
        </w:tc>
        <w:tc>
          <w:tcPr>
            <w:tcW w:w="550" w:type="dxa"/>
          </w:tcPr>
          <w:p>
            <w:pPr>
              <w:jc w:val="center"/>
              <w:spacing w:before="10" w:after="10"/>
            </w:pPr>
            <w:r/>
            <w:r>
              <w:rPr>
                <w:rFonts w:ascii="Times New Roman" w:hAnsi="Times New Roman"/>
                <w:sz w:val="16"/>
              </w:rPr>
              <w:t>$1.56</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r>
      <w:tr>
        <w:tc>
          <w:tcPr>
            <w:tcW w:w="1400" w:type="dxa"/>
          </w:tcPr>
          <w:p>
            <w:pPr>
              <w:jc w:val="left"/>
              <w:spacing w:before="10" w:after="10"/>
            </w:pPr>
            <w:r/>
            <w:r>
              <w:rPr>
                <w:rFonts w:ascii="Times New Roman" w:hAnsi="Times New Roman"/>
                <w:sz w:val="16"/>
              </w:rPr>
              <w:t>Turkmenistan</w:t>
            </w:r>
          </w:p>
        </w:tc>
        <w:tc>
          <w:tcPr>
            <w:tcW w:w="55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USA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Australia</w:t>
            </w:r>
          </w:p>
        </w:tc>
        <w:tc>
          <w:tcPr>
            <w:tcW w:w="55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EE†</w:t>
            </w:r>
          </w:p>
        </w:tc>
      </w:tr>
      <w:tr>
        <w:tc>
          <w:tcPr>
            <w:tcW w:w="1400" w:type="dxa"/>
          </w:tcPr>
          <w:p>
            <w:pPr>
              <w:jc w:val="left"/>
              <w:spacing w:before="10" w:after="10"/>
            </w:pPr>
            <w:r/>
            <w:r>
              <w:rPr>
                <w:rFonts w:ascii="Times New Roman" w:hAnsi="Times New Roman"/>
                <w:sz w:val="16"/>
              </w:rPr>
              <w:t>Egypt</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IE</w:t>
            </w:r>
          </w:p>
        </w:tc>
      </w:tr>
      <w:tr>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China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Sweden</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IE</w:t>
            </w:r>
          </w:p>
        </w:tc>
      </w:tr>
      <w:tr>
        <w:tc>
          <w:tcPr>
            <w:tcW w:w="1400" w:type="dxa"/>
          </w:tcPr>
          <w:p>
            <w:pPr>
              <w:jc w:val="left"/>
              <w:spacing w:before="10" w:after="10"/>
            </w:pPr>
            <w:r/>
            <w:r>
              <w:rPr>
                <w:rFonts w:ascii="Times New Roman" w:hAnsi="Times New Roman"/>
                <w:sz w:val="16"/>
              </w:rPr>
              <w:t>Russia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South Africa</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South Korea</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Nigeria</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Russia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Mexico</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China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Qatar</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Iceland</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Brazil</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Turkmenistan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Egypt</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UK</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Sweden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New Zealand</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Kazakhstan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India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France</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Uzbekistan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Indonesia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Kazakhstan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Philippines</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Iran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Borders>
              <w:bottom w:val="double" w:sz="4" w:space="0" w:color="auto"/>
            </w:tcBorders>
            <w:tcW w:w="1400" w:type="dxa"/>
          </w:tcPr>
          <w:p>
            <w:pPr>
              <w:jc w:val="left"/>
              <w:spacing w:before="10" w:after="10"/>
            </w:pPr>
            <w:r/>
            <w:r>
              <w:rPr>
                <w:rFonts w:ascii="Times New Roman" w:hAnsi="Times New Roman"/>
                <w:sz w:val="16"/>
              </w:rPr>
              <w:t>Saudi Arabia</w:t>
            </w:r>
          </w:p>
        </w:tc>
        <w:tc>
          <w:tcPr>
            <w:tcBorders>
              <w:bottom w:val="double" w:sz="4" w:space="0" w:color="auto"/>
            </w:tcBorders>
            <w:tcW w:w="550" w:type="dxa"/>
          </w:tcPr>
          <w:p>
            <w:pPr>
              <w:jc w:val="center"/>
              <w:spacing w:before="10" w:after="10"/>
            </w:pPr>
            <w:r/>
            <w:r>
              <w:rPr>
                <w:rFonts w:ascii="Times New Roman" w:hAnsi="Times New Roman"/>
                <w:sz w:val="16"/>
              </w:rPr>
              <w:t>$1.62</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1400" w:type="dxa"/>
          </w:tcPr>
          <w:p>
            <w:pPr>
              <w:jc w:val="left"/>
              <w:spacing w:before="10" w:after="10"/>
            </w:pPr>
            <w:r/>
            <w:r>
              <w:rPr>
                <w:rFonts w:ascii="Times New Roman" w:hAnsi="Times New Roman"/>
                <w:sz w:val="16"/>
              </w:rPr>
              <w:t>Georgia</w:t>
            </w:r>
          </w:p>
        </w:tc>
        <w:tc>
          <w:tcPr>
            <w:tcBorders>
              <w:bottom w:val="double" w:sz="4" w:space="0" w:color="auto"/>
            </w:tcBorders>
            <w:tcW w:w="550" w:type="dxa"/>
          </w:tcPr>
          <w:p>
            <w:pPr>
              <w:jc w:val="center"/>
              <w:spacing w:before="10" w:after="10"/>
            </w:pPr>
            <w:r/>
            <w:r>
              <w:rPr>
                <w:rFonts w:ascii="Times New Roman" w:hAnsi="Times New Roman"/>
                <w:sz w:val="16"/>
              </w:rPr>
              <w:t>$1.63</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1400" w:type="dxa"/>
          </w:tcPr>
          <w:p>
            <w:pPr>
              <w:jc w:val="left"/>
              <w:spacing w:before="10" w:after="10"/>
            </w:pPr>
            <w:r/>
            <w:r>
              <w:rPr>
                <w:rFonts w:ascii="Times New Roman" w:hAnsi="Times New Roman"/>
                <w:sz w:val="16"/>
              </w:rPr>
              <w:t>Poland</w:t>
            </w:r>
          </w:p>
        </w:tc>
        <w:tc>
          <w:tcPr>
            <w:tcBorders>
              <w:bottom w:val="double" w:sz="4" w:space="0" w:color="auto"/>
            </w:tcBorders>
            <w:tcW w:w="550" w:type="dxa"/>
          </w:tcPr>
          <w:p>
            <w:pPr>
              <w:jc w:val="center"/>
              <w:spacing w:before="10" w:after="10"/>
            </w:pPr>
            <w:r/>
            <w:r>
              <w:rPr>
                <w:rFonts w:ascii="Times New Roman" w:hAnsi="Times New Roman"/>
                <w:sz w:val="16"/>
              </w:rPr>
              <w:t>$1.69</w:t>
            </w:r>
          </w:p>
        </w:tc>
        <w:tc>
          <w:tcPr>
            <w:tcBorders>
              <w:bottom w:val="double" w:sz="4" w:space="0" w:color="auto"/>
            </w:tcBorders>
            <w:tcW w:w="45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
              <w:rPr>
                <w:sz w:val="16"/>
              </w:rPr>
              <w:t>$0.128</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b/>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10</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10</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10</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Canada, Ethiopia, Kosovo,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b/>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36" w:name="ADB2020txt"/>
      <w:hyperlink w:anchor="ADB2020" w:history="1">
        <w:r>
          <w:rPr>
            <w:color w:val="1F3864"/>
            <w:u w:val="single"/>
          </w:rPr>
          <w:t xml:space="preserve">ADB 2020</w:t>
        </w:r>
      </w:hyperlink>
      <w:bookmarkEnd w:id="236"/>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b/>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b/>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