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25, 2026  00:09</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9" w:name="EpochAI2024txt"/>
      <w:hyperlink w:anchor="EpochAI2024" w:history="1">
        <w:r>
          <w:rPr>
            <w:color w:val="1F3864"/>
            <w:u w:val="single"/>
          </w:rPr>
          <w:t xml:space="preserve">Epoch AI 2024</w:t>
        </w:r>
      </w:hyperlink>
      <w:bookmarkEnd w:id="239"/>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would allow energy-rich developing countries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7" w:name="Blinder2006txt"/>
      <w:hyperlink w:anchor="Blinder2006" w:history="1">
        <w:r>
          <w:rPr>
            <w:color w:val="1F3864"/>
            <w:u w:val="single"/>
          </w:rPr>
          <w:t xml:space="preserve">Blinder 2006</w:t>
        </w:r>
      </w:hyperlink>
      <w:bookmarkEnd w:id="207"/>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et al. (2013)</w:t>
        </w:r>
      </w:hyperlink>
      <w:bookmarkEnd w:id="208"/>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9" w:name="Lehdonvirta2024txt"/>
      <w:hyperlink w:anchor="Lehdonvirta2024" w:history="1">
        <w:r>
          <w:rPr>
            <w:color w:val="1F3864"/>
            <w:u w:val="single"/>
          </w:rPr>
          <w:t xml:space="preserve">Lehdonvirta et al. (2024)</w:t>
        </w:r>
      </w:hyperlink>
      <w:bookmarkEnd w:id="209"/>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Existing digital trade models treat cloud services as homogeneous and demand-driven (</w:t>
      </w:r>
      <w:bookmarkStart w:id="255" w:name="Stojkoski2024txt"/>
      <w:hyperlink w:anchor="Stojkoski2024" w:history="1">
        <w:r>
          <w:rPr>
            <w:color w:val="1F3864"/>
            <w:u w:val="single"/>
          </w:rPr>
          <w:t xml:space="preserve">Stojkoski et al. 2024</w:t>
        </w:r>
      </w:hyperlink>
      <w:bookmarkEnd w:id="255"/>
      <w:r>
        <w:t xml:space="preserve">); this paper models the supply side, where location-specific energy costs and institutional quality determine which countries can produce compute competitively.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10" w:name="Ohlin1933txt"/>
      <w:hyperlink w:anchor="Ohlin1933" w:history="1">
        <w:r>
          <w:rPr>
            <w:color w:val="1F3864"/>
            <w:u w:val="single"/>
          </w:rPr>
          <w:t xml:space="preserve">Ohlin 1933</w:t>
        </w:r>
      </w:hyperlink>
      <w:bookmarkEnd w:id="210"/>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1" w:name="BaileyEtAl2017txt"/>
      <w:hyperlink w:anchor="BaileyEtAl2017" w:history="1">
        <w:r>
          <w:rPr>
            <w:color w:val="1F3864"/>
            <w:u w:val="single"/>
          </w:rPr>
          <w:t xml:space="preserve">Bailey, Strezhnev, and Voeten 2017</w:t>
        </w:r>
      </w:hyperlink>
      <w:bookmarkEnd w:id="211"/>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2" w:name="WorldBank2024txt"/>
      <w:hyperlink w:anchor="WorldBank2024" w:history="1">
        <w:r>
          <w:rPr>
            <w:color w:val="1F3864"/>
            <w:u w:val="single"/>
          </w:rPr>
          <w:t xml:space="preserve">World Bank 2024</w:t>
        </w:r>
      </w:hyperlink>
      <w:bookmarkEnd w:id="212"/>
      <w:r>
        <w:t xml:space="preserve">), </w:t>
      </w:r>
      <m:oMath>
        <m:r>
          <m:rPr>
            <m:sty m:val="i"/>
          </m:rPr>
          <w:rPr>
            <w:rFonts w:ascii="Cambria Math" w:hAnsi="Cambria Math"/>
          </w:rPr>
          <m:t xml:space="preserve">R</m:t>
        </m:r>
      </m:oMath>
      <w:r>
        <w:t xml:space="preserve"> is grid reliability (</w:t>
      </w:r>
      <w:bookmarkStart w:id="213" w:name="WBES2025txt"/>
      <w:hyperlink w:anchor="WBES2025" w:history="1">
        <w:r>
          <w:rPr>
            <w:color w:val="1F3864"/>
            <w:u w:val="single"/>
          </w:rPr>
          <w:t xml:space="preserve">World Bank Enterprise Survey 2025</w:t>
        </w:r>
      </w:hyperlink>
      <w:bookmarkEnd w:id="213"/>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supplier.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producers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turn cheap power into a high-value digital export without building a domestic AI research ecosystem. FLOP exporting resembles resource-based industrialization, but electricity, unlike oil or minerals, is renewable where generated from hydro, solar, or geothermal sources, and compute demand is growing faster than any other sector of the world economy. The resource curse literature (</w:t>
      </w:r>
      <w:bookmarkStart w:id="233" w:name="vanderPloeg2011txt"/>
      <w:hyperlink w:anchor="vanderPloeg2011" w:history="1">
        <w:r>
          <w:rPr>
            <w:color w:val="1F3864"/>
            <w:u w:val="single"/>
          </w:rPr>
          <w:t xml:space="preserve">van der Ploeg 2011</w:t>
        </w:r>
      </w:hyperlink>
      <w:bookmarkEnd w:id="233"/>
      <w:r>
        <w:t xml:space="preserve">) warns, however, that concentrated export revenues can lead to Dutch disease, institutional degradation, and exposure to demand cycles. Whether FLOP exporting countries share these risks depends on the revenue-sharing model they adopt: a sovereign wealth fund approach (Norway) versus elite capture (Dutch disease). Large-scale compute export revenues could also appreciate the real exchange rate, crowding out other tradable sectors, a channel particularly relevant for small, open economies where data center electricity consumption rivals existing industrial load.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DOJFTC2010"/>
      <w:r>
        <w:rPr>
          <w:color w:val="1F3864"/>
          <w:u w:val="single"/>
        </w:rPr>
        <w:t xml:space="preserve">U.S. Department of Justice and Federal Trade Commission. </w:t>
      </w:r>
      <w:r>
        <w:t xml:space="preserve">(2010). </w:t>
      </w:r>
      <w:r>
        <w:rPr>
          <w:i/>
        </w:rPr>
        <w:t>Horizontal Merger Guidelines</w:t>
      </w:r>
      <w:r>
        <w:t>. Washington, DC.</w:t>
      </w:r>
      <w:bookmarkEnd w:id="540"/>
    </w:p>
    <w:p>
      <w:pPr>
        <w:spacing w:before="0" w:after="80" w:line="240" w:lineRule="exact"/>
        <w:ind w:hanging="720" w:left="720"/>
        <w:jc w:val="both"/>
      </w:pPr>
      <w:bookmarkStart w:id="541" w:name="UNCTAD2025"/>
      <w:r>
        <w:rPr>
          <w:color w:val="1F3864"/>
          <w:u w:val="single"/>
        </w:rPr>
        <w:t xml:space="preserve">UNCTAD. </w:t>
      </w:r>
      <w:r>
        <w:t xml:space="preserve">(2025). </w:t>
      </w:r>
      <w:r>
        <w:rPr>
          <w:i/>
        </w:rPr>
        <w:t>Technology and Innovation Report 2025</w:t>
      </w:r>
      <w:r>
        <w:t>. Geneva: United Nations.</w:t>
      </w:r>
      <w:bookmarkEnd w:id="541"/>
    </w:p>
    <w:p>
      <w:pPr>
        <w:spacing w:before="0" w:after="80" w:line="240" w:lineRule="exact"/>
        <w:ind w:hanging="720" w:left="720"/>
        <w:jc w:val="both"/>
      </w:pPr>
      <w:bookmarkStart w:id="542"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2"/>
    </w:p>
    <w:p>
      <w:pPr>
        <w:spacing w:before="0" w:after="80" w:line="240" w:lineRule="exact"/>
        <w:ind w:hanging="720" w:left="720"/>
        <w:jc w:val="both"/>
      </w:pPr>
      <w:bookmarkStart w:id="543"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7"/>
    </w:p>
    <w:p>
      <w:pPr>
        <w:spacing w:before="0" w:after="80" w:line="240" w:lineRule="exact"/>
        <w:ind w:hanging="720" w:left="720"/>
        <w:jc w:val="both"/>
      </w:pPr>
      <w:bookmarkStart w:id="548"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8" w:name="WorldBank2024txt"/>
      <w:hyperlink w:anchor="WorldBank2024" w:history="1">
        <w:r>
          <w:rPr>
            <w:color w:val="1F3864"/>
            <w:u w:val="single"/>
          </w:rPr>
          <w:t xml:space="preserve">World Bank</w:t>
        </w:r>
      </w:hyperlink>
      <w:bookmarkEnd w:id="238"/>
      <w:r>
        <w:t xml:space="preserve">. enterprisesurveys.org.</w:t>
      </w:r>
      <w:bookmarkEnd w:id="548"/>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