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t>A Trade Model of AI Compute Services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v28  —  February 27, 2026  17:23</w:t>
      </w:r>
    </w:p>
    <w:p>
      <w:pPr>
        <w:spacing w:before="240" w:after="160" w:line="240" w:lineRule="auto"/>
        <w:ind w:firstLine="0" w:left="720" w:right="720"/>
        <w:jc w:val="both"/>
      </w:pPr>
      <w:r>
        <w:rPr>
          <w:b/>
        </w:rPr>
        <w:t>Abstract</w:t>
      </w:r>
      <w:r>
        <w:t>: Energy-rich developing countries could convert cheap electricity into high-value AI compute exports. This paper develops the trade model of compute services, distinguishing latency-insensitive training (offshored to lowest-cost producers) from latency-sensitive inference (favoring proximity to users) and incorporating a bilateral sovereignty premium. Calibration across 85 countries shows that several developing countries rank among the cheapest producers under cost-recovery pricing, but bilateral trust deficits eliminate all developing-country exports. When a hyperscaler intermediates the transaction, the buyer’s trust attaches to the operator rather than the host country: four developing economies re-enter as potential exporters. Because hardware dominates unit cost, the cross-country cost spread is only 12–20 percent, making compute both the easiest sector for developing countries to enter on cost grounds and the most vulnerable to small policy-induced frictions. The binding constraint is not electricity cost but the institutional credibility needed to attract hyperscaler investment.</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4" w:name="EpochAI2024txt"/>
      <w:hyperlink w:anchor="EpochAI2024" w:history="1">
        <w:r>
          <w:rPr>
            <w:color w:val="1F3864"/>
            <w:u w:val="single"/>
          </w:rPr>
          <w:t xml:space="preserve">Epoch AI 2024</w:t>
        </w:r>
      </w:hyperlink>
      <w:bookmarkEnd w:id="234"/>
      <w:r>
        <w:t xml:space="preserve">). Data centers accounted for approximately 1.5% of global electricity demand in 2024, and that share is projected to more than double by 2030 (</w:t>
      </w:r>
      <w:bookmarkStart w:id="246" w:name="IEA2025txt"/>
      <w:hyperlink w:anchor="IEA2025" w:history="1">
        <w:r>
          <w:rPr>
            <w:color w:val="1F3864"/>
            <w:u w:val="single"/>
          </w:rPr>
          <w:t xml:space="preserve">IEA 2025</w:t>
        </w:r>
      </w:hyperlink>
      <w:bookmarkEnd w:id="246"/>
      <w:r>
        <w:t xml:space="preserve">), driven largely by AI-oriented facilities whose power densities are 5–10 times those of conventional data centers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pPr>
        <w:spacing w:before="0" w:after="160"/>
        <w:ind w:firstLine="0"/>
        <w:jc w:val="both"/>
      </w:pPr>
      <w:r>
        <w:t xml:space="preserve">Several megaprojects confirm that FLOP exporting is technically and commercially feasible. Armenia is deploying 50,000 GPUs in a $4 billion investment (</w:t>
      </w:r>
      <w:bookmarkStart w:id="235" w:name="Firebird2026txt"/>
      <w:hyperlink w:anchor="Firebird2026" w:history="1">
        <w:r>
          <w:rPr>
            <w:color w:val="1F3864"/>
            <w:u w:val="single"/>
          </w:rPr>
          <w:t xml:space="preserve">Firebird 2026</w:t>
        </w:r>
      </w:hyperlink>
      <w:bookmarkEnd w:id="235"/>
      <w:r>
        <w:t xml:space="preserve">), Kenya, Saudi Arabia, and Malaysia have each attracted billion-dollar data center commitments, and cloud computing exports already exceed $9 billion annually (</w:t>
      </w:r>
      <w:bookmarkStart w:id="201" w:name="WorldBank2025txt"/>
      <w:hyperlink w:anchor="WorldBank2025" w:history="1">
        <w:r>
          <w:rPr>
            <w:color w:val="1F3864"/>
            <w:u w:val="single"/>
          </w:rPr>
          <w:t xml:space="preserve">World Bank 2025</w:t>
        </w:r>
      </w:hyperlink>
      <w:bookmarkEnd w:id="201"/>
      <w:r>
        <w:t xml:space="preserve">). A 40 MW data center in Kyrgyzstan could generate annual revenue of $630–950 million at wholesale contract rates, equivalent to over 15% of Kyrgyzstan’s $3.8 billion in goods exports (</w:t>
      </w:r>
      <w:bookmarkStart w:id="236" w:name="WorldBank2024txt"/>
      <w:hyperlink w:anchor="WorldBank2024" w:history="1">
        <w:r>
          <w:rPr>
            <w:color w:val="1F3864"/>
            <w:u w:val="single"/>
          </w:rPr>
          <w:t xml:space="preserve">World Bank 2024</w:t>
        </w:r>
      </w:hyperlink>
      <w:bookmarkEnd w:id="236"/>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37" w:name="Sastry2024txt"/>
      <w:hyperlink w:anchor="Sastry2024" w:history="1">
        <w:r>
          <w:rPr>
            <w:color w:val="1F3864"/>
            <w:u w:val="single"/>
          </w:rPr>
          <w:t xml:space="preserve">Sastry et al. 2024</w:t>
        </w:r>
      </w:hyperlink>
      <w:bookmarkEnd w:id="237"/>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38" w:name="Pilz2025txt"/>
      <w:hyperlink w:anchor="Pilz2025" w:history="1">
        <w:r>
          <w:rPr>
            <w:color w:val="1F3864"/>
            <w:u w:val="single"/>
          </w:rPr>
          <w:t xml:space="preserve">Pilz et al. 2025</w:t>
        </w:r>
      </w:hyperlink>
      <w:bookmarkEnd w:id="238"/>
      <w:r>
        <w:t xml:space="preserve">), but no formal trade model of compute exists. We offer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the paper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quantify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roughly 12–20 percent. Several developing countries rank among the cheapest producers under cost-recovery pricing, but under the bilateral sovereignty specification, trust deficits eliminate all developing-country exports. When a hyperscaler operates the facility, the buyer’s trust attaches to the operator rather than the host country, and several developing economies re-enter as potential exporters. For energy-rich developing countries, the binding constraint is not electricity cost but the institutional environment needed to attract FDI.</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countries with data, human capital, and institutional capacity. Our model shows that comparative advantage in compute </w:t>
      </w:r>
      <w:r>
        <w:rPr>
          <w:i/>
        </w:rPr>
        <w:t>production</w:t>
      </w:r>
      <w:r>
        <w:t xml:space="preserve"> depends on electricity costs, climate, and institutional quality, so resource-rich countries could become compute exporters without domestic AI research industries. </w:t>
      </w:r>
      <w:bookmarkStart w:id="204" w:name="Korinek2021txt"/>
      <w:hyperlink w:anchor="Korinek2021" w:history="1">
        <w:r>
          <w:rPr>
            <w:color w:val="1F3864"/>
            <w:u w:val="single"/>
          </w:rPr>
          <w:t xml:space="preserve">Korinek and Stiglitz (2021)</w:t>
        </w:r>
      </w:hyperlink>
      <w:bookmarkEnd w:id="204"/>
      <w:r>
        <w:t xml:space="preserve"> suggest that developing countries could be left behind in the AI revolution. FLOP exporting would allow energy-rich developing countries to participate in that revolution. The concept of FLOP exporting as value chain upgrading connects to </w:t>
      </w:r>
      <w:bookmarkStart w:id="247" w:name="Hausmann2007txt"/>
      <w:hyperlink w:anchor="Hausmann2007" w:history="1">
        <w:r>
          <w:rPr>
            <w:color w:val="1F3864"/>
            <w:u w:val="single"/>
          </w:rPr>
          <w:t xml:space="preserve">Hausmann et al. (2007)</w:t>
        </w:r>
      </w:hyperlink>
      <w:bookmarkEnd w:id="247"/>
      <w:r>
        <w:t xml:space="preserve">, who show that what a country exports matters for growth. </w:t>
      </w:r>
      <w:bookmarkStart w:id="239" w:name="Limao2001txt"/>
      <w:hyperlink w:anchor="Limao2001" w:history="1">
        <w:r>
          <w:rPr>
            <w:color w:val="1F3864"/>
            <w:u w:val="single"/>
          </w:rPr>
          <w:t xml:space="preserve">Limão and Venables (2001)</w:t>
        </w:r>
      </w:hyperlink>
      <w:bookmarkEnd w:id="239"/>
      <w:r>
        <w:t xml:space="preserve"> demonstrate that infrastructure quality determines trade costs. In our model, network infrastructure plays the analogous role for digital trade.</w:t>
      </w:r>
    </w:p>
    <w:p>
      <w:pPr>
        <w:spacing w:before="0" w:after="160"/>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FLOP exporting is capital- and energy-intensive: the binding input is cheap electricity, not cheap labor, so the set of potential exporters is fundamentally different.</w:t>
      </w:r>
    </w:p>
    <w:p>
      <w:pPr>
        <w:spacing w:before="0" w:after="160"/>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48" w:name="Liu2023txt"/>
      <w:hyperlink w:anchor="Liu2023" w:history="1">
        <w:r>
          <w:rPr>
            <w:color w:val="1F3864"/>
            <w:u w:val="single"/>
          </w:rPr>
          <w:t xml:space="preserve">Liu et al. (2023)</w:t>
        </w:r>
      </w:hyperlink>
      <w:bookmarkEnd w:id="248"/>
      <w:r>
        <w:t xml:space="preserve"> study data center placement under renewable energy constraints. In international trade theory, </w:t>
      </w:r>
      <w:bookmarkStart w:id="251" w:name="Brainard1997txt"/>
      <w:hyperlink w:anchor="Brainard1997" w:history="1">
        <w:r>
          <w:rPr>
            <w:color w:val="1F3864"/>
            <w:u w:val="single"/>
          </w:rPr>
          <w:t xml:space="preserve">Brainard (1997)</w:t>
        </w:r>
      </w:hyperlink>
      <w:bookmarkEnd w:id="251"/>
      <w:r>
        <w:t xml:space="preserve"> formalizes the proximity-concentration trade-off between serving a market locally and concentrating production abroad, and </w:t>
      </w:r>
      <w:bookmarkStart w:id="240" w:name="HMY2004txt"/>
      <w:hyperlink w:anchor="HMY2004" w:history="1">
        <w:r>
          <w:rPr>
            <w:color w:val="1F3864"/>
            <w:u w:val="single"/>
          </w:rPr>
          <w:t xml:space="preserve">Helpman et al. (2004)</w:t>
        </w:r>
      </w:hyperlink>
      <w:bookmarkEnd w:id="240"/>
      <w:r>
        <w:t xml:space="preserve"> extend this to heterogeneous firms choosing between exporting and FDI.</w:t>
      </w:r>
    </w:p>
    <w:p>
      <w:pPr>
        <w:spacing w:before="0" w:after="160"/>
        <w:ind w:firstLine="0"/>
        <w:jc w:val="both"/>
      </w:pPr>
      <w:r>
        <w:t xml:space="preserve">On the governance side, </w:t>
      </w:r>
      <w:bookmarkStart w:id="241" w:name="Sastry2024txt"/>
      <w:hyperlink w:anchor="Sastry2024" w:history="1">
        <w:r>
          <w:rPr>
            <w:color w:val="1F3864"/>
            <w:u w:val="single"/>
          </w:rPr>
          <w:t xml:space="preserve">Sastry et al. (2024)</w:t>
        </w:r>
      </w:hyperlink>
      <w:bookmarkEnd w:id="241"/>
      <w:r>
        <w:t xml:space="preserve"> argue that compute is well-suited for regulation because governments can track the number of chips in circulation, restrict who can buy them, and measure how much computation they perform. </w:t>
      </w:r>
      <w:bookmarkStart w:id="207" w:name="Lehdonvirta2024txt"/>
      <w:hyperlink w:anchor="Lehdonvirta2024" w:history="1">
        <w:r>
          <w:rPr>
            <w:color w:val="1F3864"/>
            <w:u w:val="single"/>
          </w:rPr>
          <w:t xml:space="preserve">Lehdonvirta et al. (2024)</w:t>
        </w:r>
      </w:hyperlink>
      <w:bookmarkEnd w:id="207"/>
      <w:r>
        <w:t xml:space="preserve"> map the global geography of cloud GPU infrastructure, distinguishing a “Compute North” with training-capable hardware from a “Compute South” limited to inference-grade chips. </w:t>
      </w:r>
      <w:bookmarkStart w:id="252" w:name="Pilz2025txt"/>
      <w:hyperlink w:anchor="Pilz2025" w:history="1">
        <w:r>
          <w:rPr>
            <w:color w:val="1F3864"/>
            <w:u w:val="single"/>
          </w:rPr>
          <w:t xml:space="preserve">Pilz et al. (2025)</w:t>
        </w:r>
      </w:hyperlink>
      <w:bookmarkEnd w:id="252"/>
      <w:r>
        <w:t xml:space="preserve"> project that AI data center power demand could reach 327 GW by 2030 and that domestic power shortages may push compute infrastructure abroad. The </w:t>
      </w:r>
      <w:bookmarkStart w:id="253" w:name="WorldBank2025txt"/>
      <w:hyperlink w:anchor="WorldBank2025" w:history="1">
        <w:r>
          <w:rPr>
            <w:color w:val="1F3864"/>
            <w:u w:val="single"/>
          </w:rPr>
          <w:t xml:space="preserve">World Bank (2025)</w:t>
        </w:r>
      </w:hyperlink>
      <w:bookmarkEnd w:id="253"/>
      <w:r>
        <w:t xml:space="preserve"> documents the resulting global compute divide: high-income countries hold 77% of colocation data center capacity and account for 87% of cloud computing exports (</w:t>
      </w:r>
      <w:bookmarkStart w:id="249" w:name="Stojkoski2024txt"/>
      <w:hyperlink w:anchor="Stojkoski2024" w:history="1">
        <w:r>
          <w:rPr>
            <w:color w:val="1F3864"/>
            <w:u w:val="single"/>
          </w:rPr>
          <w:t xml:space="preserve">Stojkoski et al. 2024</w:t>
        </w:r>
      </w:hyperlink>
      <w:bookmarkEnd w:id="249"/>
      <w:r>
        <w:t xml:space="preserve">), but the report offers descriptive evidence without a formal framework linking production costs to trade patterns. On the industrial organization side, </w:t>
      </w:r>
      <w:bookmarkStart w:id="242" w:name="Biglaiser2024txt"/>
      <w:hyperlink w:anchor="Biglaiser2024" w:history="1">
        <w:r>
          <w:rPr>
            <w:color w:val="1F3864"/>
            <w:u w:val="single"/>
          </w:rPr>
          <w:t xml:space="preserve">Biglaiser et al. (2024)</w:t>
        </w:r>
      </w:hyperlink>
      <w:bookmarkEnd w:id="242"/>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 </w:t>
      </w:r>
      <w:bookmarkStart w:id="250" w:name="Stojkoski2024txt"/>
      <w:hyperlink w:anchor="Stojkoski2024" w:history="1">
        <w:r>
          <w:rPr>
            <w:color w:val="1F3864"/>
            <w:u w:val="single"/>
          </w:rPr>
          <w:t xml:space="preserve">Stojkoski et al. (2024)</w:t>
        </w:r>
      </w:hyperlink>
      <w:bookmarkEnd w:id="250"/>
      <w:r>
        <w:t xml:space="preserve"> document the geography of cloud exports but treat cloud services as homogeneous; the present model adds supply-side cost structure and a training–inference distinction that generates location-specific comparative advantage. </w:t>
      </w:r>
    </w:p>
    <w:p>
      <w:pPr>
        <w:pStyle w:val="Heading1"/>
      </w:pPr>
      <w:r>
        <w:rPr>
          <w:rFonts w:ascii="Times New Roman" w:hAnsi="Times New Roman"/>
          <w:b/>
          <w:color w:val="2F5496"/>
          <w:sz w:val="28"/>
        </w:rPr>
        <w:t>3. Model of Compute Production and Trade</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Graphic Processing Units (GPU)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8" w:name="Ohlin1933txt"/>
      <w:hyperlink w:anchor="Ohlin1933" w:history="1">
        <w:r>
          <w:rPr>
            <w:color w:val="1F3864"/>
            <w:u w:val="single"/>
          </w:rPr>
          <w:t xml:space="preserve">Ohlin 1933</w:t>
        </w:r>
      </w:hyperlink>
      <w:bookmarkEnd w:id="208"/>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from </w:t>
      </w:r>
      <w:bookmarkStart w:id="900" w:name="Eq1txt900"/>
      <w:hyperlink w:anchor="Eq1" w:history="1">
        <w:r>
          <w:rPr>
            <w:color w:val="1F3864"/>
            <w:u w:val="single"/>
          </w:rPr>
          <w:t xml:space="preserve">equation (1)</w:t>
        </w:r>
      </w:hyperlink>
      <w:bookmarkEnd w:id="900"/>
      <w:r>
        <w:t xml:space="preserve">. Governance quality, grid reliability, and other institutional factors that affect the willingness of buyers to source compute from a particular country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rather than by a production cost adjustment.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ind w:firstLine="0"/>
        <w:jc w:val="both"/>
      </w:pPr>
      <w:r>
        <w:t xml:space="preserve">The cost-based equilibrium identifies the set of countries that could profitably produce and export compute. Which countries from this set actually attract investment depends additionally on agglomeration economies, hyperscaler market structure, and network connectivity (</w:t>
      </w:r>
      <w:bookmarkStart w:id="210" w:name="Krugman1991txt"/>
      <w:hyperlink w:anchor="Krugman1991" w:history="1">
        <w:r>
          <w:rPr>
            <w:color w:val="1F3864"/>
            <w:u w:val="single"/>
          </w:rPr>
          <w:t xml:space="preserve">Krugman 1991</w:t>
        </w:r>
      </w:hyperlink>
      <w:bookmarkEnd w:id="210"/>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are shown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1" w:name="Eurostat2025txt"/>
      <w:hyperlink w:anchor="Eurostat2025" w:history="1">
        <w:r>
          <w:rPr>
            <w:color w:val="1F3864"/>
            <w:u w:val="single"/>
          </w:rPr>
          <w:t xml:space="preserve">Eurostat 2025</w:t>
        </w:r>
      </w:hyperlink>
      <w:bookmarkEnd w:id="211"/>
      <w:r>
        <w:t xml:space="preserve">). For non-European countries, the prices are obtained from national regulator tariff sheets and secondary sources, including the U.S. Energy Information Administration (</w:t>
      </w:r>
      <w:bookmarkStart w:id="243" w:name="EIA2025txt"/>
      <w:hyperlink w:anchor="EIA2025" w:history="1">
        <w:r>
          <w:rPr>
            <w:color w:val="1F3864"/>
            <w:u w:val="single"/>
          </w:rPr>
          <w:t xml:space="preserve">EIA 2025</w:t>
        </w:r>
      </w:hyperlink>
      <w:bookmarkEnd w:id="243"/>
      <w:r>
        <w:t xml:space="preserve">) for the United States, KEPCO for South Korea,</w:t>
      </w:r>
      <w:r>
        <w:rPr>
          <w:rStyle w:val="FootnoteReference"/>
        </w:rPr>
        <w:footnoteReference w:id="24"/>
      </w:r>
      <w:r>
        <w:t xml:space="preserve"> national utility tariffs for Central Asian countries, and </w:t>
      </w:r>
      <w:bookmarkStart w:id="212" w:name="GlobalPetrolPrices2025txt"/>
      <w:hyperlink w:anchor="GlobalPetrolPrices2025" w:history="1">
        <w:r>
          <w:rPr>
            <w:color w:val="1F3864"/>
            <w:u w:val="single"/>
          </w:rPr>
          <w:t xml:space="preserve">GlobalPetrolPrices (2025)</w:t>
        </w:r>
      </w:hyperlink>
      <w:bookmarkEnd w:id="212"/>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3" w:name="Hersbach2020txt"/>
      <w:hyperlink w:anchor="Hersbach2020" w:history="1">
        <w:r>
          <w:rPr>
            <w:color w:val="1F3864"/>
            <w:u w:val="single"/>
          </w:rPr>
          <w:t xml:space="preserve">Hersbach et al. 2020</w:t>
        </w:r>
      </w:hyperlink>
      <w:bookmarkEnd w:id="213"/>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4" w:name="TurnerTownsend2025txt"/>
      <w:hyperlink w:anchor="TurnerTownsend2025" w:history="1">
        <w:r>
          <w:rPr>
            <w:color w:val="1F3864"/>
            <w:u w:val="single"/>
          </w:rPr>
          <w:t xml:space="preserve">Turner &amp; Townsend 2025</w:t>
        </w:r>
      </w:hyperlink>
      <w:bookmarkEnd w:id="214"/>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5" w:name="WonderNetwork2024txt"/>
      <w:hyperlink w:anchor="WonderNetwork2024" w:history="1">
        <w:r>
          <w:rPr>
            <w:color w:val="1F3864"/>
            <w:u w:val="single"/>
          </w:rPr>
          <w:t xml:space="preserve">WonderNetwork 2024</w:t>
        </w:r>
      </w:hyperlink>
      <w:bookmarkEnd w:id="215"/>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6" w:name="Cloudscene2025txt"/>
      <w:hyperlink w:anchor="Cloudscene2025" w:history="1">
        <w:r>
          <w:rPr>
            <w:color w:val="1F3864"/>
            <w:u w:val="single"/>
          </w:rPr>
          <w:t xml:space="preserve">Cloudscene 2025</w:t>
        </w:r>
      </w:hyperlink>
      <w:bookmarkEnd w:id="216"/>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7" w:name="UptimeInstitute2024txt"/>
      <w:hyperlink w:anchor="UptimeInstitute2024" w:history="1">
        <w:r>
          <w:rPr>
            <w:color w:val="1F3864"/>
            <w:u w:val="single"/>
          </w:rPr>
          <w:t xml:space="preserve">Uptime Institute 2024</w:t>
        </w:r>
      </w:hyperlink>
      <w:bookmarkEnd w:id="217"/>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8" w:name="Liu2023txt"/>
      <w:hyperlink w:anchor="Liu2023" w:history="1">
        <w:r>
          <w:rPr>
            <w:color w:val="1F3864"/>
            <w:u w:val="single"/>
          </w:rPr>
          <w:t xml:space="preserve">Liu et al. 2023</w:t>
        </w:r>
      </w:hyperlink>
      <w:bookmarkEnd w:id="218"/>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9" w:name="UptimeInstitute2024txt"/>
      <w:hyperlink w:anchor="UptimeInstitute2024" w:history="1">
        <w:r>
          <w:rPr>
            <w:color w:val="1F3864"/>
            <w:u w:val="single"/>
          </w:rPr>
          <w:t xml:space="preserve">Uptime Institute 2024</w:t>
        </w:r>
      </w:hyperlink>
      <w:bookmarkEnd w:id="219"/>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0" w:name="Barroso2018txt"/>
      <w:hyperlink w:anchor="Barroso2018" w:history="1">
        <w:r>
          <w:rPr>
            <w:color w:val="1F3864"/>
            <w:u w:val="single"/>
          </w:rPr>
          <w:t xml:space="preserve">Barroso et al. 2018</w:t>
        </w:r>
      </w:hyperlink>
      <w:bookmarkEnd w:id="220"/>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1" w:name="Barroso2018txt"/>
      <w:hyperlink w:anchor="Barroso2018" w:history="1">
        <w:r>
          <w:rPr>
            <w:color w:val="1F3864"/>
            <w:u w:val="single"/>
          </w:rPr>
          <w:t xml:space="preserve">Barroso et al. 2018</w:t>
        </w:r>
      </w:hyperlink>
      <w:bookmarkEnd w:id="221"/>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2" w:name="Deloitte2020txt"/>
      <w:hyperlink w:anchor="Deloitte2020" w:history="1">
        <w:r>
          <w:rPr>
            <w:color w:val="1F3864"/>
            <w:u w:val="single"/>
          </w:rPr>
          <w:t xml:space="preserve">Deloitte (2020)</w:t>
        </w:r>
      </w:hyperlink>
      <w:bookmarkEnd w:id="222"/>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2" w:name="Eq2txt902"/>
      <w:hyperlink w:anchor="Eq2" w:history="1">
        <w:r>
          <w:rPr>
            <w:color w:val="1F3864"/>
            <w:u w:val="single"/>
          </w:rPr>
          <w:t xml:space="preserve">eq.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3" w:name="Deloitte2025txt"/>
      <w:hyperlink w:anchor="Deloitte2025" w:history="1">
        <w:r>
          <w:rPr>
            <w:color w:val="1F3864"/>
            <w:u w:val="single"/>
          </w:rPr>
          <w:t xml:space="preserve">Deloitte 2025</w:t>
        </w:r>
      </w:hyperlink>
      <w:bookmarkEnd w:id="223"/>
      <w:r>
        <w:t xml:space="preserve">). Construction costs are amortized over 15 years.</w:t>
      </w:r>
    </w:p>
    <w:p>
      <w:pPr>
        <w:spacing w:before="0" w:after="160"/>
        <w:ind w:firstLine="0"/>
        <w:jc w:val="both"/>
      </w:pPr>
      <w:r>
        <w:rPr>
          <w:rFonts w:ascii="Times New Roman" w:hAnsi="Times New Roman"/>
          <w:b w:val="0"/>
          <w:i/>
          <w:sz w:val="24"/>
        </w:rPr>
        <w:t xml:space="preserve">Governance. </w:t>
      </w:r>
      <w:r>
        <w:t xml:space="preserve">Governance quality, grid reliability, and other institutional factors that affect the attractiveness of a host country for compute investment enter the model through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(equation 2), not through a production cost adjustment. This reflects the observation that hardware is globally priced and dominates unit cost, so governance frictions primarily affect buyer willingness rather than physical production cost.</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by adjusting production costs, applying trade frictions, and introducing hyperscaler FDI as a trust channel.</w:t>
      </w:r>
    </w:p>
    <w:p>
      <w:pPr>
        <w:spacing w:before="0" w:after="160"/>
        <w:ind w:firstLine="0"/>
        <w:jc w:val="both"/>
      </w:pPr>
      <w:r>
        <w:t xml:space="preserve">Under observed electricity tariffs and without efficiency adjustment, the cheapest producer in our sample of 85 countries is Iran, followed by Turkmenistan and Ethiopia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4" w:name="IMF2025txt"/>
      <w:hyperlink w:anchor="IMF2025" w:history="1">
        <w:r>
          <w:rPr>
            <w:color w:val="1F3864"/>
            <w:u w:val="single"/>
          </w:rPr>
          <w:t xml:space="preserve">IMF 2025</w:t>
        </w:r>
      </w:hyperlink>
      <w:bookmarkEnd w:id="244"/>
      <w:r>
        <w:t xml:space="preserve">, </w:t>
      </w:r>
      <w:bookmarkStart w:id="224" w:name="Lazard2025txt"/>
      <w:hyperlink w:anchor="Lazard2025" w:history="1">
        <w:r>
          <w:rPr>
            <w:color w:val="1F3864"/>
            <w:u w:val="single"/>
          </w:rPr>
          <w:t xml:space="preserve">Lazard 2025</w:t>
        </w:r>
      </w:hyperlink>
      <w:bookmarkEnd w:id="224"/>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21st. 28 countries change their trade regimes.</w:t>
      </w:r>
    </w:p>
    <w:p>
      <w:pPr>
        <w:spacing w:before="0" w:after="160"/>
        <w:ind w:firstLine="0"/>
        <w:jc w:val="both"/>
      </w:pPr>
      <w:r>
        <w:t>The Δ column shows the rank change from raw tariffs to cost-recovery pricing (column 1 to column 2): Turkmenistan drops 16 places, Tajikistan drops 6. Countries whose low tariffs reflect subsidies rather than genuine resource advantage lose ground once fiscal transfers are removed. Because hardware dominates unit costs, the remaining cross-country variation is narrow. Cheap energy is necessary but not sufficient for FLOP exporting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ind w:firstLine="0"/>
        <w:jc w:val="both"/>
      </w:pPr>
      <w:r>
        <w:t xml:space="preserve">The gap between cost-based comparative advantage and actual investment is wide. Among the twenty cheapest producers under cost-recovery pricing, eight have less than 100 MW of installed data center capacity: Kyrgyzstan (rank 1, 5 MW), Ethiopia (rank 2, 10 MW), Kosovo (rank 4, 5 MW), Tajikistan (rank 6, 5 MW), Montenegro (rank 7, 5 MW), Azerbaijan (rank 11, 10 MW), Algeria (rank 12, 25 MW), Turkmenistan (rank 18, 5 MW). Meanwhile, several countries outside the top twenty host large data center clusters: the Netherlands (rank 60, 1,800 MW), Ireland (rank 84, 1,260 MW), and Singapore (rank 80, 1,130 MW). These patterns reflect agglomeration economies, hyperscaler location strategies, and network infrastructure that the cost-based ranking captures only through the capacity ceiling </w:t>
      </w:r>
      <m:oMath>
        <m:sSub>
          <m:sSubPr/>
          <m:e>
            <m:r>
              <m:rPr>
                <m:sty m:val="i"/>
              </m:rPr>
              <w:rPr>
                <w:rFonts w:ascii="Cambria Math" w:hAnsi="Cambria Math"/>
              </w:rPr>
              <m:t xml:space="preserve">K̄</m:t>
            </m:r>
          </m:e>
          <m:sub>
            <m:r>
              <m:rPr>
                <m:sty m:val="i"/>
              </m:rPr>
              <w:rPr>
                <w:rFonts w:ascii="Cambria Math" w:hAnsi="Cambria Math"/>
              </w:rPr>
              <m:t xml:space="preserve">j</m:t>
            </m:r>
          </m:sub>
        </m:sSub>
      </m:oMath>
      <w:r>
        <w:t>. The cost ranking should therefore be read as identifying the feasible set of exporters, not predicting which countries will attract investment absent the institutional and market-structure conditions discussed in Section 7.</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The threshold is negative whenever a country’s unit cost lies below the equilibrium price, with the magnitude measuring the cost cushion available to absorb sovereignty frictions before the country loses export competitiveness. Canada’s large negative value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−1.3%</m:t>
        </m:r>
      </m:oMath>
      <w:r>
        <w:t xml:space="preserve">) means buyers could impose a substantial sovereignty premium and still find Canadian compute cheaper than the marginal supplier; values closer to zero flag thinner cost advantages more easily erased by sovereignty frictions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−9.0%</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−1.7%</m:t>
        </m:r>
      </m:oMath>
      <w:r>
        <w:t xml:space="preserve">, Switzerland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−9.2%</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3" w:name="Eq4txt903"/>
      <w:hyperlink w:anchor="Eq4" w:history="1">
        <w:r>
          <w:rPr>
            <w:color w:val="1F3864"/>
            <w:u w:val="single"/>
          </w:rPr>
          <w:t xml:space="preserve">equation (4)</w:t>
        </w:r>
      </w:hyperlink>
      <w:bookmarkEnd w:id="903"/>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0.93), confirming Proposition 2. </w:t>
      </w:r>
      <w:r>
        <w:t xml:space="preserve">The largest shadow values of grid capacity are in Kyrgyzstan ($0.014/hr), indicating modest returns to capacity expansion. </w:t>
      </w:r>
      <w:r>
        <w:t>Under the bilateral sovereignty premium, most training demand shifts to domestic production, and the residual export market is served by a single exporter at $1.58/hr.</w:t>
      </w:r>
    </w:p>
    <w:p>
      <w:pPr>
        <w:spacing w:before="0" w:after="160"/>
        <w:ind w:firstLine="0"/>
        <w:jc w:val="both"/>
      </w:pPr>
      <w:r>
        <w:t xml:space="preserve">Inference exports are more dispersed, with the top five exporters being Canada (43%), Kyrgyzstan (26%), Kosovo (6%), the United Kingdom (1%), and Indonesia (0.9%), collectively accounting for 77% of cross-border inference demand (HHI = 0.26). </w:t>
      </w:r>
    </w:p>
    <w:p>
      <w:pPr>
        <w:spacing w:before="0" w:after="160"/>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inference is sourced from Kosovo, for the United Kingdom domestically, and for France from Kosovo. For China, the cheapest foreign source of inference is Kyrgyzstan. Inference supply thus concentrates around latency-bounded regional hubs, each major market sourcing from a distinct nearby producer.</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40"/>
        <w:ind w:firstLine="0"/>
        <w:jc w:val="both"/>
      </w:pPr>
      <w:r>
        <w:rPr>
          <w:rFonts w:ascii="Times New Roman" w:hAnsi="Times New Roman"/>
          <w:b w:val="0"/>
          <w:i/>
          <w:sz w:val="24"/>
        </w:rPr>
        <w:t xml:space="preserve">Hyperscaler FDI and the trust channel. </w:t>
      </w:r>
      <w:r>
        <w:t xml:space="preserve">The bilateral specification assumes that buyers evaluate the host country’s trustworthiness directly. In practice, the dominant delivery channel is hyperscaler FDI: AWS, Azure, or Google Cloud builds and operates the facility, and the buyer’s contract is with the hyperscaler, not the host government. Under this arrangement, the effective sovereignty premium reflects the buyer–operator relationship rather than the buyer–host-country relationship. For a facility in host country </w:t>
      </w:r>
      <m:oMath>
        <m:r>
          <m:rPr>
            <m:sty m:val="i"/>
          </m:rPr>
          <w:rPr>
            <w:rFonts w:ascii="Cambria Math" w:hAnsi="Cambria Math"/>
          </w:rPr>
          <m:t xml:space="preserve">j</m:t>
        </m:r>
      </m:oMath>
      <w:r>
        <w:t xml:space="preserve"> operated by a hyperscaler headquartered in country </w:t>
      </w:r>
      <m:oMath>
        <m:r>
          <m:rPr>
            <m:sty m:val="i"/>
          </m:rPr>
          <w:rPr>
            <w:rFonts w:ascii="Cambria Math" w:hAnsi="Cambria Math"/>
          </w:rPr>
          <m:t xml:space="preserve">h</m:t>
        </m:r>
      </m:oMath>
      <w:r>
        <w:t>, the effective premium becomes: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λ</m:t>
                  </m:r>
                </m:e>
                <m:sub>
                  <m:r>
                    <m:rPr>
                      <m:sty m:val="i"/>
                    </m:rPr>
                    <w:rPr>
                      <w:rFonts w:ascii="Cambria Math" w:hAnsi="Cambria Math"/>
                    </w:rPr>
                    <m:t xml:space="preserve">jk</m:t>
                  </m:r>
                </m:sub>
                <m:sup>
                  <m:r>
                    <m:rPr>
                      <m:sty m:val="i"/>
                    </m:rPr>
                    <w:rPr>
                      <w:rFonts w:ascii="Cambria Math" w:hAnsi="Cambria Math"/>
                    </w:rPr>
                    <m:t xml:space="preserve">FDI</m:t>
                  </m:r>
                </m:sup>
              </m:sSubSup>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29" w:name="Eq2′"/>
            <w:r>
              <w:t>(2′)</w:t>
            </w:r>
            <w:bookmarkEnd w:id="829"/>
          </w:p>
        </w:tc>
      </w:tr>
    </w:tbl>
    <w:p>
      <w:pPr>
        <w:spacing w:before="0" w:after="160"/>
        <w:ind w:firstLine="0"/>
        <w:jc w:val="both"/>
      </w:pPr>
      <w:r>
        <w:t xml:space="preserve">Equation (2′) nests </w:t>
      </w:r>
      <w:bookmarkStart w:id="904" w:name="Eq2txt904"/>
      <w:hyperlink w:anchor="Eq2" w:history="1">
        <w:r>
          <w:rPr>
            <w:color w:val="1F3864"/>
            <w:u w:val="single"/>
          </w:rPr>
          <w:t xml:space="preserve">equation (2)</w:t>
        </w:r>
      </w:hyperlink>
      <w:bookmarkEnd w:id="904"/>
      <w:r>
        <w:t xml:space="preserve">: when </w:t>
      </w:r>
      <m:oMath>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j</m:t>
        </m:r>
      </m:oMath>
      <w:r>
        <w:t xml:space="preserve"> (domestically owned facility), the two coincide. For the three US-headquartered hyperscalers that control roughly 65 percent of the global cloud market, </w:t>
      </w:r>
      <m:oMath>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0</m:t>
        </m:r>
      </m:oMath>
      <w:r>
        <w:t xml:space="preserve"> and </w:t>
      </w:r>
      <m:oMath>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m:t>
        </m:r>
      </m:oMath>
      <w:r>
        <w:t xml:space="preserve"> for allied buyers, so the premium collapses to the sanctions indicator alone. Sanctions still bind on the host country because GPUs cannot be shipped to Iran, Russia, Belarus, or Turkmenistan regardless of who operates the facility. GPU export controls partially restrict China’s access to training-grade hardware.</w:t>
      </w:r>
    </w:p>
    <w:p>
      <w:pPr>
        <w:spacing w:before="0" w:after="160"/>
        <w:ind w:firstLine="0"/>
        <w:jc w:val="both"/>
      </w:pPr>
      <w:r>
        <w:t xml:space="preserve">Column (7) of </w:t>
      </w:r>
      <w:hyperlink w:anchor="Table3b" w:history="1">
        <w:r>
          <w:rPr>
            <w:color w:val="1F3864"/>
            <w:u w:val="single"/>
          </w:rPr>
          <w:t xml:space="preserve">Table 3b</w:t>
        </w:r>
      </w:hyperlink>
      <w:r>
        <w:t xml:space="preserve"> reports regime assignments under the FDI specification. Under bilateral sovereignty (column 4), only Canada exports; all other countries either produce domestically or import. Under hyperscaler FDI (column 7), 6 countries become exporters, 4 of them developing economies: Ethiopia, Kosovo, Kyrgyzstan, and Tajikistan. The developing-country export opportunity identified in the cost rankings (column 3) is not eliminated by sovereignty — it is blocked by the absence of a trust intermediary and restored when one is present.</w:t>
      </w:r>
    </w:p>
    <w:p>
      <w:pPr>
        <w:spacing w:before="0" w:after="160"/>
        <w:ind w:firstLine="0"/>
        <w:jc w:val="both"/>
      </w:pPr>
      <w:r>
        <w:t xml:space="preserve">This result aligns with observed investment patterns. Countries actively attracting hyperscaler data center investment, such as India ($15 billion AdaniConneX/Google campus), Indonesia (120 MW Jakarta), Malaysia (300 MW Johor), Kenya ($1 billion Microsoft/G42 geothermal campus), and Armenia ($4 billion Firebird project), are developing economies that the bilateral specification assigns to DD or II but that the FDI specification identifies as potential exporters. The gap between columns (4) and (7) in </w:t>
      </w:r>
      <w:hyperlink w:anchor="Table3b" w:history="1">
        <w:r>
          <w:rPr>
            <w:color w:val="1F3864"/>
            <w:u w:val="single"/>
          </w:rPr>
          <w:t xml:space="preserve">Table 3b</w:t>
        </w:r>
      </w:hyperlink>
      <w:r>
        <w:t xml:space="preserve"> measures the value of hyperscaler intermediation as a trust mechanism.</w:t>
      </w:r>
    </w:p>
    <w:p>
      <w:pPr>
        <w:spacing w:before="0" w:after="160"/>
        <w:ind w:firstLine="0"/>
        <w:jc w:val="both"/>
      </w:pPr>
      <w:r>
        <w:t>Two caveats apply. First, the FDI specification assumes the hyperscaler absorbs all bilateral trust. In practice, data still physically resides in the host country’s jurisdiction, and some buyers, particularly governments and regulated industries, may retain a residual sovereignty premium even when a trusted operator is present. Second, whether a hyperscaler chooses to build in a given country depends on agglomeration economies, network infrastructure, and market size that the cost ranking does not capture. The FDI column identifies the cost-feasible set of host countries; which ones actually attract investment is a separate question.</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1.7% of average compute spending, comparable to the 0.2–10% welfare losses from trade barriers estimated for goods trade (</w:t>
      </w:r>
      <w:bookmarkStart w:id="225" w:name="EatonKortum2002txt"/>
      <w:hyperlink w:anchor="EatonKortum2002" w:history="1">
        <w:r>
          <w:rPr>
            <w:color w:val="1F3864"/>
            <w:u w:val="single"/>
          </w:rPr>
          <w:t xml:space="preserve">Eaton and Kortum 2002</w:t>
        </w:r>
      </w:hyperlink>
      <w:bookmarkEnd w:id="225"/>
      <w:r>
        <w:t xml:space="preserve">, </w:t>
      </w:r>
      <w:bookmarkStart w:id="245" w:name="ACR2012txt"/>
      <w:hyperlink w:anchor="ACR2012" w:history="1">
        <w:r>
          <w:rPr>
            <w:color w:val="1F3864"/>
            <w:u w:val="single"/>
          </w:rPr>
          <w:t xml:space="preserve">Arkolakis et al. 2012</w:t>
        </w:r>
      </w:hyperlink>
      <w:bookmarkEnd w:id="245"/>
      <w:r>
        <w:t xml:space="preserve">). At current demand levels (approximately 6 × 10¹⁰ GPU-hours at $1.50/hr), this amounts to roughly $1.3 billion per year. This cost is small enough that governments with legitimate data-sovereignty objectives — military applications, health records, national statistical systems — may rationally prefer domestic production even at the efficiency loss the model documents.</w:t>
      </w:r>
    </w:p>
    <w:p>
      <w:pPr>
        <w:spacing w:before="0" w:after="160"/>
        <w:ind w:firstLine="0"/>
        <w:jc w:val="both"/>
      </w:pPr>
      <w:r>
        <w:t xml:space="preserve">The welfare implications of the sovereignty premium depend on whether it reflects genuine security externalities or regulatory overreach. Some domestic processing preference is justified for genuinely confidential data, but much of the current policy push extends the sovereignty logic to routine commercial computation. The welfare cost is nontrivial: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 the very specialization gains the model predicts. The </w:t>
      </w:r>
      <w:bookmarkStart w:id="226" w:name="WorldBank2025txt"/>
      <w:hyperlink w:anchor="WorldBank2025" w:history="1">
        <w:r>
          <w:rPr>
            <w:color w:val="1F3864"/>
            <w:u w:val="single"/>
          </w:rPr>
          <w:t xml:space="preserve">World Bank (2025)</w:t>
        </w:r>
      </w:hyperlink>
      <w:bookmarkEnd w:id="226"/>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27" w:name="Calcaterra2024txt"/>
      <w:hyperlink w:anchor="Calcaterra2024" w:history="1">
        <w:r>
          <w:rPr>
            <w:color w:val="1F3864"/>
            <w:u w:val="single"/>
          </w:rPr>
          <w:t xml:space="preserve">Calcaterra et al. 2024</w:t>
        </w:r>
      </w:hyperlink>
      <w:bookmarkEnd w:id="227"/>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the same institutional weaknesses that lower ξ also raise the cost of capital.</w:t>
      </w:r>
    </w:p>
    <w:p>
      <w:pPr>
        <w:spacing w:before="0" w:after="160"/>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potentially eroding their cost advantage. Qualitative findings are robust to GPU generation choices.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w:t>
      </w:r>
      <w:bookmarkStart w:id="143" w:name="TableA3txt"/>
      <w:hyperlink w:anchor="TableA3" w:history="1">
        <w:r>
          <w:rPr>
            <w:color w:val="1F3864"/>
            <w:u w:val="single"/>
          </w:rPr>
          <w:t xml:space="preserve">Table A3</w:t>
        </w:r>
      </w:hyperlink>
      <w:bookmarkEnd w:id="143"/>
      <w:r>
        <w:t xml:space="preserve"> reports results across five robustness specifications, varying the governance weight, hardware cost share, and functional form.</w:t>
      </w:r>
    </w:p>
    <w:p>
      <w:pPr>
        <w:spacing w:before="0" w:after="160"/>
        <w:ind w:firstLine="0"/>
        <w:jc w:val="both"/>
      </w:pPr>
      <w:r>
        <w:t>The sensitivity results can be read as comparative statics. A rise in global hardware costs increases the globally-priced cost share, compressing the locally-penalized component and muting governance penalties for developing-country exporters. Conversely,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 An increase in local energy prices — whether from subsidy removal or demand-driven grid strain — erodes the cost advantage that defines FLOP-exporting potential, as the endogenous electricity price extension above illustrates.</w:t>
      </w:r>
    </w:p>
    <w:p>
      <w:pPr>
        <w:spacing w:before="0" w:after="160"/>
        <w:ind w:firstLine="0"/>
        <w:jc w:val="both"/>
      </w:pPr>
      <w:r>
        <w:rPr>
          <w:rFonts w:ascii="Times New Roman" w:hAnsi="Times New Roman"/>
          <w:b w:val="0"/>
          <w:i/>
          <w:sz w:val="24"/>
        </w:rPr>
        <w:t xml:space="preserve">Efficiency parameters. </w:t>
      </w:r>
      <w:r>
        <w:t>The baseline assigns equal weight (</w:t>
      </w:r>
      <m:oMath>
        <m:r>
          <m:rPr>
            <m:sty m:val="i"/>
          </m:rPr>
          <w:rPr>
            <w:rFonts w:ascii="Cambria Math" w:hAnsi="Cambria Math"/>
          </w:rPr>
          <m:t xml:space="preserve">ω</m:t>
        </m:r>
        <m:r>
          <m:rPr>
            <m:sty m:val="p"/>
          </m:rPr>
          <w:rPr>
            <w:rFonts w:ascii="Cambria Math" w:hAnsi="Cambria Math"/>
          </w:rPr>
          <m:t xml:space="preserve"> = 0.50</m:t>
        </m:r>
      </m:oMath>
      <w:r>
        <w:t xml:space="preserve">) to governance and grid reliability. </w:t>
      </w:r>
      <w:hyperlink w:anchor="TableA3" w:history="1">
        <w:r>
          <w:rPr>
            <w:color w:val="1F3864"/>
            <w:u w:val="single"/>
          </w:rPr>
          <w:t xml:space="preserve">Table A3</w:t>
        </w:r>
      </w:hyperlink>
      <w:r>
        <w:t xml:space="preserve"> reports sensitivity along two dimensions. First, varying </w:t>
      </w:r>
      <m:oMath>
        <m:r>
          <m:rPr>
            <m:sty m:val="i"/>
          </m:rPr>
          <w:rPr>
            <w:rFonts w:ascii="Cambria Math" w:hAnsi="Cambria Math"/>
          </w:rPr>
          <m:t xml:space="preserve">ω</m:t>
        </m:r>
      </m:oMath>
      <w:r>
        <w:t xml:space="preserve"> from 0.50 to 0.85 leaves the top five exporters largely unchanged. Second, the results are most sensitive to the hardware cost share </w:t>
      </w:r>
      <m:oMath>
        <m:r>
          <m:rPr>
            <m:sty m:val="i"/>
          </m:rPr>
          <w:rPr>
            <w:rFonts w:ascii="Cambria Math" w:hAnsi="Cambria Math"/>
          </w:rPr>
          <m:t xml:space="preserve">ρ</m:t>
        </m:r>
      </m:oMath>
      <w:r>
        <w:t xml:space="preserve">: varying </w:t>
      </w:r>
      <m:oMath>
        <m:r>
          <m:rPr>
            <m:sty m:val="i"/>
          </m:rPr>
          <w:rPr>
            <w:rFonts w:ascii="Cambria Math" w:hAnsi="Cambria Math"/>
          </w:rPr>
          <m:t xml:space="preserve">ρ</m:t>
        </m:r>
      </m:oMath>
      <w:r>
        <w:t xml:space="preserve"> by ±4 percent shifts the composition of the top fifteen. The qualitative result, that countries combining cheap energy with adequate governance retain their cost advantage, follows from hardware being globally priced, not from any particular parameter choice. The qualitative finding is robust across all specifications.</w:t>
      </w:r>
    </w:p>
    <w:p>
      <w:pPr>
        <w:spacing w:before="0" w:after="160"/>
        <w:ind w:firstLine="0"/>
        <w:jc w:val="both"/>
      </w:pPr>
      <w:r>
        <w:t xml:space="preserve">The comparative statics have clear economic intuition. Raising the governance weight ω penalizes countries with weak rule of law, pushing Kyrgyzstan and Ethiopia down the ranking while rewarding Scandinavian producers. Raising the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compresses the governance penalty, allowing more developing countries into the top fifteen. The hardware cost share ρ is the most consequential parameter: when hardware’s share rises, the (identical) hardware cost dominates the unit cost, narrowing the cross-country spread and making governance differences less decisive — widening the door for developing-country entry.</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The model can be extended to incorporate carbon pricing (“green premia”), demand segmentation by latency tolerance, and stochastic disruptions that create incentives for supply diversification.</w:t>
      </w:r>
    </w:p>
    <w:p>
      <w:pPr>
        <w:spacing w:before="0" w:after="160"/>
        <w:ind w:firstLine="0"/>
        <w:jc w:val="both"/>
      </w:pPr>
      <w:r>
        <w:rPr>
          <w:rFonts w:ascii="Times New Roman" w:hAnsi="Times New Roman"/>
          <w:b w:val="0"/>
          <w:i/>
          <w:sz w:val="24"/>
        </w:rPr>
        <w:t xml:space="preserve">Agglomeration and market structure. </w:t>
      </w:r>
      <w:r>
        <w:t>As noted in Section 3, the competitive framework abstracts from the industrial organization of the cloud market. The concentration of data centers in locations such as Northern Virginia — despite above-median electricity costs — reflects centripetal forces that the cost-based ranking cannot capture. The cost-competitive set identified in Section 6 should be interpreted as a necessary condition: a country must be cheap enough to attract investment, but whether investment materializes depends on agglomeration economies and network effects.</w:t>
      </w:r>
    </w:p>
    <w:p>
      <w:pPr>
        <w:pStyle w:val="Heading1"/>
      </w:pPr>
      <w:r>
        <w:rPr>
          <w:rFonts w:ascii="Times New Roman" w:hAnsi="Times New Roman"/>
          <w:b/>
          <w:color w:val="2F5496"/>
          <w:sz w:val="28"/>
        </w:rPr>
        <w:t>8. Conclusion</w:t>
      </w:r>
    </w:p>
    <w:p>
      <w:pPr>
        <w:spacing w:before="0" w:after="160"/>
        <w:ind w:firstLine="0"/>
        <w:jc w:val="both"/>
      </w:pPr>
      <w:r>
        <w:t xml:space="preserve">This paper develops a capacity-constrained Ricardian model of compute trade, distinguishing latency-insensitive training from latency-sensitive inference and incorporating bilateral sovereignty premia. The calibration reveals a paradox: energy-rich developing countries hold a genuine cost advantage in compute production, but bilateral trust deficits eliminate that advantage for nearly all of them. Under the standard bilateral specification, only Canada exports; sovereignty premia shift every other country toward domestic production or importing, at a demand-weighted welfare cost of 1.7% of compute spending. The resolution lies in the hyperscaler FDI channel: when a trusted cloud provider operates the facility, the buyer’s sovereignty concern attaches to the operator, not the host country. Under this specification, four developing countries re-enter as exporters, and the model’s predictions align with observed hyperscaler investment in India, Kenya, Malaysia, and Southeast Asia. Because hardware accounts for roughly 90 percent of unit cost and is globally priced, the cross-country cost spread is only 12–20 percent — narrower than virtually any other tradable good. This makes compute both the easiest sector for developing countries to enter on cost grounds and the one most vulnerable to small frictions: a modest sovereignty premium, a slight governance penalty, or a higher cost of capital is sufficient to shift a country from exporter to importer. </w:t>
      </w:r>
    </w:p>
    <w:p>
      <w:pPr>
        <w:spacing w:before="0" w:after="160"/>
        <w:ind w:firstLine="0"/>
        <w:jc w:val="both"/>
      </w:pPr>
      <w:r>
        <w:t xml:space="preserve">For developing countries, the results identify both the opportunity and the barrier. Countries like Kyrgyzstan, Kosovo, Ethiopia, and Vietnam rank among the cheapest FLOP producers under cost-recovery pricing, and could use their energy resource endowments (hydropower, natural gas, and solar irradiance) to turn cheap power into exportable compute without building a domestic AI research ecosystem. But the bilateral specification shows that this opportunity is blocked by trust deficits — and restored only when a hyperscaler intermediates the transaction. The binding constraint is therefore not electricity cost but institutional credibility: a country must be non-sanctioned, offer credible power purchase agreements, maintain adequate network connectivity, and present a regulatory environment stable enough for a hyperscaler to commit capital over a 15-year horizon. These are achievable conditions. The countries currently attracting hyperscaler investment — India, Kenya, Malaysia, Indonesia — meet them. Those that do not, despite lower electricity costs, lack one or more of these prerequisites. The gap between columns (3) and (6) of Table 3b measures what institutional reform is worth. FLOP exporting resembles aluminum smelting near cheap hydropower — imported capital equipment transforms local electricity into an exportable product with minimal domestic labor — but electricity, unlike oil or minerals, is renewable where generated from hydro, solar, or geothermal sources, and compute demand is growing faster than demand for any physical commodity. The resource curse literature (</w:t>
      </w:r>
      <w:bookmarkStart w:id="228" w:name="vanderPloeg2011txt"/>
      <w:hyperlink w:anchor="vanderPloeg2011" w:history="1">
        <w:r>
          <w:rPr>
            <w:color w:val="1F3864"/>
            <w:u w:val="single"/>
          </w:rPr>
          <w:t xml:space="preserve">van der Ploeg 2011</w:t>
        </w:r>
      </w:hyperlink>
      <w:bookmarkEnd w:id="228"/>
      <w:r>
        <w:t xml:space="preserve">) warns, however, that concentrated export revenues can lead to Dutch disease, institutional degradation, and exposure to demand cycles. Large-scale compute export revenues could also appreciate the real exchange rate, crowding out other tradable sectors, a channel particularly relevant for small, open economies where data center electricity consumption rivals existing industrial load. Whether FLOP exporting countries share these risks depends on the revenue-sharing model they adopt: a sovereign wealth fund approach (Norway) versus elite capture (Dutch disease). The share of surplus retained in the host country depends on ownership and fiscal structure: if the facility is foreign-owned, most operating surplus is repatriated, and the host retains only the electricity payment unless the government captures rent through taxation, equity participation, or resource royalties.</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 — though this rationale weakens for countries close to low-cost neighbors. For developing countries, the four-column progression in Table 3b makes the policy challenge concrete: cheap energy gets a country into the cost-feasible set (column 2), but bilateral trust eliminates the opportunity (column 3), and only hyperscaler intermediation restores it (column 6). The binding constraints are not technological but institutional: non-sanctioned status, credible power purchase agreements, network connectivity, and a regulatory environment stable enough to justify a 15-year capital commitment.</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5"/>
    </w:p>
    <w:p>
      <w:pPr>
        <w:spacing w:before="0" w:after="80" w:line="240" w:lineRule="exact"/>
        <w:ind w:hanging="720" w:left="720"/>
        <w:jc w:val="both"/>
      </w:pPr>
      <w:bookmarkStart w:id="506"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6"/>
    </w:p>
    <w:p>
      <w:pPr>
        <w:spacing w:before="0" w:after="80" w:line="240" w:lineRule="exact"/>
        <w:ind w:hanging="720" w:left="720"/>
        <w:jc w:val="both"/>
      </w:pPr>
      <w:bookmarkStart w:id="507"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7"/>
    </w:p>
    <w:p>
      <w:pPr>
        <w:spacing w:before="0" w:after="80" w:line="240" w:lineRule="exact"/>
        <w:ind w:hanging="720" w:left="720"/>
        <w:jc w:val="both"/>
      </w:pPr>
      <w:bookmarkStart w:id="508"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8"/>
    </w:p>
    <w:p>
      <w:pPr>
        <w:spacing w:before="0" w:after="80" w:line="240" w:lineRule="exact"/>
        <w:ind w:hanging="720" w:left="720"/>
        <w:jc w:val="both"/>
      </w:pPr>
      <w:bookmarkStart w:id="509" w:name="Deloitte2020"/>
      <w:hyperlink w:anchor="Deloitte2020txt" w:history="1">
        <w:r>
          <w:rPr>
            <w:color w:val="1F3864"/>
            <w:u w:val="single"/>
          </w:rPr>
          <w:t xml:space="preserve">Deloitte and Google. (2020). </w:t>
        </w:r>
      </w:hyperlink>
      <w:r>
        <w:t>“Milliseconds Make Millions.” Deloitte Digital and Google.</w:t>
      </w:r>
      <w:bookmarkEnd w:id="509"/>
    </w:p>
    <w:p>
      <w:pPr>
        <w:spacing w:before="0" w:after="80" w:line="240" w:lineRule="exact"/>
        <w:ind w:hanging="720" w:left="720"/>
        <w:jc w:val="both"/>
      </w:pPr>
      <w:bookmarkStart w:id="510"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0"/>
    </w:p>
    <w:p>
      <w:pPr>
        <w:spacing w:before="0" w:after="80" w:line="240" w:lineRule="exact"/>
        <w:ind w:hanging="720" w:left="720"/>
        <w:jc w:val="both"/>
      </w:pPr>
      <w:bookmarkStart w:id="51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1"/>
    </w:p>
    <w:p>
      <w:pPr>
        <w:spacing w:before="0" w:after="80" w:line="240" w:lineRule="exact"/>
        <w:ind w:hanging="720" w:left="720"/>
        <w:jc w:val="both"/>
      </w:pPr>
      <w:bookmarkStart w:id="51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2"/>
    </w:p>
    <w:p>
      <w:pPr>
        <w:spacing w:before="0" w:after="80" w:line="240" w:lineRule="exact"/>
        <w:ind w:hanging="720" w:left="720"/>
        <w:jc w:val="both"/>
      </w:pPr>
      <w:bookmarkStart w:id="513" w:name="EpochAI2024"/>
      <w:hyperlink w:anchor="EpochAI2024txt" w:history="1">
        <w:r>
          <w:rPr>
            <w:color w:val="1F3864"/>
            <w:u w:val="single"/>
          </w:rPr>
          <w:t xml:space="preserve">Epoch AI. (2024). </w:t>
        </w:r>
      </w:hyperlink>
      <w:r>
        <w:t>“The Training Compute of Notable AI Models.” epochai.org.</w:t>
      </w:r>
      <w:bookmarkEnd w:id="513"/>
    </w:p>
    <w:p>
      <w:pPr>
        <w:spacing w:before="0" w:after="80" w:line="240" w:lineRule="exact"/>
        <w:ind w:hanging="720" w:left="720"/>
        <w:jc w:val="both"/>
      </w:pPr>
      <w:bookmarkStart w:id="51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4"/>
    </w:p>
    <w:p>
      <w:pPr>
        <w:spacing w:before="0" w:after="80" w:line="240" w:lineRule="exact"/>
        <w:ind w:hanging="720" w:left="720"/>
        <w:jc w:val="both"/>
      </w:pPr>
      <w:bookmarkStart w:id="515" w:name="Farole2011"/>
      <w:r>
        <w:rPr>
          <w:color w:val="1F3864"/>
          <w:u w:val="single"/>
        </w:rPr>
        <w:t xml:space="preserve">Farole, T. </w:t>
      </w:r>
      <w:r>
        <w:t xml:space="preserve">(2011). </w:t>
      </w:r>
      <w:r>
        <w:rPr>
          <w:i/>
        </w:rPr>
        <w:t>Special Economic Zones in Africa: Comparing Performance and Learning from Global Experiences</w:t>
      </w:r>
      <w:r>
        <w:t xml:space="preserve">. Washington, DC: </w:t>
      </w:r>
      <w:bookmarkStart w:id="229" w:name="WorldBank2024txt"/>
      <w:hyperlink w:anchor="WorldBank2024" w:history="1">
        <w:r>
          <w:rPr>
            <w:color w:val="1F3864"/>
            <w:u w:val="single"/>
          </w:rPr>
          <w:t xml:space="preserve">World Bank</w:t>
        </w:r>
      </w:hyperlink>
      <w:bookmarkEnd w:id="229"/>
      <w:r>
        <w:t xml:space="preserve">.</w:t>
      </w:r>
      <w:bookmarkEnd w:id="515"/>
    </w:p>
    <w:p>
      <w:pPr>
        <w:spacing w:before="0" w:after="80" w:line="240" w:lineRule="exact"/>
        <w:ind w:hanging="720" w:left="720"/>
        <w:jc w:val="both"/>
      </w:pPr>
      <w:bookmarkStart w:id="516"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6"/>
    </w:p>
    <w:p>
      <w:pPr>
        <w:spacing w:before="0" w:after="80" w:line="240" w:lineRule="exact"/>
        <w:ind w:hanging="720" w:left="720"/>
        <w:jc w:val="both"/>
      </w:pPr>
      <w:bookmarkStart w:id="517"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7"/>
    </w:p>
    <w:p>
      <w:pPr>
        <w:spacing w:before="0" w:after="80" w:line="240" w:lineRule="exact"/>
        <w:ind w:hanging="720" w:left="720"/>
        <w:jc w:val="both"/>
      </w:pPr>
      <w:bookmarkStart w:id="518" w:name="Frick2019"/>
      <w:r>
        <w:rPr>
          <w:color w:val="1F3864"/>
          <w:u w:val="single"/>
        </w:rPr>
        <w:t xml:space="preserve">Frick, S., A. Rodríguez-Pose, and M. Wong. (2019). </w:t>
      </w:r>
      <w:r>
        <w:t xml:space="preserve">“Toward Economically Dynamic Special Economic Zones in Emerging Countries.” </w:t>
      </w:r>
      <w:r>
        <w:rPr>
          <w:i/>
        </w:rPr>
        <w:t>Economic Geography</w:t>
      </w:r>
      <w:r>
        <w:t>, 95(1): 30–64.</w:t>
      </w:r>
      <w:bookmarkEnd w:id="518"/>
    </w:p>
    <w:p>
      <w:pPr>
        <w:spacing w:before="0" w:after="80" w:line="240" w:lineRule="exact"/>
        <w:ind w:hanging="720" w:left="720"/>
        <w:jc w:val="both"/>
      </w:pPr>
      <w:bookmarkStart w:id="519"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9"/>
    </w:p>
    <w:p>
      <w:pPr>
        <w:spacing w:before="0" w:after="80" w:line="240" w:lineRule="exact"/>
        <w:ind w:hanging="720" w:left="720"/>
        <w:jc w:val="both"/>
      </w:pPr>
      <w:bookmarkStart w:id="520"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0"/>
    </w:p>
    <w:p>
      <w:pPr>
        <w:spacing w:before="0" w:after="80" w:line="240" w:lineRule="exact"/>
        <w:ind w:hanging="720" w:left="720"/>
        <w:jc w:val="both"/>
      </w:pPr>
      <w:bookmarkStart w:id="521" w:name="Google2024"/>
      <w:r>
        <w:rPr>
          <w:color w:val="1F3864"/>
          <w:u w:val="single"/>
        </w:rPr>
        <w:t xml:space="preserve">Google. </w:t>
      </w:r>
      <w:r>
        <w:t xml:space="preserve">(2024). </w:t>
      </w:r>
      <w:r>
        <w:rPr>
          <w:i/>
        </w:rPr>
        <w:t>2024 Environmental Report</w:t>
      </w:r>
      <w:r>
        <w:t>. sustainability.google.</w:t>
      </w:r>
      <w:bookmarkEnd w:id="521"/>
    </w:p>
    <w:p>
      <w:pPr>
        <w:spacing w:before="0" w:after="80" w:line="240" w:lineRule="exact"/>
        <w:ind w:hanging="720" w:left="720"/>
        <w:jc w:val="both"/>
      </w:pPr>
      <w:bookmarkStart w:id="522"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2"/>
    </w:p>
    <w:p>
      <w:pPr>
        <w:spacing w:before="0" w:after="80" w:line="240" w:lineRule="exact"/>
        <w:ind w:hanging="720" w:left="720"/>
        <w:jc w:val="both"/>
      </w:pPr>
      <w:bookmarkStart w:id="523"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3"/>
    </w:p>
    <w:p>
      <w:pPr>
        <w:spacing w:before="0" w:after="80" w:line="240" w:lineRule="exact"/>
        <w:ind w:hanging="720" w:left="720"/>
        <w:jc w:val="both"/>
      </w:pPr>
      <w:bookmarkStart w:id="524"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4"/>
    </w:p>
    <w:p>
      <w:pPr>
        <w:spacing w:before="0" w:after="80" w:line="240" w:lineRule="exact"/>
        <w:ind w:hanging="720" w:left="720"/>
        <w:jc w:val="both"/>
      </w:pPr>
      <w:bookmarkStart w:id="525" w:name="IEA2025"/>
      <w:hyperlink w:anchor="IEA2025txt" w:history="1">
        <w:r>
          <w:rPr>
            <w:color w:val="1F3864"/>
            <w:u w:val="single"/>
          </w:rPr>
          <w:t xml:space="preserve">IEA. (2025). </w:t>
        </w:r>
      </w:hyperlink>
      <w:r>
        <w:t>“Energy Demand from AI.” Published online at iea.org.</w:t>
      </w:r>
      <w:bookmarkEnd w:id="525"/>
    </w:p>
    <w:p>
      <w:pPr>
        <w:spacing w:before="0" w:after="80" w:line="240" w:lineRule="exact"/>
        <w:ind w:hanging="720" w:left="720"/>
        <w:jc w:val="both"/>
      </w:pPr>
      <w:bookmarkStart w:id="526"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6"/>
    </w:p>
    <w:p>
      <w:pPr>
        <w:spacing w:before="0" w:after="80" w:line="240" w:lineRule="exact"/>
        <w:ind w:hanging="720" w:left="720"/>
        <w:jc w:val="both"/>
      </w:pPr>
      <w:bookmarkStart w:id="527"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7"/>
    </w:p>
    <w:p>
      <w:pPr>
        <w:spacing w:before="0" w:after="80" w:line="240" w:lineRule="exact"/>
        <w:ind w:hanging="720" w:left="720"/>
        <w:jc w:val="both"/>
      </w:pPr>
      <w:bookmarkStart w:id="52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8"/>
    </w:p>
    <w:p>
      <w:pPr>
        <w:spacing w:before="0" w:after="80" w:line="240" w:lineRule="exact"/>
        <w:ind w:hanging="720" w:left="720"/>
        <w:jc w:val="both"/>
      </w:pPr>
      <w:bookmarkStart w:id="52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9"/>
    </w:p>
    <w:p>
      <w:pPr>
        <w:spacing w:before="0" w:after="80" w:line="240" w:lineRule="exact"/>
        <w:ind w:hanging="720" w:left="720"/>
        <w:jc w:val="both"/>
      </w:pPr>
      <w:bookmarkStart w:id="530"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0"/>
    </w:p>
    <w:p>
      <w:pPr>
        <w:spacing w:before="0" w:after="80" w:line="240" w:lineRule="exact"/>
        <w:ind w:hanging="720" w:left="720"/>
        <w:jc w:val="both"/>
      </w:pPr>
      <w:bookmarkStart w:id="53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0" w:name="WorldBank2024txt"/>
      <w:hyperlink w:anchor="WorldBank2024" w:history="1">
        <w:r>
          <w:rPr>
            <w:i/>
            <w:color w:val="1F3864"/>
            <w:u w:val="single"/>
          </w:rPr>
          <w:t xml:space="preserve">World Bank</w:t>
        </w:r>
      </w:hyperlink>
      <w:bookmarkEnd w:id="230"/>
      <w:r>
        <w:rPr>
          <w:i/>
        </w:rPr>
        <w:t xml:space="preserve"> Economic Review</w:t>
      </w:r>
      <w:r>
        <w:t>, 15(3): 451–479.</w:t>
      </w:r>
      <w:bookmarkEnd w:id="531"/>
    </w:p>
    <w:p>
      <w:pPr>
        <w:spacing w:before="0" w:after="80" w:line="240" w:lineRule="exact"/>
        <w:ind w:hanging="720" w:left="720"/>
        <w:jc w:val="both"/>
      </w:pPr>
      <w:bookmarkStart w:id="532"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2"/>
    </w:p>
    <w:p>
      <w:pPr>
        <w:spacing w:before="0" w:after="80" w:line="240" w:lineRule="exact"/>
        <w:ind w:hanging="720" w:left="720"/>
        <w:jc w:val="both"/>
      </w:pPr>
      <w:bookmarkStart w:id="533" w:name="NVIDIA2024"/>
      <w:r>
        <w:rPr>
          <w:color w:val="1F3864"/>
          <w:u w:val="single"/>
        </w:rPr>
        <w:t xml:space="preserve">NVIDIA. </w:t>
      </w:r>
      <w:r>
        <w:t xml:space="preserve">(2024). </w:t>
      </w:r>
      <w:r>
        <w:rPr>
          <w:i/>
        </w:rPr>
        <w:t>NVIDIA H100 Tensor Core GPU Datasheet</w:t>
      </w:r>
      <w:r>
        <w:t>. nvidia.com.</w:t>
      </w:r>
      <w:bookmarkEnd w:id="533"/>
    </w:p>
    <w:p>
      <w:pPr>
        <w:spacing w:before="0" w:after="80" w:line="240" w:lineRule="exact"/>
        <w:ind w:hanging="720" w:left="720"/>
        <w:jc w:val="both"/>
      </w:pPr>
      <w:bookmarkStart w:id="53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4"/>
    </w:p>
    <w:p>
      <w:pPr>
        <w:spacing w:before="0" w:after="80" w:line="240" w:lineRule="exact"/>
        <w:ind w:hanging="720" w:left="720"/>
        <w:jc w:val="both"/>
      </w:pPr>
      <w:bookmarkStart w:id="535"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5"/>
    </w:p>
    <w:p>
      <w:pPr>
        <w:spacing w:before="0" w:after="80" w:line="240" w:lineRule="exact"/>
        <w:ind w:hanging="720" w:left="720"/>
        <w:jc w:val="both"/>
      </w:pPr>
      <w:bookmarkStart w:id="536" w:name="Sastry2024"/>
      <w:hyperlink w:anchor="Sastry2024txt" w:history="1">
        <w:r>
          <w:rPr>
            <w:color w:val="1F3864"/>
            <w:u w:val="single"/>
          </w:rPr>
          <w:t xml:space="preserve">Sastry, G., L. Heim, et al. (2024). </w:t>
        </w:r>
      </w:hyperlink>
      <w:r>
        <w:t>“Computing Power and the Governance of Artificial Intelligence.” arXiv:2402.08797.</w:t>
      </w:r>
      <w:bookmarkEnd w:id="536"/>
    </w:p>
    <w:p>
      <w:pPr>
        <w:spacing w:before="0" w:after="80" w:line="240" w:lineRule="exact"/>
        <w:ind w:hanging="720" w:left="720"/>
        <w:jc w:val="both"/>
      </w:pPr>
      <w:bookmarkStart w:id="537"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7"/>
    </w:p>
    <w:p>
      <w:pPr>
        <w:spacing w:before="0" w:after="80" w:line="240" w:lineRule="exact"/>
        <w:ind w:hanging="720" w:left="720"/>
        <w:jc w:val="both"/>
      </w:pPr>
      <w:bookmarkStart w:id="538"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8"/>
    </w:p>
    <w:p>
      <w:pPr>
        <w:spacing w:before="0" w:after="80" w:line="240" w:lineRule="exact"/>
        <w:ind w:hanging="720" w:left="720"/>
        <w:jc w:val="both"/>
      </w:pPr>
      <w:bookmarkStart w:id="539" w:name="TurnerLee2025"/>
      <w:hyperlink w:anchor="TurnerLee2025txt" w:history="1">
        <w:r>
          <w:rPr>
            <w:color w:val="1F3864"/>
            <w:u w:val="single"/>
          </w:rPr>
          <w:t xml:space="preserve">Turner Lee, N., and D. West. (2025). </w:t>
        </w:r>
      </w:hyperlink>
      <w:r>
        <w:t>“The Future of Data Centers.” Brookings Institution, November 2025.</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r>
        <w:rPr>
          <w:color w:val="1F3864"/>
          <w:u w:val="single"/>
        </w:rPr>
        <w:t xml:space="preserve">World Bank. </w:t>
      </w:r>
      <w:r>
        <w:t xml:space="preserve">(2017). </w:t>
      </w:r>
      <w:r>
        <w:rPr>
          <w:i/>
        </w:rPr>
        <w:t>Special Economic Zones: An Operational Review of Their Impacts</w:t>
      </w:r>
      <w:r>
        <w:t xml:space="preserve">. Washington, DC: </w:t>
      </w:r>
      <w:bookmarkStart w:id="231" w:name="WorldBank2024txt"/>
      <w:hyperlink w:anchor="WorldBank2024" w:history="1">
        <w:r>
          <w:rPr>
            <w:color w:val="1F3864"/>
            <w:u w:val="single"/>
          </w:rPr>
          <w:t xml:space="preserve">World Bank</w:t>
        </w:r>
      </w:hyperlink>
      <w:bookmarkEnd w:id="231"/>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2" w:name="WorldBank2024txt"/>
      <w:hyperlink w:anchor="WorldBank2024" w:history="1">
        <w:r>
          <w:rPr>
            <w:color w:val="1F3864"/>
            <w:u w:val="single"/>
          </w:rPr>
          <w:t xml:space="preserve">World Bank</w:t>
        </w:r>
      </w:hyperlink>
      <w:bookmarkEnd w:id="232"/>
      <w:r>
        <w:t xml:space="preserve">.</w:t>
      </w:r>
      <w:bookmarkEnd w:id="546"/>
    </w:p>
    <w:p>
      <w:pPr>
        <w:spacing w:before="0" w:after="80" w:line="240" w:lineRule="exact"/>
        <w:ind w:hanging="720" w:left="720"/>
        <w:jc w:val="both"/>
      </w:pPr>
      <w:bookmarkStart w:id="547" w:name="WBES2025"/>
      <w:r>
        <w:rPr>
          <w:color w:val="1F3864"/>
          <w:u w:val="single"/>
        </w:rPr>
        <w:t xml:space="preserve">World Bank. </w:t>
      </w:r>
      <w:r>
        <w:t xml:space="preserve">(2025). </w:t>
      </w:r>
      <w:r>
        <w:rPr>
          <w:i/>
        </w:rPr>
        <w:t>Enterprise Surveys</w:t>
      </w:r>
      <w:r>
        <w:t xml:space="preserve">. Washington, DC: </w:t>
      </w:r>
      <w:bookmarkStart w:id="233" w:name="WorldBank2024txt"/>
      <w:hyperlink w:anchor="WorldBank2024" w:history="1">
        <w:r>
          <w:rPr>
            <w:color w:val="1F3864"/>
            <w:u w:val="single"/>
          </w:rPr>
          <w:t xml:space="preserve">World Bank</w:t>
        </w:r>
      </w:hyperlink>
      <w:bookmarkEnd w:id="233"/>
      <w:r>
        <w:t xml:space="preserve">. enterprisesurveys.org.</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calibration_strategy_v28_slide2.png"/>
                    <pic:cNvPicPr/>
                  </pic:nvPicPr>
                  <pic:blipFill>
                    <a:blip r:embed="rId10"/>
                    <a:stretch>
                      <a:fillRect/>
                    </a:stretch>
                  </pic:blipFill>
                  <pic:spPr>
                    <a:xfrm>
                      <a:off x="0" y="0"/>
                      <a:ext cx="5029200" cy="2828925"/>
                    </a:xfrm>
                    <a:prstGeom prst="rect"/>
                  </pic:spPr>
                </pic:pic>
              </a:graphicData>
            </a:graphic>
          </wp:inline>
        </w:drawing>
      </w:r>
    </w:p>
    <w:p>
      <w:pPr>
        <w:spacing w:before="80" w:after="120" w:line="240" w:lineRule="auto"/>
        <w:ind w:firstLine="0" w:left="720" w:right="720"/>
        <w:jc w:val="both"/>
      </w:pPr>
      <w:r>
        <w:rPr>
          <w:b/>
          <w:sz w:val="20"/>
        </w:rPr>
        <w:t xml:space="preserve">Notes: </w:t>
      </w:r>
      <w:r>
        <w:rPr>
          <w:sz w:val="20"/>
        </w:rPr>
        <w:t>Step 1 adjusts production costs from observed tariffs to cost-recovery pricing. Step 2 applies bilateral sovereignty premiums, with a uniform premium (λ = 0.10) as robustness check. Step 3 replaces host-country trust with hyperscaler-intermediated FDI.</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0.50; equation 3). The efficiency adjustment applies to non-hardware costs: c_adj = ρ + (c_cr − ρ) / ξ.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85"/>
        <w:gridCol w:w="785"/>
        <w:gridCol w:w="785"/>
        <w:gridCol w:w="785"/>
        <w:gridCol w:w="785"/>
        <w:gridCol w:w="785"/>
        <w:gridCol w:w="785"/>
        <w:gridCol w:w="785"/>
        <w:gridCol w:w="785"/>
        <w:gridCol w:w="785"/>
        <w:gridCol w:w="785"/>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(3)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+3</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+4</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+5</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w:t>
            </w:r>
          </w:p>
        </w:tc>
      </w:tr>
      <w:tr>
        <w:tc>
          <w:tcPr>
            <w:tcW w:w="1800" w:type="dxa"/>
          </w:tcPr>
          <w:p>
            <w:pPr>
              <w:jc w:val="left"/>
              <w:spacing w:before="10" w:after="10"/>
            </w:pPr>
            <w:r/>
            <w:r>
              <w:rPr>
                <w:rFonts w:ascii="Times New Roman" w:hAnsi="Times New Roman"/>
                <w:sz w:val="16"/>
              </w:rPr>
              <w:t>Tajikistan</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b/>
                <w:sz w:val="16"/>
              </w:rPr>
              <w:t>6</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Montenegro</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b/>
                <w:sz w:val="16"/>
              </w:rPr>
              <w:t>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Colombia</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b/>
                <w:sz w:val="16"/>
              </w:rPr>
              <w:t>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Ukraine</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b/>
                <w:sz w:val="16"/>
              </w:rPr>
              <w:t>9</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b/>
                <w:sz w:val="16"/>
              </w:rPr>
              <w:t>10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w:t>
            </w:r>
          </w:p>
        </w:tc>
      </w:tr>
      <w:tr>
        <w:tc>
          <w:tcPr>
            <w:tcW w:w="1800" w:type="dxa"/>
          </w:tcPr>
          <w:p>
            <w:pPr>
              <w:jc w:val="left"/>
              <w:spacing w:before="10" w:after="10"/>
            </w:pPr>
            <w:r/>
            <w:r>
              <w:rPr>
                <w:rFonts w:ascii="Times New Roman" w:hAnsi="Times New Roman"/>
                <w:sz w:val="16"/>
              </w:rPr>
              <w:t>Azerbaijan</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w:t>
            </w:r>
          </w:p>
        </w:tc>
      </w:tr>
      <w:tr>
        <w:tc>
          <w:tcPr>
            <w:tcW w:w="1800" w:type="dxa"/>
          </w:tcPr>
          <w:p>
            <w:pPr>
              <w:jc w:val="left"/>
              <w:spacing w:before="10" w:after="10"/>
            </w:pPr>
            <w:r/>
            <w:r>
              <w:rPr>
                <w:rFonts w:ascii="Times New Roman" w:hAnsi="Times New Roman"/>
                <w:sz w:val="16"/>
              </w:rPr>
              <w:t>Algeria</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Russia</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-5</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14</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w:t>
            </w:r>
          </w:p>
        </w:tc>
      </w:tr>
      <w:tr>
        <w:tc>
          <w:tcPr>
            <w:tcW w:w="1800" w:type="dxa"/>
          </w:tcPr>
          <w:p>
            <w:pPr>
              <w:jc w:val="left"/>
              <w:spacing w:before="10" w:after="10"/>
            </w:pPr>
            <w:r/>
            <w:r>
              <w:rPr>
                <w:rFonts w:ascii="Times New Roman" w:hAnsi="Times New Roman"/>
                <w:sz w:val="16"/>
              </w:rPr>
              <w:t>Egypt</w:t>
            </w:r>
          </w:p>
        </w:tc>
        <w:tc>
          <w:tcPr>
            <w:tcW w:w="900" w:type="dxa"/>
          </w:tcPr>
          <w:p>
            <w:pPr>
              <w:jc w:val="center"/>
              <w:spacing w:before="10" w:after="10"/>
            </w:pPr>
            <w:r/>
            <w:r>
              <w:rPr>
                <w:rFonts w:ascii="Times New Roman" w:hAnsi="Times New Roman"/>
                <w:sz w:val="16"/>
              </w:rPr>
              <w:t>$1.60</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-10</w:t>
            </w:r>
          </w:p>
        </w:tc>
      </w:tr>
      <w:tr>
        <w:tc>
          <w:tcPr>
            <w:tcW w:w="1800" w:type="dxa"/>
          </w:tcPr>
          <w:p>
            <w:pPr>
              <w:jc w:val="left"/>
              <w:spacing w:before="10" w:after="10"/>
            </w:pPr>
            <w:r/>
            <w:r>
              <w:rPr>
                <w:rFonts w:ascii="Times New Roman" w:hAnsi="Times New Roman"/>
                <w:sz w:val="16"/>
              </w:rPr>
              <w:t>India</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w:t>
            </w:r>
          </w:p>
        </w:tc>
      </w:tr>
      <w:tr>
        <w:tc>
          <w:tcPr>
            <w:tcW w:w="1800" w:type="dxa"/>
          </w:tcPr>
          <w:p>
            <w:pPr>
              <w:jc w:val="left"/>
              <w:spacing w:before="10" w:after="10"/>
            </w:pPr>
            <w:r/>
            <w:r>
              <w:rPr>
                <w:rFonts w:ascii="Times New Roman" w:hAnsi="Times New Roman"/>
                <w:sz w:val="16"/>
              </w:rPr>
              <w:t>Turkmenistan</w:t>
            </w:r>
          </w:p>
        </w:tc>
        <w:tc>
          <w:tcPr>
            <w:tcW w:w="900" w:type="dxa"/>
          </w:tcPr>
          <w:p>
            <w:pPr>
              <w:jc w:val="center"/>
              <w:spacing w:before="10" w:after="10"/>
            </w:pPr>
            <w:r/>
            <w:r>
              <w:rPr>
                <w:rFonts w:ascii="Times New Roman" w:hAnsi="Times New Roman"/>
                <w:sz w:val="16"/>
              </w:rPr>
              <w:t>$1.59</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18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-16</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19</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Brazil</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20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Iran</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-20</w:t>
            </w:r>
          </w:p>
        </w:tc>
      </w:tr>
      <w:tr>
        <w:tc>
          <w:tcPr>
            <w:tcW w:w="1800" w:type="dxa"/>
          </w:tcPr>
          <w:p>
            <w:pPr>
              <w:jc w:val="left"/>
              <w:spacing w:before="10" w:after="10"/>
            </w:pPr>
            <w:r/>
            <w:r>
              <w:rPr>
                <w:rFonts w:ascii="Times New Roman" w:hAnsi="Times New Roman"/>
                <w:sz w:val="16"/>
              </w:rPr>
              <w:t>Indonesia</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23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+7</w:t>
            </w:r>
          </w:p>
        </w:tc>
      </w:tr>
      <w:tr>
        <w:tc>
          <w:tcPr>
            <w:tcW w:w="1800" w:type="dxa"/>
          </w:tcPr>
          <w:p>
            <w:pPr>
              <w:jc w:val="left"/>
              <w:spacing w:before="10" w:after="10"/>
            </w:pPr>
            <w:r/>
            <w:r>
              <w:rPr>
                <w:rFonts w:ascii="Times New Roman" w:hAnsi="Times New Roman"/>
                <w:sz w:val="16"/>
              </w:rPr>
              <w:t>Kazakhstan</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24</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w:t>
            </w:r>
          </w:p>
        </w:tc>
      </w:tr>
      <w:tr>
        <w:tc>
          <w:tcPr>
            <w:tcBorders>
              <w:bottom w:val="double" w:sz="4" w:space="0" w:color="auto"/>
            </w:tcBorders>
            <w:tcW w:w="1800" w:type="dxa"/>
          </w:tcPr>
          <w:p>
            <w:pPr>
              <w:jc w:val="left"/>
              <w:spacing w:before="10" w:after="10"/>
            </w:pPr>
            <w:r/>
            <w:r>
              <w:rPr>
                <w:rFonts w:ascii="Times New Roman" w:hAnsi="Times New Roman"/>
                <w:sz w:val="16"/>
              </w:rPr>
              <w:t>Uzbekistan</w:t>
            </w:r>
          </w:p>
        </w:tc>
        <w:tc>
          <w:tcPr>
            <w:tcBorders>
              <w:bottom w:val="double" w:sz="4" w:space="0" w:color="auto"/>
            </w:tcBorders>
            <w:tcW w:w="900" w:type="dxa"/>
          </w:tcPr>
          <w:p>
            <w:pPr>
              <w:jc w:val="center"/>
              <w:spacing w:before="10" w:after="10"/>
            </w:pPr>
            <w:r/>
            <w:r>
              <w:rPr>
                <w:rFonts w:ascii="Times New Roman" w:hAnsi="Times New Roman"/>
                <w:sz w:val="16"/>
              </w:rPr>
              <w:t>$1.64</w:t>
            </w:r>
          </w:p>
        </w:tc>
        <w:tc>
          <w:tcPr>
            <w:tcBorders>
              <w:bottom w:val="double" w:sz="4" w:space="0" w:color="auto"/>
            </w:tcBorders>
            <w:tcW w:w="540" w:type="dxa"/>
          </w:tcPr>
          <w:p>
            <w:pPr>
              <w:jc w:val="center"/>
              <w:spacing w:before="10" w:after="10"/>
            </w:pPr>
            <w:r/>
            <w:r>
              <w:rPr>
                <w:rFonts w:ascii="Times New Roman" w:hAnsi="Times New Roman"/>
                <w:sz w:val="16"/>
              </w:rPr>
              <w:t>20</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$1.65</w:t>
            </w:r>
          </w:p>
        </w:tc>
        <w:tc>
          <w:tcPr>
            <w:tcBorders>
              <w:bottom w:val="double" w:sz="4" w:space="0" w:color="auto"/>
            </w:tcBorders>
            <w:tcW w:w="540" w:type="dxa"/>
          </w:tcPr>
          <w:p>
            <w:pPr>
              <w:jc w:val="center"/>
              <w:spacing w:before="10" w:after="10"/>
            </w:pPr>
            <w:r/>
            <w:r>
              <w:rPr>
                <w:rFonts w:ascii="Times New Roman" w:hAnsi="Times New Roman"/>
                <w:sz w:val="16"/>
              </w:rPr>
              <w:t>25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$1.65</w:t>
            </w:r>
          </w:p>
        </w:tc>
        <w:tc>
          <w:tcPr>
            <w:tcBorders>
              <w:bottom w:val="double" w:sz="4" w:space="0" w:color="auto"/>
            </w:tcBorders>
            <w:tcW w:w="540" w:type="dxa"/>
          </w:tcPr>
          <w:p>
            <w:pPr>
              <w:jc w:val="center"/>
              <w:spacing w:before="10" w:after="10"/>
            </w:pPr>
            <w:r/>
            <w:r>
              <w:rPr>
                <w:rFonts w:ascii="Times New Roman" w:hAnsi="Times New Roman"/>
                <w:b/>
                <w:sz w:val="16"/>
              </w:rPr>
              <w:t>25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-5</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Bilateral: cost-recovery cost with bilateral sovereignty premium λᵢⱼ from </w:t>
      </w:r>
      <w:bookmarkStart w:id="905" w:name="Eq2txt905"/>
      <w:hyperlink w:anchor="Eq2" w:history="1">
        <w:r>
          <w:rPr>
            <w:rFonts w:ascii="Times New Roman" w:hAnsi="Times New Roman"/>
            <w:sz w:val="20"/>
            <w:color w:val="1F3864"/>
            <w:u w:val="single"/>
          </w:rPr>
          <w:t xml:space="preserve">equation (2)</w:t>
        </w:r>
      </w:hyperlink>
      <w:bookmarkEnd w:id="905"/>
      <w:r>
        <w:rPr>
          <w:rFonts w:ascii="Times New Roman" w:hAnsi="Times New Roman"/>
          <w:sz w:val="20"/>
        </w:rPr>
        <w:t xml:space="preserve">. Ranks in columns (2) and (3) are the same, because the sovereignty premium does not affect production costs or cost rankings; it reshapes regime assignments. Δ = rank change from (1) to (2);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0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900" w:type="dxa"/>
          </w:tcPr>
          <w:p>
            <w:pPr>
              <w:jc w:val="center"/>
              <w:spacing w:before="10" w:after="10"/>
              <w:spacing w:before="10" w:after="10"/>
            </w:pPr>
            <w:r/>
            <w:r>
              <w:rPr>
                <w:rFonts w:ascii="Times New Roman" w:hAnsi="Times New Roman"/>
                <w:b/>
                <w:sz w:val="16"/>
              </w:rPr>
              <w:t>(3)/(4) Bilateral</w:t>
            </w:r>
          </w:p>
        </w:tc>
        <w:tc>
          <w:tcPr>
            <w:gridSpan w:val="2"/>
            <w:tcBorders>
              <w:top w:val="single" w:sz="4" w:space="0" w:color="auto"/>
              <w:bottom w:val="single" w:sz="4" w:space="0" w:color="auto"/>
            </w:tcBorders>
            <w:tcBorders>
              <w:top w:val="single" w:sz="4" w:space="0" w:color="auto"/>
              <w:bottom w:val="single" w:sz="4" w:space="0" w:color="auto"/>
            </w:tcBorders>
            <w:tcW w:w="800" w:type="dxa"/>
          </w:tcPr>
          <w:p>
            <w:pPr>
              <w:jc w:val="center"/>
              <w:spacing w:before="10" w:after="10"/>
              <w:spacing w:before="10" w:after="10"/>
            </w:pPr>
            <w:r/>
            <w:r>
              <w:rPr>
                <w:rFonts w:ascii="Times New Roman" w:hAnsi="Times New Roman"/>
                <w:b/>
                <w:sz w:val="16"/>
              </w:rPr>
              <w:t>(5) Uniform (λ = 10%)</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(6) FDI</w:t>
            </w:r>
          </w:p>
        </w:tc>
        <w:tc>
          <w:tcPr>
            <w:tcBorders>
              <w:top w:val="single" w:sz="4" w:space="0" w:color="auto"/>
              <w:bottom w:val="single" w:sz="4" w:space="0" w:color="auto"/>
            </w:tcBorders>
            <w:tcW w:w="110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20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800" w:type="dxa"/>
          </w:tcPr>
          <w:p>
            <w:pPr>
              <w:jc w:val="center"/>
              <w:spacing w:before="10" w:after="10"/>
            </w:pPr>
            <w:r/>
            <w:r>
              <w:rPr>
                <w:rFonts w:ascii="Times New Roman" w:hAnsi="Times New Roman"/>
                <w:b/>
                <w:sz w:val="16"/>
              </w:rPr>
              <w:t>Rank₅</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000" w:type="dxa"/>
          </w:tcPr>
          <w:p>
            <w:pPr>
              <w:jc w:val="left"/>
              <w:spacing w:before="10" w:after="10"/>
            </w:pPr>
            <w:r/>
            <w:r>
              <w:rPr>
                <w:rFonts w:ascii="Times New Roman" w:hAnsi="Times New Roman"/>
                <w:sz w:val="16"/>
              </w:rPr>
              <w:t>Kyrgyzstan</w:t>
            </w:r>
          </w:p>
        </w:tc>
        <w:tc>
          <w:tcPr>
            <w:tcW w:w="1100" w:type="dxa"/>
          </w:tcPr>
          <w:p>
            <w:pPr>
              <w:jc w:val="center"/>
              <w:spacing w:before="10" w:after="10"/>
            </w:pPr>
            <w:r/>
            <w:r>
              <w:rPr>
                <w:rFonts w:ascii="Times New Roman" w:hAnsi="Times New Roman"/>
                <w:sz w:val="16"/>
              </w:rPr>
              <w:t>$1.60</w:t>
            </w:r>
          </w:p>
        </w:tc>
        <w:tc>
          <w:tcPr>
            <w:tcW w:w="9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1</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0.3%</w:t>
            </w:r>
          </w:p>
        </w:tc>
      </w:tr>
      <w:tr>
        <w:tc>
          <w:tcPr>
            <w:tcW w:w="2000" w:type="dxa"/>
          </w:tcPr>
          <w:p>
            <w:pPr>
              <w:jc w:val="left"/>
              <w:spacing w:before="10" w:after="10"/>
            </w:pPr>
            <w:r/>
            <w:r>
              <w:rPr>
                <w:rFonts w:ascii="Times New Roman" w:hAnsi="Times New Roman"/>
                <w:sz w:val="16"/>
              </w:rPr>
              <w:t>Ethiopia</w:t>
            </w:r>
          </w:p>
        </w:tc>
        <w:tc>
          <w:tcPr>
            <w:tcW w:w="1100" w:type="dxa"/>
          </w:tcPr>
          <w:p>
            <w:pPr>
              <w:jc w:val="center"/>
              <w:spacing w:before="10" w:after="10"/>
            </w:pPr>
            <w:r/>
            <w:r>
              <w:rPr>
                <w:rFonts w:ascii="Times New Roman" w:hAnsi="Times New Roman"/>
                <w:sz w:val="16"/>
              </w:rPr>
              <w:t>$1.61</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2</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1.3%</w:t>
            </w:r>
          </w:p>
        </w:tc>
      </w:tr>
      <w:tr>
        <w:tc>
          <w:tcPr>
            <w:tcW w:w="2000" w:type="dxa"/>
          </w:tcPr>
          <w:p>
            <w:pPr>
              <w:jc w:val="left"/>
              <w:spacing w:before="10" w:after="10"/>
            </w:pPr>
            <w:r/>
            <w:r>
              <w:rPr>
                <w:rFonts w:ascii="Times New Roman" w:hAnsi="Times New Roman"/>
                <w:sz w:val="16"/>
              </w:rPr>
              <w:t>Canada</w:t>
            </w:r>
          </w:p>
        </w:tc>
        <w:tc>
          <w:tcPr>
            <w:tcW w:w="1100" w:type="dxa"/>
          </w:tcPr>
          <w:p>
            <w:pPr>
              <w:jc w:val="center"/>
              <w:spacing w:before="10" w:after="10"/>
            </w:pPr>
            <w:r/>
            <w:r>
              <w:rPr>
                <w:rFonts w:ascii="Times New Roman" w:hAnsi="Times New Roman"/>
                <w:sz w:val="16"/>
              </w:rPr>
              <w:t>$1.61</w:t>
            </w:r>
          </w:p>
        </w:tc>
        <w:tc>
          <w:tcPr>
            <w:tcW w:w="9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3</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1.3%</w:t>
            </w:r>
          </w:p>
        </w:tc>
      </w:tr>
      <w:tr>
        <w:tc>
          <w:tcPr>
            <w:tcW w:w="2000" w:type="dxa"/>
          </w:tcPr>
          <w:p>
            <w:pPr>
              <w:jc w:val="left"/>
              <w:spacing w:before="10" w:after="10"/>
            </w:pPr>
            <w:r/>
            <w:r>
              <w:rPr>
                <w:rFonts w:ascii="Times New Roman" w:hAnsi="Times New Roman"/>
                <w:sz w:val="16"/>
              </w:rPr>
              <w:t>Kosovo</w:t>
            </w:r>
          </w:p>
        </w:tc>
        <w:tc>
          <w:tcPr>
            <w:tcW w:w="1100" w:type="dxa"/>
          </w:tcPr>
          <w:p>
            <w:pPr>
              <w:jc w:val="center"/>
              <w:spacing w:before="10" w:after="10"/>
            </w:pPr>
            <w:r/>
            <w:r>
              <w:rPr>
                <w:rFonts w:ascii="Times New Roman" w:hAnsi="Times New Roman"/>
                <w:sz w:val="16"/>
              </w:rPr>
              <w:t>$1.62</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4</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1.7%</w:t>
            </w:r>
          </w:p>
        </w:tc>
      </w:tr>
      <w:tr>
        <w:tc>
          <w:tcPr>
            <w:tcW w:w="2000" w:type="dxa"/>
          </w:tcPr>
          <w:p>
            <w:pPr>
              <w:jc w:val="left"/>
              <w:spacing w:before="10" w:after="10"/>
            </w:pPr>
            <w:r/>
            <w:r>
              <w:rPr>
                <w:rFonts w:ascii="Times New Roman" w:hAnsi="Times New Roman"/>
                <w:sz w:val="16"/>
              </w:rPr>
              <w:t>China</w:t>
            </w:r>
          </w:p>
        </w:tc>
        <w:tc>
          <w:tcPr>
            <w:tcW w:w="1100" w:type="dxa"/>
          </w:tcPr>
          <w:p>
            <w:pPr>
              <w:jc w:val="center"/>
              <w:spacing w:before="10" w:after="10"/>
            </w:pPr>
            <w:r/>
            <w:r>
              <w:rPr>
                <w:rFonts w:ascii="Times New Roman" w:hAnsi="Times New Roman"/>
                <w:sz w:val="16"/>
              </w:rPr>
              <w:t>$1.62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5</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1.7%</w:t>
            </w:r>
          </w:p>
        </w:tc>
      </w:tr>
      <w:tr>
        <w:tc>
          <w:tcPr>
            <w:tcW w:w="2000" w:type="dxa"/>
          </w:tcPr>
          <w:p>
            <w:pPr>
              <w:jc w:val="left"/>
              <w:spacing w:before="10" w:after="10"/>
            </w:pPr>
            <w:r/>
            <w:r>
              <w:rPr>
                <w:rFonts w:ascii="Times New Roman" w:hAnsi="Times New Roman"/>
                <w:sz w:val="16"/>
              </w:rPr>
              <w:t>Tajikistan</w:t>
            </w:r>
          </w:p>
        </w:tc>
        <w:tc>
          <w:tcPr>
            <w:tcW w:w="1100" w:type="dxa"/>
          </w:tcPr>
          <w:p>
            <w:pPr>
              <w:jc w:val="center"/>
              <w:spacing w:before="10" w:after="10"/>
            </w:pPr>
            <w:r/>
            <w:r>
              <w:rPr>
                <w:rFonts w:ascii="Times New Roman" w:hAnsi="Times New Roman"/>
                <w:sz w:val="16"/>
              </w:rPr>
              <w:t>$1.62</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6</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1.8%</w:t>
            </w:r>
          </w:p>
        </w:tc>
      </w:tr>
      <w:tr>
        <w:tc>
          <w:tcPr>
            <w:tcW w:w="2000" w:type="dxa"/>
          </w:tcPr>
          <w:p>
            <w:pPr>
              <w:jc w:val="left"/>
              <w:spacing w:before="10" w:after="10"/>
            </w:pPr>
            <w:r/>
            <w:r>
              <w:rPr>
                <w:rFonts w:ascii="Times New Roman" w:hAnsi="Times New Roman"/>
                <w:sz w:val="16"/>
              </w:rPr>
              <w:t>Montenegro</w:t>
            </w:r>
          </w:p>
        </w:tc>
        <w:tc>
          <w:tcPr>
            <w:tcW w:w="1100" w:type="dxa"/>
          </w:tcPr>
          <w:p>
            <w:pPr>
              <w:jc w:val="center"/>
              <w:spacing w:before="10" w:after="10"/>
            </w:pPr>
            <w:r/>
            <w:r>
              <w:rPr>
                <w:rFonts w:ascii="Times New Roman" w:hAnsi="Times New Roman"/>
                <w:sz w:val="16"/>
              </w:rPr>
              <w:t>$1.63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7</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2.3%</w:t>
            </w:r>
          </w:p>
        </w:tc>
      </w:tr>
      <w:tr>
        <w:tc>
          <w:tcPr>
            <w:tcW w:w="2000" w:type="dxa"/>
          </w:tcPr>
          <w:p>
            <w:pPr>
              <w:jc w:val="left"/>
              <w:spacing w:before="10" w:after="10"/>
            </w:pPr>
            <w:r/>
            <w:r>
              <w:rPr>
                <w:rFonts w:ascii="Times New Roman" w:hAnsi="Times New Roman"/>
                <w:sz w:val="16"/>
              </w:rPr>
              <w:t>Colombia</w:t>
            </w:r>
          </w:p>
        </w:tc>
        <w:tc>
          <w:tcPr>
            <w:tcW w:w="1100" w:type="dxa"/>
          </w:tcPr>
          <w:p>
            <w:pPr>
              <w:jc w:val="center"/>
              <w:spacing w:before="10" w:after="10"/>
            </w:pPr>
            <w:r/>
            <w:r>
              <w:rPr>
                <w:rFonts w:ascii="Times New Roman" w:hAnsi="Times New Roman"/>
                <w:sz w:val="16"/>
              </w:rPr>
              <w:t>$1.63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8</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2.4%</w:t>
            </w:r>
          </w:p>
        </w:tc>
      </w:tr>
      <w:tr>
        <w:tc>
          <w:tcPr>
            <w:tcW w:w="2000" w:type="dxa"/>
          </w:tcPr>
          <w:p>
            <w:pPr>
              <w:jc w:val="left"/>
              <w:spacing w:before="10" w:after="10"/>
            </w:pPr>
            <w:r/>
            <w:r>
              <w:rPr>
                <w:rFonts w:ascii="Times New Roman" w:hAnsi="Times New Roman"/>
                <w:sz w:val="16"/>
              </w:rPr>
              <w:t>Ukraine</w:t>
            </w:r>
          </w:p>
        </w:tc>
        <w:tc>
          <w:tcPr>
            <w:tcW w:w="1100" w:type="dxa"/>
          </w:tcPr>
          <w:p>
            <w:pPr>
              <w:jc w:val="center"/>
              <w:spacing w:before="10" w:after="10"/>
            </w:pPr>
            <w:r/>
            <w:r>
              <w:rPr>
                <w:rFonts w:ascii="Times New Roman" w:hAnsi="Times New Roman"/>
                <w:sz w:val="16"/>
              </w:rPr>
              <w:t>$1.63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9</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2.4%</w:t>
            </w:r>
          </w:p>
        </w:tc>
      </w:tr>
      <w:tr>
        <w:tc>
          <w:tcPr>
            <w:tcW w:w="2000" w:type="dxa"/>
          </w:tcPr>
          <w:p>
            <w:pPr>
              <w:jc w:val="left"/>
              <w:spacing w:before="10" w:after="10"/>
            </w:pPr>
            <w:r/>
            <w:r>
              <w:rPr>
                <w:rFonts w:ascii="Times New Roman" w:hAnsi="Times New Roman"/>
                <w:sz w:val="16"/>
              </w:rPr>
              <w:t>Argentina</w:t>
            </w:r>
          </w:p>
        </w:tc>
        <w:tc>
          <w:tcPr>
            <w:tcW w:w="1100" w:type="dxa"/>
          </w:tcPr>
          <w:p>
            <w:pPr>
              <w:jc w:val="center"/>
              <w:spacing w:before="10" w:after="10"/>
            </w:pPr>
            <w:r/>
            <w:r>
              <w:rPr>
                <w:rFonts w:ascii="Times New Roman" w:hAnsi="Times New Roman"/>
                <w:sz w:val="16"/>
              </w:rPr>
              <w:t>$1.63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10</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2.7%</w:t>
            </w:r>
          </w:p>
        </w:tc>
      </w:tr>
      <w:tr>
        <w:tc>
          <w:tcPr>
            <w:tcW w:w="2000" w:type="dxa"/>
          </w:tcPr>
          <w:p>
            <w:pPr>
              <w:jc w:val="left"/>
              <w:spacing w:before="10" w:after="10"/>
            </w:pPr>
            <w:r/>
            <w:r>
              <w:rPr>
                <w:rFonts w:ascii="Times New Roman" w:hAnsi="Times New Roman"/>
                <w:sz w:val="16"/>
              </w:rPr>
              <w:t>Azerbaijan</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11</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2.7%</w:t>
            </w:r>
          </w:p>
        </w:tc>
      </w:tr>
      <w:tr>
        <w:tc>
          <w:tcPr>
            <w:tcW w:w="2000" w:type="dxa"/>
          </w:tcPr>
          <w:p>
            <w:pPr>
              <w:jc w:val="left"/>
              <w:spacing w:before="10" w:after="10"/>
            </w:pPr>
            <w:r/>
            <w:r>
              <w:rPr>
                <w:rFonts w:ascii="Times New Roman" w:hAnsi="Times New Roman"/>
                <w:sz w:val="16"/>
              </w:rPr>
              <w:t>Algeria</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12</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2.7%</w:t>
            </w:r>
          </w:p>
        </w:tc>
      </w:tr>
      <w:tr>
        <w:tc>
          <w:tcPr>
            <w:tcW w:w="2000" w:type="dxa"/>
          </w:tcPr>
          <w:p>
            <w:pPr>
              <w:jc w:val="left"/>
              <w:spacing w:before="10" w:after="10"/>
            </w:pPr>
            <w:r/>
            <w:r>
              <w:rPr>
                <w:rFonts w:ascii="Times New Roman" w:hAnsi="Times New Roman"/>
                <w:sz w:val="16"/>
              </w:rPr>
              <w:t>Russia</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13</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2.8%</w:t>
            </w:r>
          </w:p>
        </w:tc>
      </w:tr>
      <w:tr>
        <w:tc>
          <w:tcPr>
            <w:tcW w:w="2000" w:type="dxa"/>
          </w:tcPr>
          <w:p>
            <w:pPr>
              <w:jc w:val="left"/>
              <w:spacing w:before="10" w:after="10"/>
            </w:pPr>
            <w:r/>
            <w:r>
              <w:rPr>
                <w:rFonts w:ascii="Times New Roman" w:hAnsi="Times New Roman"/>
                <w:sz w:val="16"/>
              </w:rPr>
              <w:t>Vietnam</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14</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3.0%</w:t>
            </w:r>
          </w:p>
        </w:tc>
      </w:tr>
      <w:tr>
        <w:tc>
          <w:tcPr>
            <w:tcW w:w="2000" w:type="dxa"/>
          </w:tcPr>
          <w:p>
            <w:pPr>
              <w:jc w:val="left"/>
              <w:spacing w:before="10" w:after="10"/>
            </w:pPr>
            <w:r/>
            <w:r>
              <w:rPr>
                <w:rFonts w:ascii="Times New Roman" w:hAnsi="Times New Roman"/>
                <w:sz w:val="16"/>
              </w:rPr>
              <w:t>Egypt</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15</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3.0%</w:t>
            </w:r>
          </w:p>
        </w:tc>
      </w:tr>
      <w:tr>
        <w:tc>
          <w:tcPr>
            <w:tcW w:w="2000" w:type="dxa"/>
          </w:tcPr>
          <w:p>
            <w:pPr>
              <w:jc w:val="left"/>
              <w:spacing w:before="10" w:after="10"/>
            </w:pPr>
            <w:r/>
            <w:r>
              <w:rPr>
                <w:rFonts w:ascii="Times New Roman" w:hAnsi="Times New Roman"/>
                <w:sz w:val="16"/>
              </w:rPr>
              <w:t>India</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16</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3.1%</w:t>
            </w:r>
          </w:p>
        </w:tc>
      </w:tr>
      <w:tr>
        <w:tc>
          <w:tcPr>
            <w:tcW w:w="2000" w:type="dxa"/>
          </w:tcPr>
          <w:p>
            <w:pPr>
              <w:jc w:val="left"/>
              <w:spacing w:before="10" w:after="10"/>
            </w:pPr>
            <w:r/>
            <w:r>
              <w:rPr>
                <w:rFonts w:ascii="Times New Roman" w:hAnsi="Times New Roman"/>
                <w:sz w:val="16"/>
              </w:rPr>
              <w:t>Norway</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17</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3.2%</w:t>
            </w:r>
          </w:p>
        </w:tc>
      </w:tr>
      <w:tr>
        <w:tc>
          <w:tcPr>
            <w:tcW w:w="2000" w:type="dxa"/>
          </w:tcPr>
          <w:p>
            <w:pPr>
              <w:jc w:val="left"/>
              <w:spacing w:before="10" w:after="10"/>
            </w:pPr>
            <w:r/>
            <w:r>
              <w:rPr>
                <w:rFonts w:ascii="Times New Roman" w:hAnsi="Times New Roman"/>
                <w:sz w:val="16"/>
              </w:rPr>
              <w:t>Turkmenistan</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18</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3.3%</w:t>
            </w:r>
          </w:p>
        </w:tc>
      </w:tr>
      <w:tr>
        <w:tc>
          <w:tcPr>
            <w:tcW w:w="2000" w:type="dxa"/>
          </w:tcPr>
          <w:p>
            <w:pPr>
              <w:jc w:val="left"/>
              <w:spacing w:before="10" w:after="10"/>
            </w:pPr>
            <w:r/>
            <w:r>
              <w:rPr>
                <w:rFonts w:ascii="Times New Roman" w:hAnsi="Times New Roman"/>
                <w:sz w:val="16"/>
              </w:rPr>
              <w:t>Finland</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19</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3.4%</w:t>
            </w:r>
          </w:p>
        </w:tc>
      </w:tr>
      <w:tr>
        <w:tc>
          <w:tcPr>
            <w:tcW w:w="2000" w:type="dxa"/>
          </w:tcPr>
          <w:p>
            <w:pPr>
              <w:jc w:val="left"/>
              <w:spacing w:before="10" w:after="10"/>
            </w:pPr>
            <w:r/>
            <w:r>
              <w:rPr>
                <w:rFonts w:ascii="Times New Roman" w:hAnsi="Times New Roman"/>
                <w:sz w:val="16"/>
              </w:rPr>
              <w:t>Brazil</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20</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3.4%</w:t>
            </w:r>
          </w:p>
        </w:tc>
      </w:tr>
      <w:tr>
        <w:tc>
          <w:tcPr>
            <w:tcW w:w="2000" w:type="dxa"/>
          </w:tcPr>
          <w:p>
            <w:pPr>
              <w:jc w:val="left"/>
              <w:spacing w:before="10" w:after="10"/>
            </w:pPr>
            <w:r/>
            <w:r>
              <w:rPr>
                <w:rFonts w:ascii="Times New Roman" w:hAnsi="Times New Roman"/>
                <w:sz w:val="16"/>
              </w:rPr>
              <w:t>Iran</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21</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3.7%</w:t>
            </w:r>
          </w:p>
        </w:tc>
      </w:tr>
      <w:tr>
        <w:tc>
          <w:tcPr>
            <w:tcW w:w="2000" w:type="dxa"/>
          </w:tcPr>
          <w:p>
            <w:pPr>
              <w:jc w:val="left"/>
              <w:spacing w:before="10" w:after="10"/>
            </w:pPr>
            <w:r/>
            <w:r>
              <w:rPr>
                <w:rFonts w:ascii="Times New Roman" w:hAnsi="Times New Roman"/>
                <w:sz w:val="16"/>
              </w:rPr>
              <w:t>Indonesia</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22</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3.8%</w:t>
            </w:r>
          </w:p>
        </w:tc>
      </w:tr>
      <w:tr>
        <w:tc>
          <w:tcPr>
            <w:tcW w:w="2000" w:type="dxa"/>
          </w:tcPr>
          <w:p>
            <w:pPr>
              <w:jc w:val="left"/>
              <w:spacing w:before="10" w:after="10"/>
            </w:pPr>
            <w:r/>
            <w:r>
              <w:rPr>
                <w:rFonts w:ascii="Times New Roman" w:hAnsi="Times New Roman"/>
                <w:sz w:val="16"/>
              </w:rPr>
              <w:t>Sweden</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23</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3.8%</w:t>
            </w:r>
          </w:p>
        </w:tc>
      </w:tr>
      <w:tr>
        <w:tc>
          <w:tcPr>
            <w:tcW w:w="2000" w:type="dxa"/>
          </w:tcPr>
          <w:p>
            <w:pPr>
              <w:jc w:val="left"/>
              <w:spacing w:before="10" w:after="10"/>
            </w:pPr>
            <w:r/>
            <w:r>
              <w:rPr>
                <w:rFonts w:ascii="Times New Roman" w:hAnsi="Times New Roman"/>
                <w:sz w:val="16"/>
              </w:rPr>
              <w:t>Kazakhstan</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24</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3.9%</w:t>
            </w:r>
          </w:p>
        </w:tc>
      </w:tr>
      <w:tr>
        <w:tc>
          <w:tcPr>
            <w:tcBorders>
              <w:bottom w:val="double" w:sz="4" w:space="0" w:color="auto"/>
            </w:tcBorders>
            <w:tcW w:w="2000" w:type="dxa"/>
          </w:tcPr>
          <w:p>
            <w:pPr>
              <w:jc w:val="left"/>
              <w:spacing w:before="10" w:after="10"/>
            </w:pPr>
            <w:r/>
            <w:r>
              <w:rPr>
                <w:rFonts w:ascii="Times New Roman" w:hAnsi="Times New Roman"/>
                <w:sz w:val="16"/>
              </w:rPr>
              <w:t>Uzbekistan</w:t>
            </w:r>
          </w:p>
        </w:tc>
        <w:tc>
          <w:tcPr>
            <w:tcBorders>
              <w:bottom w:val="double" w:sz="4" w:space="0" w:color="auto"/>
            </w:tcBorders>
            <w:tcW w:w="1100" w:type="dxa"/>
          </w:tcPr>
          <w:p>
            <w:pPr>
              <w:jc w:val="center"/>
              <w:spacing w:before="10" w:after="10"/>
            </w:pPr>
            <w:r/>
            <w:r>
              <w:rPr>
                <w:rFonts w:ascii="Times New Roman" w:hAnsi="Times New Roman"/>
                <w:sz w:val="16"/>
              </w:rPr>
              <w:t>$1.65</w:t>
            </w:r>
          </w:p>
        </w:tc>
        <w:tc>
          <w:tcPr>
            <w:tcBorders>
              <w:bottom w:val="double" w:sz="4" w:space="0" w:color="auto"/>
            </w:tcBorders>
            <w:tcW w:w="9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DD</w:t>
            </w:r>
          </w:p>
        </w:tc>
        <w:tc>
          <w:tcPr>
            <w:tcBorders>
              <w:bottom w:val="double" w:sz="4" w:space="0" w:color="auto"/>
            </w:tcBorders>
            <w:tcW w:w="800" w:type="dxa"/>
          </w:tcPr>
          <w:p>
            <w:pPr>
              <w:jc w:val="center"/>
              <w:spacing w:before="10" w:after="10"/>
            </w:pPr>
            <w:r/>
            <w:r>
              <w:rPr>
                <w:rFonts w:ascii="Times New Roman" w:hAnsi="Times New Roman"/>
                <w:sz w:val="16"/>
              </w:rPr>
              <w:t>25</w:t>
            </w:r>
          </w:p>
        </w:tc>
        <w:tc>
          <w:tcPr>
            <w:tcBorders>
              <w:bottom w:val="double" w:sz="4" w:space="0" w:color="auto"/>
            </w:tcBorders>
            <w:tcW w:w="9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center"/>
              <w:spacing w:before="10" w:after="10"/>
            </w:pPr>
            <w:r/>
            <w:r>
              <w:rPr>
                <w:rFonts w:ascii="Times New Roman" w:hAnsi="Times New Roman"/>
                <w:sz w:val="16"/>
              </w:rPr>
              <w:t>3.9%</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(3)/(4) Bilateral: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(5) Uniform: uniform λ = 10% premium (robustness check). (6) Hyperscaler FDI: bilateral premium replaced by λᶠᵈᵉ from equation (2′), where h is the hyperscaler’s home country (assumed US). Trust premium reflects buyer–operator relationship. Sanctions on host still apply. * = sanctioned/GPU-blocked. † = developing-country exporter.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 A</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
              <w:rPr>
                <w:sz w:val="16"/>
              </w:rPr>
              <w:t>$0.045</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$0.075</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$0.054</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$0.057</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$0.068</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
              <w:rPr>
                <w:sz w:val="16"/>
              </w:rPr>
              <w:t>$0.081</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
              <w:rPr>
                <w:sz w:val="16"/>
              </w:rPr>
              <w:t>$0.086</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
              <w:rPr>
                <w:sz w:val="16"/>
              </w:rPr>
              <w:t>$0.090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$0.089</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$0.130</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
              <w:rPr>
                <w:sz w:val="16"/>
              </w:rPr>
              <w:t>$0.097</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
              <w:rPr>
                <w:sz w:val="16"/>
              </w:rPr>
              <w:t>$0.119</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$0.111</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$0.109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$0.110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
              <w:rPr>
                <w:sz w:val="16"/>
              </w:rPr>
              <w:t>$0.113</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
              <w:rPr>
                <w:sz w:val="16"/>
              </w:rPr>
              <w:t>$0.128</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
              <w:rPr>
                <w:sz w:val="16"/>
              </w:rPr>
              <w:t>$0.125</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$0.156</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
              <w:rPr>
                <w:sz w:val="16"/>
              </w:rPr>
              <w:t>$0.164</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
              <w:rPr>
                <w:sz w:val="16"/>
              </w:rPr>
              <w:t>$0.162</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
              <w:rPr>
                <w:sz w:val="16"/>
              </w:rPr>
              <w:t>$0.160</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
              <w:rPr>
                <w:sz w:val="16"/>
              </w:rPr>
              <w:t>$0.172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
              <w:rPr>
                <w:sz w:val="16"/>
              </w:rPr>
              <w:t>$0.135</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
              <w:rPr>
                <w:sz w:val="16"/>
              </w:rPr>
              <w:t>$0.176</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
              <w:rPr>
                <w:sz w:val="16"/>
              </w:rPr>
              <w:t>$0.160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$0.185</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$0.206</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7" w:name="Eq4txt907"/>
      <w:hyperlink w:anchor="Eq4" w:history="1">
        <w:r>
          <w:rPr>
            <w:sz w:val="20"/>
            <w:color w:val="1F3864"/>
            <w:u w:val="single"/>
          </w:rPr>
          <w:t xml:space="preserve">equation (4)</w:t>
        </w:r>
      </w:hyperlink>
      <w:bookmarkEnd w:id="907"/>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85"/>
        <w:gridCol w:w="785"/>
        <w:gridCol w:w="785"/>
        <w:gridCol w:w="785"/>
        <w:gridCol w:w="785"/>
        <w:gridCol w:w="785"/>
        <w:gridCol w:w="785"/>
        <w:gridCol w:w="785"/>
        <w:gridCol w:w="785"/>
        <w:gridCol w:w="785"/>
        <w:gridCol w:w="785"/>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(3) Bilateral λᵢⱼ</w:t>
            </w:r>
          </w:p>
        </w:tc>
        <w:tc>
          <w:tcPr>
            <w:tcBorders>
              <w:top w:val="single" w:sz="4" w:space="0" w:color="auto"/>
              <w:bottom w:val="single" w:sz="4" w:space="0" w:color="auto"/>
            </w:tcBorders>
            <w:tcW w:w="540" w:type="dxa"/>
          </w:tcPr>
          <w:p>
            <w:pPr>
              <w:jc w:val="center"/>
              <w:spacing w:before="5" w:after="5"/>
            </w:pPr>
            <w:r/>
            <w:r>
              <w:rPr>
                <w:rFonts w:ascii="Times New Roman" w:hAnsi="Times New Roman"/>
                <w:sz w:val="14"/>
              </w:rPr>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Turkmenistan</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DD</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0</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900" w:type="dxa"/>
          </w:tcPr>
          <w:p>
            <w:pPr>
              <w:jc w:val="center"/>
              <w:spacing w:before="5" w:after="5"/>
            </w:pPr>
            <w:r/>
            <w:r>
              <w:rPr>
                <w:rFonts w:ascii="Times New Roman" w:hAnsi="Times New Roman"/>
                <w:sz w:val="14"/>
              </w:rPr>
              <w:t>$1.79</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$1.79</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$1.79</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0</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(2) rank (ascending). Column (3) uses bilateral sovereignty premium λᵢⱼ from </w:t>
      </w:r>
      <w:bookmarkStart w:id="908" w:name="Eq2txt908"/>
      <w:hyperlink w:anchor="Eq2" w:history="1">
        <w:r>
          <w:rPr>
            <w:sz w:val="20"/>
            <w:color w:val="1F3864"/>
            <w:u w:val="single"/>
          </w:rPr>
          <w:t xml:space="preserve">equation (2)</w:t>
        </w:r>
      </w:hyperlink>
      <w:bookmarkEnd w:id="908"/>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9" w:name="Eq1txt909"/>
      <w:hyperlink w:anchor="Eq1" w:history="1">
        <w:r>
          <w:rPr>
            <w:color w:val="1F3864"/>
            <w:u w:val="single"/>
          </w:rPr>
          <w:t xml:space="preserve">equation (1)</w:t>
        </w:r>
      </w:hyperlink>
      <w:bookmarkEnd w:id="909"/>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0" w:name="Eq4txt910"/>
      <w:hyperlink w:anchor="Eq4" w:history="1">
        <w:r>
          <w:rPr>
            <w:color w:val="1F3864"/>
            <w:u w:val="single"/>
          </w:rPr>
          <w:t xml:space="preserve">equation (4)</w:t>
        </w:r>
      </w:hyperlink>
      <w:bookmarkEnd w:id="910"/>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1" w:name="Eq2txt911"/>
      <w:hyperlink w:anchor="Eq2" w:history="1">
        <w:r>
          <w:rPr>
            <w:color w:val="1F3864"/>
            <w:u w:val="single"/>
          </w:rPr>
          <w:t xml:space="preserve">equation (2)</w:t>
        </w:r>
      </w:hyperlink>
      <w:bookmarkEnd w:id="911"/>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12</w:t>
            </w:r>
          </w:p>
        </w:tc>
        <w:tc>
          <w:tcPr>
            <w:tcW w:w="700" w:type="dxa"/>
          </w:tcPr>
          <w:p>
            <w:pPr>
              <w:jc w:val="right"/>
              <w:spacing w:before="10" w:after="10"/>
            </w:pPr>
            <w:r/>
            <w:r>
              <w:rPr>
                <w:sz w:val="16"/>
              </w:rPr>
              <w:t>12.2%</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Canada, Kosovo, China</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12</w:t>
            </w:r>
          </w:p>
        </w:tc>
        <w:tc>
          <w:tcPr>
            <w:tcW w:w="700" w:type="dxa"/>
          </w:tcPr>
          <w:p>
            <w:pPr>
              <w:jc w:val="right"/>
              <w:spacing w:before="10" w:after="10"/>
            </w:pPr>
            <w:r/>
            <w:r>
              <w:rPr>
                <w:sz w:val="16"/>
              </w:rPr>
              <w:t>12.7%</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Canada, Kosovo, China</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12</w:t>
            </w:r>
          </w:p>
        </w:tc>
        <w:tc>
          <w:tcPr>
            <w:tcBorders>
              <w:bottom w:val="double" w:sz="4" w:space="0" w:color="auto"/>
            </w:tcBorders>
            <w:tcW w:w="700" w:type="dxa"/>
          </w:tcPr>
          <w:p>
            <w:pPr>
              <w:jc w:val="right"/>
              <w:spacing w:before="10" w:after="10"/>
            </w:pPr>
            <w:r/>
            <w:r>
              <w:rPr>
                <w:sz w:val="16"/>
              </w:rPr>
              <w:t>11.8%</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Canada, Kosovo, China</w:t>
            </w:r>
          </w:p>
        </w:tc>
      </w:tr>
    </w:tbl>
    <w:p>
      <w:pPr>
        <w:spacing w:before="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spacing w:before="0" w:after="0"/>
      </w:pPr>
      <w:r>
        <w:br w:type="page"/>
      </w:r>
    </w:p>
    <w:p>
      <w:pPr>
        <w:pStyle w:val="Heading1"/>
      </w:pPr>
      <w:r>
        <w:rPr>
          <w:rFonts w:ascii="Times New Roman" w:hAnsi="Times New Roman"/>
          <w:b/>
          <w:color w:val="2F5496"/>
          <w:sz w:val="28"/>
        </w:rPr>
        <w:t>Appendix F: Workload Classification</w:t>
      </w:r>
    </w:p>
    <w:p>
      <w:pPr>
        <w:spacing w:before="0" w:after="160"/>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