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v20  —  February 18, 2026  01:40</w:t>
      </w:r>
    </w:p>
    <w:p w14:paraId="5BC085E5" w14:textId="1BA1A087" w:rsidR="00E91FC1" w:rsidRDefault="00000000">
      <w:pPr>
        <w:spacing w:before="240" w:after="160" w:line="240" w:lineRule="auto"/>
        <w:jc w:val="both"/>
      </w:pPr>
      <w:r>
        <w:rPr>
          <w:b/>
        </w:rPr>
        <w:t>Abstract</w:t>
      </w:r>
      <w:r>
        <w:t>: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However, because hardware costs are uniform worldwide, the cross-country cost spread is narrow, implying that institutional quality and policy constraints become decisive for actual location decisions. For developing countries with abundant energy but narrow export baskets, exporting compute opens a</w:t>
      </w:r>
      <w:r w:rsidR="00380EC0">
        <w:t>n</w:t>
      </w:r>
      <w:r>
        <w:t xml:space="preserve"> entry point in</w:t>
      </w:r>
      <w:r w:rsidR="00FA7823">
        <w:t>to</w:t>
      </w:r>
      <w:r>
        <w:t xml:space="preserve"> the global economy, converting natural resource</w:t>
      </w:r>
      <w:r w:rsidR="002800E1">
        <w:t>s</w:t>
      </w:r>
      <w:r>
        <w:t xml:space="preserv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r>
        <w:t>compute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3158EA46" w:rsidR="00E91FC1" w:rsidRDefault="00965A67">
      <w:pPr>
        <w:spacing w:after="160"/>
        <w:jc w:val="both"/>
      </w:pPr>
      <w:r>
        <w:t>Demand for computational resources is driven by the expansion of artificial intelligence.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electricity consumption of France—a share projected to more than double by 2030 (</w:t>
      </w:r>
      <w:hyperlink w:anchor="IEA2025" w:history="1">
        <w:r w:rsidR="00E91FC1">
          <w:rPr>
            <w:color w:val="1F3864"/>
            <w:u w:val="single"/>
          </w:rPr>
          <w:t>IEA 2025</w:t>
        </w:r>
      </w:hyperlink>
      <w:r>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fldChar w:fldCharType="begin"/>
      </w:r>
      <w:r>
        <w:instrText>HYPERLINK \l "TurnerLee2025"</w:instrText>
      </w:r>
      <w:r>
        <w:fldChar w:fldCharType="separate"/>
      </w:r>
      <w:r>
        <w:rPr>
          <w:color w:val="1F3864"/>
          <w:u w:val="single"/>
        </w:rPr>
        <w:t>Turner Lee and West 2025</w:t>
      </w:r>
      <w:r>
        <w:fldChar w:fldCharType="end"/>
      </w:r>
      <w:bookmarkEnd w:id="1"/>
      <w:r>
        <w:t>). </w:t>
      </w:r>
      <w:r w:rsidR="0062682B">
        <w:t xml:space="preserve"/>
      </w:r>
      <w:r>
        <w:t/>
      </w:r>
    </w:p>
    <w:p w14:paraId="6EF14D78" w14:textId="77777777" w:rsidR="00E91FC1" w:rsidRDefault="00000000">
      <w:pPr>
        <w:spacing w:after="160"/>
        <w:jc w:val="both"/>
      </w:pPr>
      <w:r>
        <w:t>This surge in demand for computation creates a new type of export opportunity. This paper refers to converting cheap electricity into exportable compute services as FLOP</w:t>
      </w:r>
      <w:r>
        <w:rPr>
          <w:i/>
        </w:rPr>
        <w:t> exporting</w:t>
      </w:r>
      <w:r>
        <w:t>—the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 Cloud computing exports already exceed $9 billion annually, with the United States accounting for 87% of the global total (World Bank 2025).</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 examines compute governance and the geography of AI infrastructure (</w:t>
      </w:r>
      <w:hyperlink w:anchor="Sastry2024" w:history="1">
        <w:r w:rsidR="00E91FC1">
          <w:rPr>
            <w:color w:val="1F3864"/>
            <w:u w:val="single"/>
          </w:rPr>
          <w:t>Sastry, Heim, et al. 2024</w:t>
        </w:r>
      </w:hyperlink>
      <w:r>
        <w:t xml:space="preserve">, </w:t>
      </w:r>
      <w:hyperlink w:anchor="Lehdonvirta2024" w:history="1">
        <w:r w:rsidR="00E91FC1">
          <w:rPr>
            <w:color w:val="1F3864"/>
            <w:u w:val="single"/>
          </w:rPr>
          <w:t>Lehdonvirta, Wu, and Hawkins 2024</w:t>
        </w:r>
      </w:hyperlink>
      <w:r>
        <w:t xml:space="preserve">, </w:t>
      </w:r>
      <w:hyperlink w:anchor="Pilz2025" w:history="1">
        <w:r w:rsidR="00E91FC1">
          <w:rPr>
            <w:color w:val="1F3864"/>
            <w:u w:val="single"/>
          </w:rPr>
          <w:t>Pilz, Mahmood, and Heim 2025</w:t>
        </w:r>
      </w:hyperlink>
      <w:r>
        <w:t xml:space="preserve">),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w:t>
      </w:r>
      <w:r>
        <w:lastRenderedPageBreak/>
        <w:t>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The model introduces a complementary mechanism—comparative advantage in compute</w:t>
      </w:r>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Oltmanns, Krcmarik, and Gatti (2021)</w:t>
      </w:r>
      <w:r>
        <w:fldChar w:fldCharType="end"/>
      </w:r>
      <w:bookmarkEnd w:id="7"/>
      <w:r>
        <w:t xml:space="preserve"> model data center location as a function of electricity prices, </w:t>
      </w:r>
      <w:r>
        <w:lastRenderedPageBreak/>
        <w:t xml:space="preserve">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r w:rsidR="00E91FC1">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 project that AI data center power demand could reach 327 GW by 2030 and that domestic power shortages may push compute infrastructure abroad. The World Bank (2025) documents the resulting global compute divide: high-income countries hold 77% of colocation data center capacity and account for 87% of cloud computing exports (Stojkoski et al. 2024), but the report offers descriptive evidence without a formal framework linking production costs to trade patterns. On the industrial organization side, Biglaiser, Crémer, and Mantovani (2024) survey the economics of cloud markets—switching costs, egress fees, and platform competition among hyperscalers—but the supply-side question of where compute is produced and whether developing countries can become competitive exporters has not been addressed.</w:t>
      </w:r>
      <w:r>
        <w:fldChar w:fldCharType="end"/>
      </w:r>
      <w:bookmarkEnd w:id="11"/>
      <w:r>
        <w:t xml:space="preserve"/>
      </w:r>
    </w:p>
    <w:p w14:paraId="22E89945" w14:textId="77777777" w:rsidR="00E91FC1" w:rsidRDefault="00000000">
      <w:pPr>
        <w:pStyle w:val="Heading1"/>
      </w:pPr>
      <w:r>
        <w:rPr>
          <w:rFonts w:ascii="Times New Roman" w:hAnsi="Times New Roman"/>
          <w:color w:val="2F5496"/>
        </w:rPr>
        <w:t>3. Model Setup</w:t>
      </w:r>
    </w:p>
    <w:p w14:paraId="504CB845" w14:textId="04A40B99" w:rsidR="00E91FC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compute at scale takes place in data centers that house thousands of GPU-equipped servers. Consider </w:t>
      </w:r>
      <m:oMath>
        <m:r>
          <w:rPr>
            <w:rFonts w:ascii="Cambria Math" w:hAnsi="Cambria Math"/>
          </w:rPr>
          <m:t>N</m:t>
        </m:r>
      </m:oMath>
      <w:r>
        <w:t xml:space="preserve"> countries, each capable of producing compute </w:t>
      </w:r>
      <w:r>
        <w:lastRenderedPageBreak/>
        <w:t xml:space="preserve">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p>
    <w:p w14:paraId="1ABEC838" w14:textId="77777777" w:rsidR="00E91FC1" w:rsidRDefault="00000000">
      <w:pPr>
        <w:spacing w:after="160"/>
        <w:jc w:val="both"/>
      </w:pPr>
      <w:r>
        <w:t xml:space="preserve">Countries export goods intensive in their abundant factors (Ohlin 1933). For compute production, the relevant endowment is not electricity per se but the natural resources that generate it—hydropower reservoirs (Kyrgyzstan, Ethiopia, Georgia), oil and gas (Iran, </w:t>
      </w:r>
      <w:r>
        <w:lastRenderedPageBreak/>
        <w:t xml:space="preserve">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purchases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w:t>
      </w:r>
      <w:r>
        <w:lastRenderedPageBreak/>
        <w:t xml:space="preserve">institutions and reliable power, and falls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Hummels and Schaur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w:t>
      </w:r>
      <w:r>
        <w:lastRenderedPageBreak/>
        <w:t>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w:t>
      </w:r>
      <w:r>
        <w:lastRenderedPageBreak/>
        <w:t xml:space="preserve">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This section derives the formal properties of the capacity-constrained equilibrium defined in Section 3. Full derivations appear in Appendix B.</w:t>
      </w:r>
    </w:p>
    <w:p w14:paraId="21EB6620" w14:textId="77777777" w:rsidR="00E91FC1" w:rsidRDefault="00000000">
      <w:pPr>
        <w:spacing w:after="160"/>
        <w:jc w:val="both"/>
      </w:pPr>
      <w:r>
        <w:rPr>
          <w:b/>
        </w:rPr>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Intuitively, when cheap producers hit capacity limits, residual demand spills over to costlier suppliers, spreading market shares more evenly.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w:t>
      </w:r>
      <w:r>
        <w:lastRenderedPageBreak/>
        <w:t>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remaining countries. All prices are converted to USD/kWh at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w:t>
      </w:r>
      <w:r>
        <w:lastRenderedPageBreak/>
        <w:t xml:space="preserve">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Inter-country round-trip latency is measured using WonderNetwork’s global ping dataset (</w:t>
      </w:r>
      <w:bookmarkStart w:id="31" w:name="WonderNetwork2024txt"/>
      <w:r>
        <w:fldChar w:fldCharType="begin"/>
      </w:r>
      <w:r>
        <w:instrText>HYPERLINK \l "WonderNetwork2024"</w:instrText>
      </w:r>
      <w:r>
        <w:fldChar w:fldCharType="separate"/>
      </w:r>
      <w:r>
        <w:rPr>
          <w:color w:val="1F3864"/>
          <w:u w:val="single"/>
        </w:rPr>
        <w:t>WonderNetwork 2024</w:t>
      </w:r>
      <w:r>
        <w:fldChar w:fldCharType="end"/>
      </w:r>
      <w:bookmarkEnd w:id="3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Barroso, Hölzle,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Barroso, Hölzle,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Barroso, Hölzle, and Ranganathan 2018</w:t>
      </w:r>
      <w:r>
        <w:fldChar w:fldCharType="end"/>
      </w:r>
      <w:bookmarkEnd w:id="33"/>
      <w:r>
        <w:t>).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w:t>
      </w:r>
      <w:r>
        <w:lastRenderedPageBreak/>
        <w:t>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Canada (3%), India (2.9%), and Australia (2%)) account for 77% of global demand. MW capacity captures the scale of compute infrastructure more accurately than facility counts. Chinese data centers, though fewer in number (449 in </w:t>
      </w:r>
      <w:bookmarkStart w:id="37" w:name="Cloudscene2025txt"/>
      <w:r>
        <w:fldChar w:fldCharType="begin"/>
      </w:r>
      <w:r>
        <w:instrText>HYPERLINK \l "Cloudscene2025"</w:instrText>
      </w:r>
      <w:r>
        <w:fldChar w:fldCharType="separate"/>
      </w:r>
      <w:r>
        <w:rPr>
          <w:color w:val="1F3864"/>
          <w:u w:val="single"/>
        </w:rPr>
        <w:t>Cloudscene</w:t>
      </w:r>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lastRenderedPageBreak/>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56 non-ECA comparators), in the spirit of the multi-country Ricardian tests of </w:t>
      </w:r>
      <w:bookmarkStart w:id="40" w:name="CDK2012txt"/>
      <w:r>
        <w:fldChar w:fldCharType="begin"/>
      </w:r>
      <w:r>
        <w:instrText>HYPERLINK \l "CDK2012"</w:instrText>
      </w:r>
      <w:r>
        <w:fldChar w:fldCharType="separate"/>
      </w:r>
      <w:r>
        <w:rPr>
          <w:color w:val="1F3864"/>
          <w:u w:val="single"/>
        </w:rPr>
        <w:t>Costinot, Donaldson, and Komunjer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($1.42/hr) and Kyrgyzstan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($1.58/hr) and Greenland ($1.62/hr)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xml:space="preserve">). This adjustment is applied to 13 countries whose retail electricity prices fall below estimated LRMC. Hydropower producers (Kyrgyzstan, Canada, </w:t>
      </w:r>
      <w:r>
        <w:lastRenderedPageBreak/>
        <w:t>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the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lastRenderedPageBreak/>
        <w:t xml:space="preserve">Trade flows under capacity constraints. </w:t>
      </w:r>
      <w:r>
        <w:t xml:space="preserve">Weighting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 xml:space="preserve">Kyrgyzstan ($0.014/hr),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Doubling the sovereignty premium to 20% shifts 1 additional country to domestic training production. At 20%, nearly all countries produce training domestically, and the export market for training effectively disappears. Inference export revenue is more resilient to sovereignty premia because the latency advantage of proximity partially insulates regional hubs.</w:t>
      </w:r>
    </w:p>
    <w:p w14:paraId="6FD2319B" w14:textId="77777777" w:rsidR="00E91FC1"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and for </w:t>
      </w:r>
      <w:r>
        <w:lastRenderedPageBreak/>
        <w:t>France from Kosovo ($1.66/hr). The United Kingdom produces inference domestically ($1.66/hr). For China, the cheapest inference source is Kyrgyzstan ($1.63/hr),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World Bank (2025) frames this as the central policy choice: whether to build domestic compute capacity or secure affordable access to international cloud services, a trade-off the present model formalizes through the sovereignty premium and capacity constraints.</w:t>
      </w:r>
    </w:p>
    <w:p w14:paraId="57552A7E" w14:textId="272B7764" w:rsidR="00E91FC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w:t>
      </w:r>
      <w:r>
        <w:lastRenderedPageBreak/>
        <w:t xml:space="preserve">years, compared with 15–25 years for the building shell) means that hardware amortization dominates the per-GPU-hour cost, accounting for over 80 percent of the total.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39F7454A" w14:textId="77777777" w:rsidR="00E91FC1" w:rsidRDefault="00000000">
      <w:pPr>
        <w:spacing w:after="16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w:t>
      </w:r>
      <w:r>
        <w:lastRenderedPageBreak/>
        <w:t>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compute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w:t>
      </w:r>
      <w:r>
        <w:lastRenderedPageBreak/>
        <w:t>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providing buyers with incentives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t xml:space="preserve">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w:t>
      </w:r>
      <w:r>
        <w:lastRenderedPageBreak/>
        <w:t>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4995C155" w14:textId="77777777" w:rsidR="00E91FC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r>
        <w:fldChar w:fldCharType="begin"/>
      </w:r>
      <w:r>
        <w:instrText>HYPERLINK \l "ACR2012"</w:instrText>
      </w:r>
      <w:r>
        <w:fldChar w:fldCharType="separate"/>
      </w:r>
      <w:r>
        <w:rPr>
          <w:color w:val="1F3864"/>
          <w:u w:val="single"/>
        </w:rPr>
        <w:t>Arkolakis, Costinot, and Rodríguez-Clare 2012</w:t>
      </w:r>
      <w:r>
        <w:fldChar w:fldCharType="end"/>
      </w:r>
      <w:bookmarkEnd w:id="52"/>
      <w:r>
        <w:t xml:space="preserve">). The model generates a country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3"/>
      <w:r>
        <w:t>,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 xml:space="preserve">their energy resource </w:t>
      </w:r>
      <w:r>
        <w:lastRenderedPageBreak/>
        <w:t>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1613FCA5" w14:textId="77777777" w:rsidR="00E91FC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6"/>
    </w:p>
    <w:p w14:paraId="0F2B8498" w14:textId="77777777" w:rsidR="00E91FC1" w:rsidRDefault="00000000">
      <w:pPr>
        <w:spacing w:after="80" w:line="240" w:lineRule="exact"/>
        <w:ind w:left="720" w:hanging="720"/>
        <w:jc w:val="both"/>
      </w:pPr>
      <w:bookmarkEnd w:id="56"/>
      <w:r>
        <w:t xml:space="preserve">Biglaiser, G., J. Crémer, and A. Mantovani. (2024). “The Economics of the Cloud.” Toulouse School of Economics Working Paper No. 24-1520.</w:t>
      </w:r>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p w14:paraId="53F01D63" w14:textId="77777777" w:rsidR="00E91FC1" w:rsidRDefault="00000000">
      <w:pPr>
        <w:spacing w:after="80" w:line="240" w:lineRule="exact"/>
        <w:ind w:left="720" w:hanging="720"/>
        <w:jc w:val="both"/>
      </w:pPr>
      <w:bookmarkEnd w:id="86"/>
      <w:r>
        <w:t xml:space="preserve">Ohlin, B. (1933). Interregional and International Trade. Cambridge, MA: Harvard University Press.</w:t>
      </w:r>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p>
      <w:pPr>
        <w:spacing w:after="80" w:line="240" w:lineRule="exact"/>
        <w:ind w:left="720" w:hanging="720"/>
        <w:jc w:val="both"/>
      </w:pPr>
      <w:r>
        <w:t xml:space="preserve">Stojkoski, V., P. Coll-Ruiz, N. Maréchal, and C. Requier-Desjardins. (2024). “Trade in Cloud Computing and AI Services.” WTO Staff Working Paper ERSD-2024-03.</w:t>
      </w:r>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p>
      <w:pPr>
        <w:spacing w:after="80" w:line="240" w:lineRule="exact"/>
        <w:ind w:left="720" w:hanging="720"/>
        <w:jc w:val="both"/>
      </w:pPr>
      <w:r>
        <w:t xml:space="preserve">World Bank. (2025). Digital Progress and Trends Report 2025: Strengthening AI Foundations. Washington, DC: World Bank.</w:t>
      </w:r>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Each country is shaded by its all-in cost of one GPU-hour of training compute ($/GPU-hr),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8766 hr/yr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$1.36/hr</w:t>
            </w:r>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$0.15/hr</w:t>
            </w:r>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Latency degradation per ms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0.0008 per ms</w:t>
            </w:r>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Training share of compute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GPU-hr/yr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($/hr)</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$2.00/GPU-hr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70% steady-state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5AE0B" w14:textId="77777777" w:rsidR="005A61B8" w:rsidRDefault="005A61B8">
      <w:pPr>
        <w:spacing w:line="240" w:lineRule="auto"/>
      </w:pPr>
      <w:r>
        <w:separator/>
      </w:r>
    </w:p>
  </w:endnote>
  <w:endnote w:type="continuationSeparator" w:id="0">
    <w:p w14:paraId="59C307D9" w14:textId="77777777" w:rsidR="005A61B8" w:rsidRDefault="005A6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576C5" w14:textId="77777777" w:rsidR="005A61B8" w:rsidRDefault="005A61B8">
      <w:pPr>
        <w:spacing w:line="240" w:lineRule="auto"/>
      </w:pPr>
      <w:r>
        <w:separator/>
      </w:r>
    </w:p>
  </w:footnote>
  <w:footnote w:type="continuationSeparator" w:id="0">
    <w:p w14:paraId="4D838F5D" w14:textId="77777777" w:rsidR="005A61B8" w:rsidRDefault="005A61B8">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800E1"/>
    <w:rsid w:val="00291119"/>
    <w:rsid w:val="0029639D"/>
    <w:rsid w:val="002C7742"/>
    <w:rsid w:val="00326F90"/>
    <w:rsid w:val="00380EC0"/>
    <w:rsid w:val="0042002A"/>
    <w:rsid w:val="004975C0"/>
    <w:rsid w:val="004C0086"/>
    <w:rsid w:val="004F11AE"/>
    <w:rsid w:val="00514157"/>
    <w:rsid w:val="0053508E"/>
    <w:rsid w:val="005A61B8"/>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36DD1"/>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823"/>
    <w:rsid w:val="00FA7F01"/>
    <w:rsid w:val="00FB3E7C"/>
    <w:rsid w:val="00FB48E1"/>
    <w:rsid w:val="00FC693F"/>
    <w:rsid w:val="00FF4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40</Pages>
  <Words>11042</Words>
  <Characters>62943</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47</cp:revision>
  <dcterms:created xsi:type="dcterms:W3CDTF">2013-12-23T23:15:00Z</dcterms:created>
  <dcterms:modified xsi:type="dcterms:W3CDTF">2026-02-17T19:31:00Z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