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11, 2026  00:13</w:t>
      </w:r>
    </w:p>
    <w:p>
      <w:pPr>
        <w:spacing w:before="240" w:after="0" w:line="240" w:lineRule="auto"/>
        <w:ind w:firstLine="0" w:left="720" w:right="720"/>
        <w:jc w:val="both"/>
      </w:pPr>
      <w:r>
        <w:rPr>
          <w:b/>
        </w:rPr>
        <w:t>Abstract</w:t>
      </w:r>
      <w:r>
        <w:t>: Energy-rich developing countries could convert cheap electricity into high-value AI compute exports. This paper develops a trade model of compute services that distinguishes latency-insensitive training from latency-sensitive inference and incorporates a bilateral sovereignty premium. Calibration across 85 countries shows that several developing countries rank among the cheapest producers under cost-recovery pricing, but bilateral trust deficits sharply curtail developing-country exports. Because hardware dominates unit cost, the cross-country cost spread is only 12–20 percent, making compute the easiest sector for developing countries to enter on cost grounds and the most vulnerable to small policy-induced frictions. The binding constraint for FLOP exporting is not electricity cost, but the institutional credibility needed to overcome bilateral trust deficits.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trade cost determinant.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spacing w:before="0" w:after="160" w:line="360" w:lineRule="auto"/>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Heckscher–Ohlin: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line="360" w:lineRule="auto"/>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per year in implicit fiscal transfer. At hyperscale, such subsidies are fiscally unsustainable. The resulting cost-recovery ranking (column (2) of </w:t>
      </w:r>
      <w:hyperlink w:anchor="Table3" w:history="1">
        <w:r>
          <w:rPr>
            <w:color w:val="1F3864"/>
            <w:u w:val="single"/>
          </w:rPr>
          <w:t xml:space="preserve">Table 3</w:t>
        </w:r>
      </w:hyperlink>
      <w:r>
        <w:t>) shifts the top of the ranking toward hydropower-rich countries: Kyrgyzstan, Canada, Ethiopia, Kosovo, and Tajikistan. Iran drops from first to 24th. 40 countries change their trade regimes.</w:t>
      </w:r>
    </w:p>
    <w:p>
      <w:pPr>
        <w:spacing w:before="0" w:after="160" w:line="360" w:lineRule="auto"/>
        <w:ind w:firstLine="0"/>
        <w:jc w:val="both"/>
      </w:pPr>
      <w:r>
        <w:t>The cost-recovery adjustment reshapes the rankings: Turkmenistan drops 16 places, Tajikistan drops 7.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Brazil—countries with moderate electricity costs but strong regulatory frameworks and credible grid infrastructure—while the cheapest producers in our calibration (Kyrgyzstan, Tajikistan, Ethiopia) have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countries such as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0.2591).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1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fall between roughly 0.2% and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making developing-country entry easier. Countries combining cheap energy with adequate governance retain their cost advantage regardless of the particular parameter choice.</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that intensify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the same narrowness means that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such as non-sanctioned status, credible long-term power contracts, stable network connectivity, and a regulatory environment conducive for capital-intensive investment over a multi-decade horizon. The absence of these conditions shifts most countries toward domestic production at a nontrivial welfare cost. The welfare loss is small enough, however, that governments with legitimate data-sovereignty objectives may prefer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when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sharper tests of the model’s predictions and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pₗ*(d).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