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April 09, 2026  18:15</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2" w:name="WorldBank2025txt"/>
      <w:hyperlink w:anchor="WorldBank2025" w:history="1">
        <w:r>
          <w:rPr>
            <w:color w:val="1F3864"/>
            <w:u w:val="single"/>
          </w:rPr>
          <w:t xml:space="preserve">World Bank 2025</w:t>
        </w:r>
      </w:hyperlink>
      <w:bookmarkEnd w:id="252"/>
      <w:r>
        <w:t xml:space="preserve">). If Kyrgyzstan builds a 40 MW AI data center, it could generate annual revenue of $630–950 million at wholesale contract rates, equivalent to over 15% of Kyrgyzstan’s $3.8 billion in goods exports (</w:t>
      </w:r>
      <w:bookmarkStart w:id="258" w:name="WorldBank2024txt"/>
      <w:hyperlink w:anchor="WorldBank2024" w:history="1">
        <w:r>
          <w:rPr>
            <w:color w:val="1F3864"/>
            <w:u w:val="single"/>
          </w:rPr>
          <w:t xml:space="preserve">World Bank 2024</w:t>
        </w:r>
      </w:hyperlink>
      <w:bookmarkEnd w:id="258"/>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59" w:name="Hausmann2007txt"/>
      <w:hyperlink w:anchor="Hausmann2007" w:history="1">
        <w:r>
          <w:rPr>
            <w:color w:val="1F3864"/>
            <w:u w:val="single"/>
          </w:rPr>
          <w:t xml:space="preserve">Hausmann et al. (2007)</w:t>
        </w:r>
      </w:hyperlink>
      <w:bookmarkEnd w:id="259"/>
      <w:r>
        <w:t xml:space="preserve"> on export composition and growth, and to </w:t>
      </w:r>
      <w:bookmarkStart w:id="253" w:name="Limao2001txt"/>
      <w:hyperlink w:anchor="Limao2001" w:history="1">
        <w:r>
          <w:rPr>
            <w:color w:val="1F3864"/>
            <w:u w:val="single"/>
          </w:rPr>
          <w:t xml:space="preserve">Limão and Venables (2001)</w:t>
        </w:r>
      </w:hyperlink>
      <w:bookmarkEnd w:id="253"/>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4" w:name="Liu2023txt"/>
      <w:hyperlink w:anchor="Liu2023" w:history="1">
        <w:r>
          <w:rPr>
            <w:color w:val="1F3864"/>
            <w:u w:val="single"/>
          </w:rPr>
          <w:t xml:space="preserve">Liu et al. (2023)</w:t>
        </w:r>
      </w:hyperlink>
      <w:bookmarkEnd w:id="254"/>
      <w:r>
        <w:t xml:space="preserve"> study data center placement under renewable energy constraints. In international trade theory, </w:t>
      </w:r>
      <w:bookmarkStart w:id="260" w:name="Brainard1997txt"/>
      <w:hyperlink w:anchor="Brainard1997" w:history="1">
        <w:r>
          <w:rPr>
            <w:color w:val="1F3864"/>
            <w:u w:val="single"/>
          </w:rPr>
          <w:t xml:space="preserve">Brainard (1997)</w:t>
        </w:r>
      </w:hyperlink>
      <w:bookmarkEnd w:id="260"/>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5" w:name="Pilz2025txt"/>
      <w:hyperlink w:anchor="Pilz2025" w:history="1">
        <w:r>
          <w:rPr>
            <w:color w:val="1F3864"/>
            <w:u w:val="single"/>
          </w:rPr>
          <w:t xml:space="preserve">Pilz et al. (2025)</w:t>
        </w:r>
      </w:hyperlink>
      <w:bookmarkEnd w:id="255"/>
      <w:r>
        <w:t xml:space="preserve"> project that data center power demand could reach 327 GW by 2030. The </w:t>
      </w:r>
      <w:bookmarkStart w:id="261" w:name="WorldBank2025txt"/>
      <w:hyperlink w:anchor="WorldBank2025" w:history="1">
        <w:r>
          <w:rPr>
            <w:color w:val="1F3864"/>
            <w:u w:val="single"/>
          </w:rPr>
          <w:t xml:space="preserve">World Bank (2025)</w:t>
        </w:r>
      </w:hyperlink>
      <w:bookmarkEnd w:id="261"/>
      <w:r>
        <w:t xml:space="preserve"> documents the resulting divide,  high-income countries hold 77% of colocation capacity,  but without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6" w:name="Stojkoski2024txt"/>
      <w:hyperlink w:anchor="Stojkoski2024" w:history="1">
        <w:r>
          <w:rPr>
            <w:color w:val="1F3864"/>
            <w:u w:val="single"/>
          </w:rPr>
          <w:t xml:space="preserve">Stojkoski et al. (2024)</w:t>
        </w:r>
      </w:hyperlink>
      <w:bookmarkEnd w:id="256"/>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7" w:name="IMF2025txt"/>
      <w:hyperlink w:anchor="IMF2025" w:history="1">
        <w:r>
          <w:rPr>
            <w:color w:val="1F3864"/>
            <w:u w:val="single"/>
          </w:rPr>
          <w:t xml:space="preserve">IMF 2025</w:t>
        </w:r>
      </w:hyperlink>
      <w:bookmarkEnd w:id="247"/>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7" w:name="AykutEtAl2026txt"/>
      <w:hyperlink w:anchor="AykutEtAl2026" w:history="1">
        <w:r>
          <w:rPr>
            <w:color w:val="1F3864"/>
            <w:u w:val="single"/>
          </w:rPr>
          <w:t xml:space="preserve">Aykut et al. 2026</w:t>
        </w:r>
      </w:hyperlink>
      <w:bookmarkEnd w:id="257"/>
      <w:r>
        <w:t xml:space="preserve">). Moreover, most announced investment flows between geopolitical allies, consistent with the bilateral sovereignty premium rather than cost alone determining where capacity is built (</w:t>
      </w:r>
      <w:bookmarkStart w:id="248" w:name="StraubEtAl2026txt"/>
      <w:hyperlink w:anchor="StraubEtAl2026" w:history="1">
        <w:r>
          <w:rPr>
            <w:color w:val="1F3864"/>
            <w:u w:val="single"/>
          </w:rPr>
          <w:t xml:space="preserve">Straub et al. 2026</w:t>
        </w:r>
      </w:hyperlink>
      <w:bookmarkEnd w:id="248"/>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8" w:name="Chandramowli2024txt"/>
      <w:hyperlink w:anchor="Chandramowli2024" w:history="1">
        <w:r>
          <w:rPr>
            <w:color w:val="1F3864"/>
            <w:u w:val="single"/>
          </w:rPr>
          <w:t xml:space="preserve">Chandramowli et al. 2024</w:t>
        </w:r>
      </w:hyperlink>
      <w:bookmarkEnd w:id="228"/>
      <w:r>
        <w:t xml:space="preserve">), and AI data-center expansion alone could increase retail prices by 8–9 percent by 2030 (</w:t>
      </w:r>
      <w:bookmarkStart w:id="250" w:name="IMF2025txt"/>
      <w:hyperlink w:anchor="IMF2025" w:history="1">
        <w:r>
          <w:rPr>
            <w:color w:val="1F3864"/>
            <w:u w:val="single"/>
          </w:rPr>
          <w:t xml:space="preserve">IMF 2025</w:t>
        </w:r>
      </w:hyperlink>
      <w:bookmarkEnd w:id="250"/>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1" w:name="KatzEtAl2025txt"/>
      <w:hyperlink w:anchor="KatzEtAl2025" w:history="1">
        <w:r>
          <w:rPr>
            <w:color w:val="1F3864"/>
            <w:u w:val="single"/>
          </w:rPr>
          <w:t xml:space="preserve">Katz et al. 2025</w:t>
        </w:r>
      </w:hyperlink>
      <w:bookmarkEnd w:id="251"/>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5"/>
    </w:p>
    <w:p>
      <w:pPr>
        <w:spacing w:before="0" w:after="80" w:line="240" w:lineRule="exact"/>
        <w:ind w:hanging="720" w:left="720"/>
        <w:jc w:val="both"/>
      </w:pPr>
      <w:bookmarkStart w:id="526"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6"/>
    </w:p>
    <w:p>
      <w:pPr>
        <w:spacing w:before="0" w:after="80" w:line="240" w:lineRule="exact"/>
        <w:ind w:hanging="720" w:left="720"/>
        <w:jc w:val="both"/>
      </w:pPr>
      <w:bookmarkStart w:id="527" w:name="IEA2025"/>
      <w:hyperlink w:anchor="IEA2025txt" w:history="1">
        <w:r>
          <w:rPr>
            <w:color w:val="1F3864"/>
            <w:u w:val="single"/>
          </w:rPr>
          <w:t xml:space="preserve">IEA. (2025). </w:t>
        </w:r>
      </w:hyperlink>
      <w:r>
        <w:t>“Energy Demand from AI.” Published online at iea.org.</w:t>
      </w:r>
      <w:bookmarkEnd w:id="527"/>
    </w:p>
    <w:p>
      <w:pPr>
        <w:spacing w:before="0" w:after="80" w:line="240" w:lineRule="exact"/>
        <w:ind w:hanging="720" w:left="720"/>
        <w:jc w:val="both"/>
      </w:pPr>
      <w:bookmarkStart w:id="528"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8"/>
    </w:p>
    <w:p>
      <w:pPr>
        <w:spacing w:before="0" w:after="80" w:line="240" w:lineRule="exact"/>
        <w:ind w:hanging="720" w:left="720"/>
        <w:jc w:val="both"/>
      </w:pPr>
      <w:bookmarkStart w:id="529"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29"/>
    </w:p>
    <w:p>
      <w:pPr>
        <w:spacing w:before="0" w:after="80" w:line="240" w:lineRule="exact"/>
        <w:ind w:hanging="720" w:left="720"/>
        <w:jc w:val="both"/>
      </w:pPr>
      <w:bookmarkStart w:id="530"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0"/>
    </w:p>
    <w:p>
      <w:pPr>
        <w:spacing w:before="0" w:after="80" w:line="240" w:lineRule="exact"/>
        <w:ind w:hanging="720" w:left="720"/>
        <w:jc w:val="both"/>
      </w:pPr>
      <w:bookmarkStart w:id="531"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1"/>
    </w:p>
    <w:p>
      <w:pPr>
        <w:spacing w:before="0" w:after="80" w:line="240" w:lineRule="exact"/>
        <w:ind w:hanging="720" w:left="720"/>
        <w:jc w:val="both"/>
      </w:pPr>
      <w:bookmarkStart w:id="532"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2"/>
    </w:p>
    <w:p>
      <w:pPr>
        <w:spacing w:before="0" w:after="80" w:line="240" w:lineRule="exact"/>
        <w:ind w:hanging="720" w:left="720"/>
        <w:jc w:val="both"/>
      </w:pPr>
      <w:bookmarkStart w:id="533"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3"/>
    </w:p>
    <w:p>
      <w:pPr>
        <w:spacing w:before="0" w:after="80" w:line="240" w:lineRule="exact"/>
        <w:ind w:hanging="720" w:left="720"/>
        <w:jc w:val="both"/>
      </w:pPr>
      <w:bookmarkStart w:id="534"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4"/>
    </w:p>
    <w:p>
      <w:pPr>
        <w:spacing w:before="0" w:after="80" w:line="240" w:lineRule="exact"/>
        <w:ind w:hanging="720" w:left="720"/>
        <w:jc w:val="both"/>
      </w:pPr>
      <w:bookmarkStart w:id="535"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5"/>
    </w:p>
    <w:p>
      <w:pPr>
        <w:spacing w:before="0" w:after="80" w:line="240" w:lineRule="exact"/>
        <w:ind w:hanging="720" w:left="720"/>
        <w:jc w:val="both"/>
      </w:pPr>
      <w:bookmarkStart w:id="536" w:name="NVIDIA2024"/>
      <w:r>
        <w:rPr>
          <w:color w:val="1F3864"/>
          <w:u w:val="single"/>
        </w:rPr>
        <w:t xml:space="preserve">NVIDIA. </w:t>
      </w:r>
      <w:r>
        <w:t xml:space="preserve">(2024). </w:t>
      </w:r>
      <w:r>
        <w:rPr>
          <w:i/>
        </w:rPr>
        <w:t>NVIDIA H100 Tensor Core GPU Datasheet</w:t>
      </w:r>
      <w:r>
        <w:t>. nvidia.com.</w:t>
      </w:r>
      <w:bookmarkEnd w:id="536"/>
    </w:p>
    <w:p>
      <w:pPr>
        <w:spacing w:before="0" w:after="80" w:line="240" w:lineRule="exact"/>
        <w:ind w:hanging="720" w:left="720"/>
        <w:jc w:val="both"/>
      </w:pPr>
      <w:bookmarkStart w:id="537"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7"/>
    </w:p>
    <w:p>
      <w:pPr>
        <w:spacing w:before="0" w:after="80" w:line="240" w:lineRule="exact"/>
        <w:ind w:hanging="720" w:left="720"/>
        <w:jc w:val="both"/>
      </w:pPr>
      <w:bookmarkStart w:id="538"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8"/>
    </w:p>
    <w:p>
      <w:pPr>
        <w:spacing w:before="0" w:after="80" w:line="240" w:lineRule="exact"/>
        <w:ind w:hanging="720" w:left="720"/>
        <w:jc w:val="both"/>
      </w:pPr>
      <w:bookmarkStart w:id="539" w:name="Sastry2024"/>
      <w:hyperlink w:anchor="Sastry2024txt" w:history="1">
        <w:r>
          <w:rPr>
            <w:color w:val="1F3864"/>
            <w:u w:val="single"/>
          </w:rPr>
          <w:t xml:space="preserve">Sastry, G., L. Heim, et al. (2024). </w:t>
        </w:r>
      </w:hyperlink>
      <w:r>
        <w:t>“Computing Power and the Governance of Artificial Intelligence.” arXiv:2402.08797.</w:t>
      </w:r>
      <w:bookmarkEnd w:id="539"/>
    </w:p>
    <w:p>
      <w:pPr>
        <w:spacing w:before="0" w:after="80" w:line="240" w:lineRule="exact"/>
        <w:ind w:hanging="720" w:left="720"/>
        <w:jc w:val="both"/>
      </w:pPr>
      <w:bookmarkStart w:id="540"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0"/>
    </w:p>
    <w:p>
      <w:pPr>
        <w:spacing w:before="0" w:after="80" w:line="240" w:lineRule="exact"/>
        <w:ind w:hanging="720" w:left="720"/>
        <w:jc w:val="both"/>
      </w:pPr>
      <w:bookmarkStart w:id="541"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1"/>
    </w:p>
    <w:p>
      <w:pPr>
        <w:spacing w:before="0" w:after="80" w:line="240" w:lineRule="exact"/>
        <w:ind w:hanging="720" w:left="720"/>
        <w:jc w:val="both"/>
      </w:pPr>
      <w:bookmarkStart w:id="542"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2"/>
    </w:p>
    <w:p>
      <w:pPr>
        <w:spacing w:before="0" w:after="80" w:line="240" w:lineRule="exact"/>
        <w:ind w:hanging="720" w:left="720"/>
        <w:jc w:val="both"/>
      </w:pPr>
      <w:bookmarkStart w:id="543"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BD2020txt"/>
      <w:hyperlink w:anchor="ABD2020" w:history="1">
        <w:r>
          <w:rPr>
            <w:color w:val="1F3864"/>
            <w:u w:val="single"/>
          </w:rPr>
          <w:t xml:space="preserve">ABD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j with positive compute demand such that </w:t>
      </w:r>
      <m:oMath>
        <m:sSub>
          <m:sSubPr/>
          <m:e>
            <m:r>
              <m:rPr>
                <m:sty m:val="i"/>
              </m:rPr>
              <w:rPr>
                <w:rFonts w:ascii="Cambria Math" w:hAnsi="Cambria Math"/>
              </w:rPr>
              <m:t xml:space="preserve">d</m:t>
            </m:r>
          </m:e>
          <m:sub>
            <m:r>
              <m:rPr>
                <m:sty m:val="i"/>
              </m:rPr>
              <w:rPr>
                <w:rFonts w:ascii="Cambria Math" w:hAnsi="Cambria Math"/>
              </w:rPr>
              <m:t xml:space="preserve">ij</m:t>
            </m:r>
          </m:sub>
        </m:sSub>
        <m:r>
          <m:rPr>
            <m:sty m:val="p"/>
          </m:rPr>
          <w:rPr>
            <w:rFonts w:ascii="Cambria Math" w:hAnsi="Cambria Math"/>
          </w:rPr>
          <m:t xml:space="preserve"> &lt; </m:t>
        </m:r>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A hypothetical country with the globally lowest production cost but round-trip latency exceeding </w:t>
      </w:r>
      <m:oMath>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