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v25  —  February 23, 2026  20:52</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bilateral sovereignty premium captures governments’ preference for domestic data processing, varying with geopolitical alignment, regulatory compatibility, and sanctions. Calibration across 85 countries shows that energy-abundant economies have a comparative advantage in training compute, while regional inference hubs form around major demand centers. Because hardware costs are globally uniform, cross-country cost differences are small, making production efficiency, bilateral trade frictions,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4" w:name="EpochAI2024txt"/>
      <w:hyperlink w:anchor="EpochAI2024" w:history="1">
        <w:r>
          <w:rPr>
            <w:color w:val="1F3864"/>
            <w:u w:val="single"/>
          </w:rPr>
          <w:t xml:space="preserve">Epoch AI 2024</w:t>
        </w:r>
      </w:hyperlink>
      <w:bookmarkEnd w:id="234"/>
      <w:r>
        <w:t xml:space="preserve">). Data centers accounted for approximately 1.5% of global electricity demand in 2024—more than the electricity consumption of France—a share projected to more than double by 2030 (</w:t>
      </w:r>
      <w:bookmarkStart w:id="245" w:name="IEA2025txt"/>
      <w:hyperlink w:anchor="IEA2025" w:history="1">
        <w:r>
          <w:rPr>
            <w:color w:val="1F3864"/>
            <w:u w:val="single"/>
          </w:rPr>
          <w:t xml:space="preserve">IEA 2025</w:t>
        </w:r>
      </w:hyperlink>
      <w:bookmarkEnd w:id="245"/>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5" w:name="WorldBank2024txt"/>
      <w:hyperlink w:anchor="WorldBank2024" w:history="1">
        <w:r>
          <w:rPr>
            <w:color w:val="1F3864"/>
            <w:u w:val="single"/>
          </w:rPr>
          <w:t xml:space="preserve">World Bank 2024</w:t>
        </w:r>
      </w:hyperlink>
      <w:bookmarkEnd w:id="235"/>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36" w:name="Sastry2024txt"/>
      <w:hyperlink w:anchor="Sastry2024" w:history="1">
        <w:r>
          <w:rPr>
            <w:color w:val="1F3864"/>
            <w:u w:val="single"/>
          </w:rPr>
          <w:t xml:space="preserve">Sastry et al. 2024</w:t>
        </w:r>
      </w:hyperlink>
      <w:bookmarkEnd w:id="236"/>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37" w:name="Pilz2025txt"/>
      <w:hyperlink w:anchor="Pilz2025" w:history="1">
        <w:r>
          <w:rPr>
            <w:color w:val="1F3864"/>
            <w:u w:val="single"/>
          </w:rPr>
          <w:t xml:space="preserve">Pilz et al. 2025</w:t>
        </w:r>
      </w:hyperlink>
      <w:bookmarkEnd w:id="237"/>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Some energy-abundant economies with weak governance fall in the rankings, but countries that combine cheap energy with adequate institutions remain competitive. Durable comparative advantage requires credible production efficiency alongside low energy costs, while market access depends on bilateral trust and regulatory alignment.</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Section 7 examines robustness and extensions. Section 8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46" w:name="Hausmann2007txt"/>
      <w:hyperlink w:anchor="Hausmann2007" w:history="1">
        <w:r>
          <w:rPr>
            <w:color w:val="1F3864"/>
            <w:u w:val="single"/>
          </w:rPr>
          <w:t xml:space="preserve">Hausmann et al. (2007)</w:t>
        </w:r>
      </w:hyperlink>
      <w:bookmarkEnd w:id="246"/>
      <w:r>
        <w:t xml:space="preserve">, who show that what a country exports matters for growth. </w:t>
      </w:r>
      <w:bookmarkStart w:id="238" w:name="Limao2001txt"/>
      <w:hyperlink w:anchor="Limao2001" w:history="1">
        <w:r>
          <w:rPr>
            <w:color w:val="1F3864"/>
            <w:u w:val="single"/>
          </w:rPr>
          <w:t xml:space="preserve">Limão and Venables (2001)</w:t>
        </w:r>
      </w:hyperlink>
      <w:bookmarkEnd w:id="238"/>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47" w:name="Liu2023txt"/>
      <w:hyperlink w:anchor="Liu2023" w:history="1">
        <w:r>
          <w:rPr>
            <w:color w:val="1F3864"/>
            <w:u w:val="single"/>
          </w:rPr>
          <w:t xml:space="preserve">Liu et al. (2023)</w:t>
        </w:r>
      </w:hyperlink>
      <w:bookmarkEnd w:id="247"/>
      <w:r>
        <w:t xml:space="preserve"> study data center placement under renewable energy constraints. These studies focus on where firms should build data centers. In international trade theory, </w:t>
      </w:r>
      <w:bookmarkStart w:id="250" w:name="Brainard1997txt"/>
      <w:hyperlink w:anchor="Brainard1997" w:history="1">
        <w:r>
          <w:rPr>
            <w:color w:val="1F3864"/>
            <w:u w:val="single"/>
          </w:rPr>
          <w:t xml:space="preserve">Brainard (1997)</w:t>
        </w:r>
      </w:hyperlink>
      <w:bookmarkEnd w:id="250"/>
      <w:r>
        <w:t xml:space="preserve"> formalizes the proximity-concentration trade-off between serving a market locally and concentrating production abroad, and </w:t>
      </w:r>
      <w:bookmarkStart w:id="239" w:name="HMY2004txt"/>
      <w:hyperlink w:anchor="HMY2004" w:history="1">
        <w:r>
          <w:rPr>
            <w:color w:val="1F3864"/>
            <w:u w:val="single"/>
          </w:rPr>
          <w:t xml:space="preserve">Helpman et al. (2004)</w:t>
        </w:r>
      </w:hyperlink>
      <w:bookmarkEnd w:id="239"/>
      <w:r>
        <w:t xml:space="preserve"> extend this to heterogeneous firms choosing between exporting and FDI.</w:t>
      </w:r>
    </w:p>
    <w:p>
      <w:pPr>
        <w:spacing w:before="0" w:after="160"/>
        <w:ind w:firstLine="0"/>
        <w:jc w:val="both"/>
      </w:pPr>
      <w:r>
        <w:t xml:space="preserve">On the governance side, </w:t>
      </w:r>
      <w:bookmarkStart w:id="240" w:name="Sastry2024txt"/>
      <w:hyperlink w:anchor="Sastry2024" w:history="1">
        <w:r>
          <w:rPr>
            <w:color w:val="1F3864"/>
            <w:u w:val="single"/>
          </w:rPr>
          <w:t xml:space="preserve">Sastry et al. (2024)</w:t>
        </w:r>
      </w:hyperlink>
      <w:bookmarkEnd w:id="240"/>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1" w:name="Pilz2025txt"/>
      <w:hyperlink w:anchor="Pilz2025" w:history="1">
        <w:r>
          <w:rPr>
            <w:color w:val="1F3864"/>
            <w:u w:val="single"/>
          </w:rPr>
          <w:t xml:space="preserve">Pilz et al. (2025)</w:t>
        </w:r>
      </w:hyperlink>
      <w:bookmarkEnd w:id="251"/>
      <w:r>
        <w:t xml:space="preserve"> project that AI data center power demand could reach 327 GW by 2030 and that domestic power shortages may push compute infrastructure abroad. The </w:t>
      </w:r>
      <w:bookmarkStart w:id="252" w:name="WorldBank2025txt"/>
      <w:hyperlink w:anchor="WorldBank2025" w:history="1">
        <w:r>
          <w:rPr>
            <w:color w:val="1F3864"/>
            <w:u w:val="single"/>
          </w:rPr>
          <w:t xml:space="preserve">World Bank (2025)</w:t>
        </w:r>
      </w:hyperlink>
      <w:bookmarkEnd w:id="252"/>
      <w:r>
        <w:t xml:space="preserve"> documents the resulting global compute divide: high-income countries hold 77% of colocation data center capacity and account for 87% of cloud computing exports (</w:t>
      </w:r>
      <w:bookmarkStart w:id="248" w:name="Stojkoski2024txt"/>
      <w:hyperlink w:anchor="Stojkoski2024" w:history="1">
        <w:r>
          <w:rPr>
            <w:color w:val="1F3864"/>
            <w:u w:val="single"/>
          </w:rPr>
          <w:t xml:space="preserve">Stojkoski et al. 2024</w:t>
        </w:r>
      </w:hyperlink>
      <w:bookmarkEnd w:id="248"/>
      <w:r>
        <w:t xml:space="preserve">), but the report offers descriptive evidence without a formal framework linking production costs to trade patterns. On the industrial organization side, </w:t>
      </w:r>
      <w:bookmarkStart w:id="241" w:name="Biglaiser2024txt"/>
      <w:hyperlink w:anchor="Biglaiser2024" w:history="1">
        <w:r>
          <w:rPr>
            <w:color w:val="1F3864"/>
            <w:u w:val="single"/>
          </w:rPr>
          <w:t xml:space="preserve">Biglaiser et al. (2024)</w:t>
        </w:r>
      </w:hyperlink>
      <w:bookmarkEnd w:id="241"/>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w:t>
      </w:r>
    </w:p>
    <w:p>
      <w:pPr>
        <w:pStyle w:val="Heading1"/>
      </w:pPr>
      <w:r>
        <w:rPr>
          <w:rFonts w:ascii="Times New Roman" w:hAnsi="Times New Roman"/>
          <w:b/>
          <w:color w:val="2F5496"/>
          <w:sz w:val="28"/>
        </w:rPr>
        <w:t>3. Model Setup</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proportional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three observables: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The calibration of these coefficients is described in Section 6.1.</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It is a weighted geometric mean of governance quality and grid reliability: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w:t>
      </w:r>
      <w:bookmarkStart w:id="211" w:name="WorldBank2024txt"/>
      <w:hyperlink w:anchor="WorldBank2024" w:history="1">
        <w:r>
          <w:rPr>
            <w:color w:val="1F3864"/>
            <w:u w:val="single"/>
          </w:rPr>
          <w:t xml:space="preserve">World Bank</w:t>
        </w:r>
      </w:hyperlink>
      <w:bookmarkEnd w:id="211"/>
      <w:r>
        <w:t xml:space="preserve"> Rule of Law percentile (rescaled to [0, 1]), </w:t>
      </w:r>
      <m:oMath>
        <m:r>
          <m:rPr>
            <m:sty m:val="i"/>
          </m:rPr>
          <w:rPr>
            <w:rFonts w:ascii="Cambria Math" w:hAnsi="Cambria Math"/>
          </w:rPr>
          <m:t xml:space="preserve">R</m:t>
        </m:r>
      </m:oMath>
      <w:r>
        <w:t xml:space="preserve"> is the inverse of hours without electricity per firm per year (</w:t>
      </w:r>
      <w:bookmarkStart w:id="212" w:name="WorldBank2024txt"/>
      <w:hyperlink w:anchor="WorldBank2024" w:history="1">
        <w:r>
          <w:rPr>
            <w:color w:val="1F3864"/>
            <w:u w:val="single"/>
          </w:rPr>
          <w:t xml:space="preserve">World Bank</w:t>
        </w:r>
      </w:hyperlink>
      <w:bookmarkEnd w:id="212"/>
      <w:r>
        <w:t xml:space="preserve"> Enterprise Surveys, also rescaled to [0, 1]), and </w:t>
      </w:r>
      <m:oMath>
        <m:r>
          <m:rPr>
            <m:sty m:val="i"/>
          </m:rPr>
          <w:rPr>
            <w:rFonts w:ascii="Cambria Math" w:hAnsi="Cambria Math"/>
          </w:rPr>
          <m:t xml:space="preserve">ω</m:t>
        </m:r>
        <m:r>
          <m:rPr>
            <m:sty m:val="p"/>
          </m:rPr>
          <w:rPr>
            <w:rFonts w:ascii="Cambria Math" w:hAnsi="Cambria Math"/>
          </w:rPr>
          <m:t xml:space="preserve"> = 0.85</m:t>
        </m:r>
      </m:oMath>
      <w:r>
        <w:t xml:space="preserve"> reflects the enclave character of data center operations.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xml:space="preserve">) and three possible statuses (export, domestic production, import), there are nine potential regime combinations. In equilibrium, only five are realized.(i)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 By Proposition 4, every training exporter also exports inference within its latency neighborhood.</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42" w:name="Eurostat2025txt"/>
      <w:hyperlink w:anchor="Eurostat2025" w:history="1">
        <w:r>
          <w:rPr>
            <w:color w:val="1F3864"/>
            <w:u w:val="single"/>
          </w:rPr>
          <w:t xml:space="preserve">Eurostat 2025</w:t>
        </w:r>
      </w:hyperlink>
      <w:bookmarkEnd w:id="242"/>
      <w:r>
        <w:t xml:space="preserve">). For non-European countries, the prices are obtained from national regulator tariff sheets and secondary sources, including the U.S. Energy Information Administration (</w:t>
      </w:r>
      <w:bookmarkStart w:id="249" w:name="EIA2025txt"/>
      <w:hyperlink w:anchor="EIA2025" w:history="1">
        <w:r>
          <w:rPr>
            <w:color w:val="1F3864"/>
            <w:u w:val="single"/>
          </w:rPr>
          <w:t xml:space="preserve">EIA 2025</w:t>
        </w:r>
      </w:hyperlink>
      <w:bookmarkEnd w:id="249"/>
      <w:r>
        <w:t xml:space="preserve">) for the United States, KEPCO for South Korea, national utility tariffs for Central Asian countries, and </w:t>
      </w:r>
      <w:bookmarkStart w:id="213" w:name="GlobalPetrolPrices2025txt"/>
      <w:hyperlink w:anchor="GlobalPetrolPrices2025" w:history="1">
        <w:r>
          <w:rPr>
            <w:color w:val="1F3864"/>
            <w:u w:val="single"/>
          </w:rPr>
          <w:t xml:space="preserve">GlobalPetrolPrices (2025)</w:t>
        </w:r>
      </w:hyperlink>
      <w:bookmarkEnd w:id="213"/>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4" w:name="Hersbach2020txt"/>
      <w:hyperlink w:anchor="Hersbach2020" w:history="1">
        <w:r>
          <w:rPr>
            <w:color w:val="1F3864"/>
            <w:u w:val="single"/>
          </w:rPr>
          <w:t xml:space="preserve">Hersbach et al. 2020</w:t>
        </w:r>
      </w:hyperlink>
      <w:bookmarkEnd w:id="214"/>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5" w:name="TurnerTownsend2025txt"/>
      <w:hyperlink w:anchor="TurnerTownsend2025" w:history="1">
        <w:r>
          <w:rPr>
            <w:color w:val="1F3864"/>
            <w:u w:val="single"/>
          </w:rPr>
          <w:t xml:space="preserve">Turner &amp; Townsend 2025</w:t>
        </w:r>
      </w:hyperlink>
      <w:bookmarkEnd w:id="215"/>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6" w:name="WonderNetwork2024txt"/>
      <w:hyperlink w:anchor="WonderNetwork2024" w:history="1">
        <w:r>
          <w:rPr>
            <w:color w:val="1F3864"/>
            <w:u w:val="single"/>
          </w:rPr>
          <w:t xml:space="preserve">WonderNetwork 2024</w:t>
        </w:r>
      </w:hyperlink>
      <w:bookmarkEnd w:id="216"/>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 For smaller markets, capacity is estimated from facility counts (</w:t>
      </w:r>
      <w:bookmarkStart w:id="217" w:name="Cloudscene2025txt"/>
      <w:hyperlink w:anchor="Cloudscene2025" w:history="1">
        <w:r>
          <w:rPr>
            <w:color w:val="1F3864"/>
            <w:u w:val="single"/>
          </w:rPr>
          <w:t xml:space="preserve">Cloudscene 2025</w:t>
        </w:r>
      </w:hyperlink>
      <w:bookmarkEnd w:id="217"/>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8" w:name="UptimeInstitute2024txt"/>
      <w:hyperlink w:anchor="UptimeInstitute2024" w:history="1">
        <w:r>
          <w:rPr>
            <w:color w:val="1F3864"/>
            <w:u w:val="single"/>
          </w:rPr>
          <w:t xml:space="preserve">Uptime Institute 2024</w:t>
        </w:r>
      </w:hyperlink>
      <w:bookmarkEnd w:id="218"/>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9" w:name="Liu2023txt"/>
      <w:hyperlink w:anchor="Liu2023" w:history="1">
        <w:r>
          <w:rPr>
            <w:color w:val="1F3864"/>
            <w:u w:val="single"/>
          </w:rPr>
          <w:t xml:space="preserve">Liu et al. 2023</w:t>
        </w:r>
      </w:hyperlink>
      <w:bookmarkEnd w:id="219"/>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0" w:name="UptimeInstitute2024txt"/>
      <w:hyperlink w:anchor="UptimeInstitute2024" w:history="1">
        <w:r>
          <w:rPr>
            <w:color w:val="1F3864"/>
            <w:u w:val="single"/>
          </w:rPr>
          <w:t xml:space="preserve">Uptime Institute 2024</w:t>
        </w:r>
      </w:hyperlink>
      <w:bookmarkEnd w:id="220"/>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1" w:name="Barroso2018txt"/>
      <w:hyperlink w:anchor="Barroso2018" w:history="1">
        <w:r>
          <w:rPr>
            <w:color w:val="1F3864"/>
            <w:u w:val="single"/>
          </w:rPr>
          <w:t xml:space="preserve">Barroso et al. 2018</w:t>
        </w:r>
      </w:hyperlink>
      <w:bookmarkEnd w:id="221"/>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2" w:name="Barroso2018txt"/>
      <w:hyperlink w:anchor="Barroso2018" w:history="1">
        <w:r>
          <w:rPr>
            <w:color w:val="1F3864"/>
            <w:u w:val="single"/>
          </w:rPr>
          <w:t xml:space="preserve">Barroso et al. 2018</w:t>
        </w:r>
      </w:hyperlink>
      <w:bookmarkEnd w:id="222"/>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GPU upgrades. </w:t>
      </w:r>
      <w:r>
        <w:t>The calibration uses the NVIDIA H100, but successor GPUs (B200, shipping 2025) deliver roughly four times the training throughput at about 1kW. Higher power draw widens the absolute electricity cost gap across countries, modestly strengthening developing-country comparative advantage. Countries operating older-generation GPU-hours must discount to compete with competitors using newer hardware, potentially eroding their cost advantage. Our qualitative findings are therefore robust to GPU generation choices.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3" w:name="Deloitte2020txt"/>
      <w:hyperlink w:anchor="Deloitte2020" w:history="1">
        <w:r>
          <w:rPr>
            <w:color w:val="1F3864"/>
            <w:u w:val="single"/>
          </w:rPr>
          <w:t xml:space="preserve">Deloitte (2020)</w:t>
        </w:r>
      </w:hyperlink>
      <w:bookmarkEnd w:id="223"/>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as specified in </w:t>
      </w:r>
      <w:bookmarkStart w:id="902" w:name="Eq2txt902"/>
      <w:hyperlink w:anchor="Eq2" w:history="1">
        <w:r>
          <w:rPr>
            <w:color w:val="1F3864"/>
            <w:u w:val="single"/>
          </w:rPr>
          <w:t xml:space="preserve">equation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 </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4" w:name="Deloitte2025txt"/>
      <w:hyperlink w:anchor="Deloitte2025" w:history="1">
        <w:r>
          <w:rPr>
            <w:color w:val="1F3864"/>
            <w:u w:val="single"/>
          </w:rPr>
          <w:t xml:space="preserve">Deloitte 2025</w:t>
        </w:r>
      </w:hyperlink>
      <w:bookmarkEnd w:id="224"/>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from </w:t>
      </w:r>
      <w:bookmarkStart w:id="903" w:name="Eq3txt903"/>
      <w:hyperlink w:anchor="Eq3" w:history="1">
        <w:r>
          <w:rPr>
            <w:color w:val="1F3864"/>
            <w:u w:val="single"/>
          </w:rPr>
          <w:t xml:space="preserve">equation (3)</w:t>
        </w:r>
      </w:hyperlink>
      <w:bookmarkEnd w:id="903"/>
      <w:r>
        <w:t xml:space="preserve"> is a weighted geometric mean of governance quality and grid reliability with weight </w:t>
      </w:r>
      <m:oMath>
        <m:r>
          <m:rPr>
            <m:sty m:val="i"/>
          </m:rPr>
          <w:rPr>
            <w:rFonts w:ascii="Cambria Math" w:hAnsi="Cambria Math"/>
          </w:rPr>
          <m:t xml:space="preserve">ω</m:t>
        </m:r>
        <m:r>
          <m:rPr>
            <m:sty m:val="p"/>
          </m:rPr>
          <w:rPr>
            <w:rFonts w:ascii="Cambria Math" w:hAnsi="Cambria Math"/>
          </w:rPr>
          <m:t xml:space="preserve"> = 0.85</m:t>
        </m:r>
      </m:oMath>
      <w:r>
        <w:t xml:space="preserve"> on governance. The asymmetric weighting reflects the enclave character of data center operations. Unlike general manufacturing, hyperscale facilities connect at transmission voltage with dedicated substations, maintain on-site diesel backup covering 48–72 hours, and operate battery UPS systems that bridge the seconds between grid failure and generator start. General grid reliability is therefore a weak predictor of data center uptime. Governance, by contrast, captures contract enforcement, expropriation risk, and regulatory stability — none of which can be mitigated through private infrastructure investment. For OECD countries with strong institutions and negligible outages,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0.52, Uzbekistan: 0.48, Ethiopia: 0.42). The sensitivity of results to </w:t>
      </w:r>
      <m:oMath>
        <m:r>
          <m:rPr>
            <m:sty m:val="i"/>
          </m:rPr>
          <w:rPr>
            <w:rFonts w:ascii="Cambria Math" w:hAnsi="Cambria Math"/>
          </w:rPr>
          <m:t xml:space="preserve">ω</m:t>
        </m:r>
      </m:oMath>
      <w:r>
        <w:t xml:space="preserve"> is examined in Section 7. ξ ranges from 0.62 to 1.00 within the OECD, and the tight cross-country cost spread (≈20%) means small efficiency differences reshuffle adjacent ranks. Even countries with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can shift in rank because penalizing low-ξ competitors mechanically raises others.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in two steps: first adjusting production costs, then applying trade frictions.</w:t>
      </w:r>
    </w:p>
    <w:p>
      <w:pPr>
        <w:spacing w:before="0" w:after="160"/>
        <w:ind w:firstLine="0"/>
        <w:jc w:val="both"/>
      </w:pPr>
      <w:r>
        <w:t xml:space="preserve">Under observed electricity tariffs and without efficiency adjustment, the cheapest producer in our sample of 85 countries is Iran ($1.41/hr), followed by Turkmenistan ($1.42/hr) and Ethiopia ($1.43/hr)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3" w:name="IMF2025txt"/>
      <w:hyperlink w:anchor="IMF2025" w:history="1">
        <w:r>
          <w:rPr>
            <w:color w:val="1F3864"/>
            <w:u w:val="single"/>
          </w:rPr>
          <w:t xml:space="preserve">IMF 2025</w:t>
        </w:r>
      </w:hyperlink>
      <w:bookmarkEnd w:id="243"/>
      <w:r>
        <w:t xml:space="preserve">, </w:t>
      </w:r>
      <w:bookmarkStart w:id="225" w:name="Lazard2025txt"/>
      <w:hyperlink w:anchor="Lazard2025" w:history="1">
        <w:r>
          <w:rPr>
            <w:color w:val="1F3864"/>
            <w:u w:val="single"/>
          </w:rPr>
          <w:t xml:space="preserve">Lazard 2025</w:t>
        </w:r>
      </w:hyperlink>
      <w:bookmarkEnd w:id="225"/>
      <w:r>
        <w:t xml:space="preserve">). We apply this adjustment to 13 countries whose retail electricity prices fall below the estimated LRMC. </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24th. 42 countries change their trade regimes.</w:t>
      </w:r>
    </w:p>
    <w:p>
      <w:pPr>
        <w:spacing w:before="0" w:after="160"/>
        <w:ind w:firstLine="0"/>
        <w:jc w:val="both"/>
      </w:pPr>
      <w:r>
        <w:t xml:space="preserve">Cost advantages must be weighed against institutional quality. While data centers can mitigate grid unreliability through private infrastructure, governance weaknesses — contract enforcement, expropriation risk, regulatory instability — cannot be engineered away. Dividing the cost-recovery costs by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penalizes countries primarily for weak governance (weight 0.85) and secondarily for unreliable grids (weight 0.15).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Norway, Finland, Canada, Sweden, and South Africa. </w:t>
      </w:r>
      <w:r>
        <w:t>The Δ column shows the rank change from raw tariffs to the preferred specification (column 1 to column 4): Iran drops 82 places</w:t>
      </w:r>
      <w:r>
        <w:t>, Kyrgyzstan drops 67</w:t>
      </w:r>
      <w:r>
        <w:t xml:space="preserve">, while Switzerland rises 65 places, </w:t>
      </w:r>
      <w:r>
        <w:t>and Singapore rises 63</w:t>
      </w:r>
      <w:r>
        <w:t xml:space="preserve">. Nine of the ten cheapest countries under the pure engineering cost ranking fall out of the top ten after efficiency adjustment, replaced by countries with stronger governance. Because hardware and networking costs account for roughly 94% of engineering costs, the cross-country cost spread is narrow (about 20%). Even modest governance penalties are large relative to this thin margin, so institutional quality can easily dominate the cost ranking. An engineering cost advantage is therefore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The preceding analysis identifies which countries can produce cheaply. The bilateral sovereignty premium determines which countries will trade.</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from </w:t>
      </w:r>
      <w:bookmarkStart w:id="904" w:name="Eq2txt904"/>
      <w:hyperlink w:anchor="Eq2" w:history="1">
        <w:r>
          <w:rPr>
            <w:color w:val="1F3864"/>
            <w:u w:val="single"/>
          </w:rPr>
          <w:t xml:space="preserve">equation (2)</w:t>
        </w:r>
      </w:hyperlink>
      <w:bookmarkEnd w:id="904"/>
      <w:r>
        <w:t xml:space="preserve"> reshapes trade patterns along geopolitical lines. Between allies with mutual data adequacy agreements (e.g., EU member states), the effective premium is near zero; between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negative values indicate countries cheap enough to export (e.g., Canada at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−7.2%</m:t>
        </m:r>
      </m:oMath>
      <w:r>
        <w:t xml:space="preserve">), while positive values indicate the minimum premium for domestic production (e.g.,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0.2%</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41.3%</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71.9%</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5" w:name="Eq4txt905"/>
      <w:hyperlink w:anchor="Eq4" w:history="1">
        <w:r>
          <w:rPr>
            <w:color w:val="1F3864"/>
            <w:u w:val="single"/>
          </w:rPr>
          <w:t xml:space="preserve">equation (4)</w:t>
        </w:r>
      </w:hyperlink>
      <w:bookmarkEnd w:id="905"/>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in Kyrgyzstan ($0.014/hr), indicating modest returns to capacity expansion. </w:t>
      </w:r>
      <w:r>
        <w:t>Inference is more dispersed, with the top five suppliers being Canada (48%), Finland (34%), Norway (7%), Singapore (5%), and Australia (2%), collectively accounting for 96% of global inference demand (HHI = 0.36). Under the bilateral sovereignty premium, most training demand is served domestically, and the smaller export market is served by 1 exporter (HHI = 1.00) at $1.58/hr.</w:t>
      </w:r>
    </w:p>
    <w:p>
      <w:pPr>
        <w:spacing w:before="0" w:after="160"/>
        <w:ind w:firstLine="0"/>
        <w:jc w:val="both"/>
      </w:pPr>
      <w:r>
        <w:rPr>
          <w:rFonts w:ascii="Times New Roman" w:hAnsi="Times New Roman"/>
          <w:b w:val="0"/>
          <w:i/>
          <w:sz w:val="24"/>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source of inference is Finland, a neighboring country with hydropower-based electricity. These patterns illustrate the model’s core prediction that inference organizes around latency-bounded regional hubs, and each major market has a distinct optimal supplier determined by geography. </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5.1% of average compute spending, comparable to the 0.2–10% welfare losses from trade barriers estimated for goods trade (</w:t>
      </w:r>
      <w:bookmarkStart w:id="226" w:name="EatonKortum2002txt"/>
      <w:hyperlink w:anchor="EatonKortum2002" w:history="1">
        <w:r>
          <w:rPr>
            <w:color w:val="1F3864"/>
            <w:u w:val="single"/>
          </w:rPr>
          <w:t xml:space="preserve">Eaton and Kortum 2002</w:t>
        </w:r>
      </w:hyperlink>
      <w:bookmarkEnd w:id="226"/>
      <w:r>
        <w:t xml:space="preserve">, </w:t>
      </w:r>
      <w:bookmarkStart w:id="244" w:name="ACR2012txt"/>
      <w:hyperlink w:anchor="ACR2012" w:history="1">
        <w:r>
          <w:rPr>
            <w:color w:val="1F3864"/>
            <w:u w:val="single"/>
          </w:rPr>
          <w:t xml:space="preserve">Arkolakis et al. 2012</w:t>
        </w:r>
      </w:hyperlink>
      <w:bookmarkEnd w:id="244"/>
      <w:r>
        <w:t xml:space="preserve">).</w:t>
      </w:r>
    </w:p>
    <w:p>
      <w:pPr>
        <w:spacing w:before="0" w:after="160"/>
        <w:ind w:firstLine="0"/>
        <w:jc w:val="both"/>
      </w:pPr>
      <w:r>
        <w:t xml:space="preserve">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the bilateral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Natural FLOP exporters may simultaneously erect sovereignty barriers against importing from neighbors, forgoing the regional specialization gains the model predicts. The EU’s GDPR and AI Act already segment the compute market along regulatory lines, reinforcing the sovereignty premium as a structural feature. The </w:t>
      </w:r>
      <w:bookmarkStart w:id="227" w:name="WorldBank2025txt"/>
      <w:hyperlink w:anchor="WorldBank2025" w:history="1">
        <w:r>
          <w:rPr>
            <w:color w:val="1F3864"/>
            <w:u w:val="single"/>
          </w:rPr>
          <w:t xml:space="preserve">World Bank (2025)</w:t>
        </w:r>
      </w:hyperlink>
      <w:bookmarkEnd w:id="227"/>
      <w:r>
        <w:t xml:space="preserve"> frames this as the central policy choice: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The calibration in Section 6 adjusts for energy subsidies and institutional quality, but several constraints remain outside the model. GPU export controls bar Iran, Russia, and Belarus from acquiring current-generation hardware, effectively excluding them regardless of cost. Water scarcity constrains cooling in Iran, Turkmenistan, Egypt, and Saudi Arabia, where data center water consumption would compete with agriculture and residential use. These entry barriers are not captured by ξ or by cost-recovery pricing, and they further narrow the set of viable exporters.</w:t>
      </w:r>
    </w:p>
    <w:p>
      <w:pPr>
        <w:spacing w:before="0" w:after="160"/>
        <w:ind w:firstLine="0"/>
        <w:jc w:val="both"/>
      </w:pPr>
      <w:r>
        <w:t>Even after cost-recovery adjustment, fiscal sustainability remains a concern. Regulated tariffs in many developing countries cover operating expenses but not the full capital cost of generation, transmission, and distribution. State-owned enterprises accumulate quasi-fiscal deficits eventually borne by taxpayers. At hyperscale, exporting compute while the domestic energy sector cannot maintain its capital stock is politically unsustainable. Governments face a choice between raising data center tariffs, maintaining subsidies at growing fiscal cost, or capping capacity.</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that rank highest in </w:t>
      </w:r>
      <w:hyperlink w:anchor="TableA1" w:history="1">
        <w:r>
          <w:rPr>
            <w:color w:val="1F3864"/>
            <w:u w:val="single"/>
          </w:rPr>
          <w:t xml:space="preserve">Table A1</w:t>
        </w:r>
      </w:hyperlink>
      <w:r>
        <w:t xml:space="preserve">, a hyperscale data center can be large relative to the host grid. Kyrgyzstan’s 3,800 MW grid would face significant strain from a single 100 MW facility consuming roughly 3% of national output. At multi-facility scale, data centers would become the dominant industrial load, competing with residential heating in winter and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by capping each country’s output,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28" w:name="Calcaterra2024txt"/>
      <w:hyperlink w:anchor="Calcaterra2024" w:history="1">
        <w:r>
          <w:rPr>
            <w:color w:val="1F3864"/>
            <w:u w:val="single"/>
          </w:rPr>
          <w:t xml:space="preserve">Calcaterra et al. 2024</w:t>
        </w:r>
      </w:hyperlink>
      <w:bookmarkEnd w:id="228"/>
      <w:r>
        <w:t xml:space="preserve">). An OECD hyperscaler at 8% WACC faces hardware costs of $1.58/hr, while a developing-country operator at 18% pays $1.87 — a $0.29 gap on hardware alone, widening to $0.37 including construction, roughly four times the electricity cost spread across the top 20 countries. If hyperscalers finance at their own WACC regardless of host country, baseline rankings hold. If locally financed, the same institutional weaknesses that lower ξ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Hardware prices. </w:t>
      </w:r>
      <w:r>
        <w:t xml:space="preserve">In practice, export controls, logistics costs, insurance, and local distribution markups can raise effective GPU prices by 5–15% in developing countries. A 10% GPU price premium would add roughly $0.10/hr to unit costs, substantially eroding the thin cost advantages documented in </w:t>
      </w:r>
      <w:hyperlink w:anchor="TableA1" w:history="1">
        <w:r>
          <w:rPr>
            <w:color w:val="1F3864"/>
            <w:u w:val="single"/>
          </w:rPr>
          <w:t xml:space="preserve">Table A1</w:t>
        </w:r>
      </w:hyperlink>
      <w:r>
        <w:t>. This assumption thus favors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Across five scenarios — electricity prices ±$0.01/kWh, GPU price ±20%, and PUE capped at 1.20 — the Spearman rank correlation with the baseline never falls below 0.992, the top five countries are unchanged in four of five cases, and the training price shifts by at most $0.272/hr. </w:t>
      </w:r>
      <w:bookmarkStart w:id="143" w:name="TableA3txt"/>
      <w:hyperlink w:anchor="TableA3" w:history="1">
        <w:r>
          <w:rPr>
            <w:color w:val="1F3864"/>
            <w:u w:val="single"/>
          </w:rPr>
          <w:t xml:space="preserve">Table A3</w:t>
        </w:r>
      </w:hyperlink>
      <w:bookmarkEnd w:id="143"/>
      <w:r>
        <w:t xml:space="preserve"> reports full results.</w:t>
      </w:r>
    </w:p>
    <w:p>
      <w:pPr>
        <w:spacing w:before="0" w:after="160"/>
        <w:ind w:firstLine="0"/>
        <w:jc w:val="both"/>
      </w:pPr>
      <w:r>
        <w:rPr>
          <w:rFonts w:ascii="Times New Roman" w:hAnsi="Times New Roman"/>
          <w:b w:val="0"/>
          <w:i/>
          <w:sz w:val="24"/>
        </w:rPr>
        <w:t xml:space="preserve">Efficiency weight. </w:t>
      </w:r>
      <w:r>
        <w:t xml:space="preserve">The baseline assigns weight </w:t>
      </w:r>
      <m:oMath>
        <m:r>
          <m:rPr>
            <m:sty m:val="i"/>
          </m:rPr>
          <w:rPr>
            <w:rFonts w:ascii="Cambria Math" w:hAnsi="Cambria Math"/>
          </w:rPr>
          <m:t xml:space="preserve">ω</m:t>
        </m:r>
        <m:r>
          <m:rPr>
            <m:sty m:val="p"/>
          </m:rPr>
          <w:rPr>
            <w:rFonts w:ascii="Cambria Math" w:hAnsi="Cambria Math"/>
          </w:rPr>
          <m:t xml:space="preserve"> = 0.85</m:t>
        </m:r>
      </m:oMath>
      <w:r>
        <w:t xml:space="preserve"> to governance and 0.15 to grid reliability. Table [X] reports results for </w:t>
      </w:r>
      <m:oMath>
        <m:r>
          <m:rPr>
            <m:sty m:val="i"/>
          </m:rPr>
          <w:rPr>
            <w:rFonts w:ascii="Cambria Math" w:hAnsi="Cambria Math"/>
          </w:rPr>
          <m:t xml:space="preserve">ω</m:t>
        </m:r>
        <m:r>
          <m:rPr>
            <m:sty m:val="p"/>
          </m:rPr>
          <w:rPr>
            <w:rFonts w:ascii="Cambria Math" w:hAnsi="Cambria Math"/>
          </w:rPr>
          <m:t xml:space="preserve"> = 0.70, 0.85,</m:t>
        </m:r>
      </m:oMath>
      <w:r>
        <w:t xml:space="preserve"> and </w:t>
      </w:r>
      <m:oMath>
        <m:r>
          <m:rPr>
            <m:sty m:val="p"/>
          </m:rPr>
          <w:rPr>
            <w:rFonts w:ascii="Cambria Math" w:hAnsi="Cambria Math"/>
          </w:rPr>
          <m:t xml:space="preserve">1.00</m:t>
        </m:r>
      </m:oMath>
      <w:r>
        <w:t xml:space="preserve">. At </w:t>
      </w:r>
      <m:oMath>
        <m:r>
          <m:rPr>
            <m:sty m:val="i"/>
          </m:rPr>
          <w:rPr>
            <w:rFonts w:ascii="Cambria Math" w:hAnsi="Cambria Math"/>
          </w:rPr>
          <m:t xml:space="preserve">ω</m:t>
        </m:r>
        <m:r>
          <m:rPr>
            <m:sty m:val="p"/>
          </m:rPr>
          <w:rPr>
            <w:rFonts w:ascii="Cambria Math" w:hAnsi="Cambria Math"/>
          </w:rPr>
          <m:t xml:space="preserve"> = 1.00</m:t>
        </m:r>
      </m:oMath>
      <w:r>
        <w:t xml:space="preserve"> (governance only), grid reliability drops out entirely; at </w:t>
      </w:r>
      <m:oMath>
        <m:r>
          <m:rPr>
            <m:sty m:val="i"/>
          </m:rPr>
          <w:rPr>
            <w:rFonts w:ascii="Cambria Math" w:hAnsi="Cambria Math"/>
          </w:rPr>
          <m:t xml:space="preserve">ω</m:t>
        </m:r>
        <m:r>
          <m:rPr>
            <m:sty m:val="p"/>
          </m:rPr>
          <w:rPr>
            <w:rFonts w:ascii="Cambria Math" w:hAnsi="Cambria Math"/>
          </w:rPr>
          <m:t xml:space="preserve"> = 0.70</m:t>
        </m:r>
      </m:oMath>
      <w:r>
        <w:t xml:space="preserve">, it receives moderate weight. The top five exporters are unchanged across all three specifications, and the Spearman rank correlation with the baseline exceeds 0.99 in both alternatives. The qualitative finding — that developing countries with cheap energy and adequate governance can compete — is robust to the choice of </w:t>
      </w:r>
      <m:oMath>
        <m:r>
          <m:rPr>
            <m:sty m:val="i"/>
          </m:rPr>
          <w:rPr>
            <w:rFonts w:ascii="Cambria Math" w:hAnsi="Cambria Math"/>
          </w:rPr>
          <m:t xml:space="preserve">ω</m:t>
        </m:r>
      </m:oMath>
      <w:r>
        <w:t>.</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 xml:space="preserve">The model can be extended in several directions.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29" w:name="Krugman1991txt"/>
      <w:hyperlink w:anchor="Krugman1991" w:history="1">
        <w:r>
          <w:rPr>
            <w:color w:val="1F3864"/>
            <w:u w:val="single"/>
          </w:rPr>
          <w:t xml:space="preserve">Krugman 1991</w:t>
        </w:r>
      </w:hyperlink>
      <w:bookmarkEnd w:id="229"/>
      <w:r>
        <w:t xml:space="preserve">). The concentration of data centers in locations such as Northern Virginia reflects these centripetal forces.</w:t>
      </w:r>
    </w:p>
    <w:p>
      <w:pPr>
        <w:pStyle w:val="Heading1"/>
      </w:pPr>
      <w:r>
        <w:rPr>
          <w:rFonts w:ascii="Times New Roman" w:hAnsi="Times New Roman"/>
          <w:b/>
          <w:color w:val="2F5496"/>
          <w:sz w:val="28"/>
        </w:rPr>
        <w:t>8.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bilateral sovereignty premium to capture governments’ preference for domestic data processing, varying with geopolitical alignment, regulatory compatibility, and sanctions exposure. Capacity ceilings transform the classical cost-based assignment into a framework with market-clearing prices and scarcity rents. The paper calibrates the model for 85 countries using data on electricity prices, temperatures, construction costs, bilateral latencies, and grid capacity.</w:t>
      </w:r>
    </w:p>
    <w:p>
      <w:pPr>
        <w:spacing w:before="0" w:after="160"/>
        <w:ind w:firstLine="0"/>
        <w:jc w:val="both"/>
      </w:pPr>
      <w:r>
        <w:t xml:space="preserve">Across 85 countries, low-energy-cost countries export training compute, while inference is served by regional hubs close enough to users to meet latency requirements. The bilateral sovereignty premium rationalizes widespread domestic investment, shifting the majority of countries from import to domestic production, at a demand-weighted welfare cost of 5.1% of compute spending. The model generates a country taxonomy (full importers, training exporters, inference hubs, and hybrid regimes) that maps onto observed investment patterns. This geographic structure is consistent with </w:t>
      </w:r>
      <w:bookmarkStart w:id="230" w:name="Lehdonvirta2024txt"/>
      <w:hyperlink w:anchor="Lehdonvirta2024" w:history="1">
        <w:r>
          <w:rPr>
            <w:color w:val="1F3864"/>
            <w:u w:val="single"/>
          </w:rPr>
          <w:t xml:space="preserve">Lehdonvirta et al. (2024)</w:t>
        </w:r>
      </w:hyperlink>
      <w:bookmarkEnd w:id="230"/>
      <w:r>
        <w:t xml:space="preserve">, who independently find that training-capable GPU infrastructure is concentrated in roughly 30 countries, while the rest are limited to inference-grade hardware. Given the narrow cross-country cost spread documented in Section 6, production efficiency, bilateral trade frictions, and access to GPU hardware are often decisive in determining actual data center location. </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1" w:name="vanderPloeg2011txt"/>
      <w:hyperlink w:anchor="vanderPloeg2011" w:history="1">
        <w:r>
          <w:rPr>
            <w:color w:val="1F3864"/>
            <w:u w:val="single"/>
          </w:rPr>
          <w:t xml:space="preserve">van der Ploeg 2011</w:t>
        </w:r>
      </w:hyperlink>
      <w:bookmarkEnd w:id="231"/>
      <w:r>
        <w:t xml:space="preserve">) warns that concentrated export revenues can lead to Dutch disease, institutional degradation, and volatility. Whether FLOP-exporting shares these risks depends on whether revenues are broadly distributed or concentrated among a narrow set of actors, and on whether governments invest the proceeds in human capital and institutional development.</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production efficiency, bilateral trust, and data governance frameworks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5"/>
    </w:p>
    <w:p>
      <w:pPr>
        <w:spacing w:before="0" w:after="80" w:line="240" w:lineRule="exact"/>
        <w:ind w:hanging="720" w:left="720"/>
        <w:jc w:val="both"/>
      </w:pPr>
      <w:bookmarkStart w:id="506"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6"/>
    </w:p>
    <w:p>
      <w:pPr>
        <w:spacing w:before="0" w:after="80" w:line="240" w:lineRule="exact"/>
        <w:ind w:hanging="720" w:left="720"/>
        <w:jc w:val="both"/>
      </w:pPr>
      <w:bookmarkStart w:id="50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7"/>
    </w:p>
    <w:p>
      <w:pPr>
        <w:spacing w:before="0" w:after="80" w:line="240" w:lineRule="exact"/>
        <w:ind w:hanging="720" w:left="720"/>
        <w:jc w:val="both"/>
      </w:pPr>
      <w:bookmarkStart w:id="508" w:name="Deloitte2020"/>
      <w:hyperlink w:anchor="Deloitte2020txt" w:history="1">
        <w:r>
          <w:rPr>
            <w:color w:val="1F3864"/>
            <w:u w:val="single"/>
          </w:rPr>
          <w:t xml:space="preserve">Deloitte and Google. (2020). </w:t>
        </w:r>
      </w:hyperlink>
      <w:r>
        <w:t>“Milliseconds Make Millions.” Deloitte Digital and Google.</w:t>
      </w:r>
      <w:bookmarkEnd w:id="508"/>
    </w:p>
    <w:p>
      <w:pPr>
        <w:spacing w:before="0" w:after="80" w:line="240" w:lineRule="exact"/>
        <w:ind w:hanging="720" w:left="720"/>
        <w:jc w:val="both"/>
      </w:pPr>
      <w:bookmarkStart w:id="50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9"/>
    </w:p>
    <w:p>
      <w:pPr>
        <w:spacing w:before="0" w:after="80" w:line="240" w:lineRule="exact"/>
        <w:ind w:hanging="720" w:left="720"/>
        <w:jc w:val="both"/>
      </w:pPr>
      <w:bookmarkStart w:id="510"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0"/>
    </w:p>
    <w:p>
      <w:pPr>
        <w:spacing w:before="0" w:after="80" w:line="240" w:lineRule="exact"/>
        <w:ind w:hanging="720" w:left="720"/>
        <w:jc w:val="both"/>
      </w:pPr>
      <w:bookmarkStart w:id="511"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1"/>
    </w:p>
    <w:p>
      <w:pPr>
        <w:spacing w:before="0" w:after="80" w:line="240" w:lineRule="exact"/>
        <w:ind w:hanging="720" w:left="720"/>
        <w:jc w:val="both"/>
      </w:pPr>
      <w:bookmarkStart w:id="512" w:name="EpochAI2024"/>
      <w:hyperlink w:anchor="EpochAI2024txt" w:history="1">
        <w:r>
          <w:rPr>
            <w:color w:val="1F3864"/>
            <w:u w:val="single"/>
          </w:rPr>
          <w:t xml:space="preserve">Epoch AI. (2024). </w:t>
        </w:r>
      </w:hyperlink>
      <w:r>
        <w:t>“The Training Compute of Notable AI Models.” epochai.org.</w:t>
      </w:r>
      <w:bookmarkEnd w:id="512"/>
    </w:p>
    <w:p>
      <w:pPr>
        <w:spacing w:before="0" w:after="80" w:line="240" w:lineRule="exact"/>
        <w:ind w:hanging="720" w:left="720"/>
        <w:jc w:val="both"/>
      </w:pPr>
      <w:bookmarkStart w:id="513"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3"/>
    </w:p>
    <w:p>
      <w:pPr>
        <w:spacing w:before="0" w:after="80" w:line="240" w:lineRule="exact"/>
        <w:ind w:hanging="720" w:left="720"/>
        <w:jc w:val="both"/>
      </w:pPr>
      <w:bookmarkStart w:id="514"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4"/>
    </w:p>
    <w:p>
      <w:pPr>
        <w:spacing w:before="0" w:after="80" w:line="240" w:lineRule="exact"/>
        <w:ind w:hanging="720" w:left="720"/>
        <w:jc w:val="both"/>
      </w:pPr>
      <w:bookmarkStart w:id="515"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5"/>
    </w:p>
    <w:p>
      <w:pPr>
        <w:spacing w:before="0" w:after="80" w:line="240" w:lineRule="exact"/>
        <w:ind w:hanging="720" w:left="720"/>
        <w:jc w:val="both"/>
      </w:pPr>
      <w:bookmarkStart w:id="516"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6"/>
    </w:p>
    <w:p>
      <w:pPr>
        <w:spacing w:before="0" w:after="80" w:line="240" w:lineRule="exact"/>
        <w:ind w:hanging="720" w:left="720"/>
        <w:jc w:val="both"/>
      </w:pPr>
      <w:bookmarkStart w:id="517"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7"/>
    </w:p>
    <w:p>
      <w:pPr>
        <w:spacing w:before="0" w:after="80" w:line="240" w:lineRule="exact"/>
        <w:ind w:hanging="720" w:left="720"/>
        <w:jc w:val="both"/>
      </w:pPr>
      <w:bookmarkStart w:id="518" w:name="Google2024"/>
      <w:r>
        <w:rPr>
          <w:color w:val="1F3864"/>
          <w:u w:val="single"/>
        </w:rPr>
        <w:t xml:space="preserve">Google. </w:t>
      </w:r>
      <w:r>
        <w:t xml:space="preserve">(2024). </w:t>
      </w:r>
      <w:r>
        <w:rPr>
          <w:i/>
        </w:rPr>
        <w:t>2024 Environmental Report</w:t>
      </w:r>
      <w:r>
        <w:t>. sustainability.google.</w:t>
      </w:r>
      <w:bookmarkEnd w:id="518"/>
    </w:p>
    <w:p>
      <w:pPr>
        <w:spacing w:before="0" w:after="80" w:line="240" w:lineRule="exact"/>
        <w:ind w:hanging="720" w:left="720"/>
        <w:jc w:val="both"/>
      </w:pPr>
      <w:bookmarkStart w:id="519"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9"/>
    </w:p>
    <w:p>
      <w:pPr>
        <w:spacing w:before="0" w:after="80" w:line="240" w:lineRule="exact"/>
        <w:ind w:hanging="720" w:left="720"/>
        <w:jc w:val="both"/>
      </w:pPr>
      <w:bookmarkStart w:id="520"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0"/>
    </w:p>
    <w:p>
      <w:pPr>
        <w:spacing w:before="0" w:after="80" w:line="240" w:lineRule="exact"/>
        <w:ind w:hanging="720" w:left="720"/>
        <w:jc w:val="both"/>
      </w:pPr>
      <w:bookmarkStart w:id="521"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1"/>
    </w:p>
    <w:p>
      <w:pPr>
        <w:spacing w:before="0" w:after="80" w:line="240" w:lineRule="exact"/>
        <w:ind w:hanging="720" w:left="720"/>
        <w:jc w:val="both"/>
      </w:pPr>
      <w:bookmarkStart w:id="522" w:name="IEA2025"/>
      <w:hyperlink w:anchor="IEA2025txt" w:history="1">
        <w:r>
          <w:rPr>
            <w:color w:val="1F3864"/>
            <w:u w:val="single"/>
          </w:rPr>
          <w:t xml:space="preserve">IEA. (2025). </w:t>
        </w:r>
      </w:hyperlink>
      <w:r>
        <w:t>“Energy Demand from AI.” Published online at iea.org.</w:t>
      </w:r>
      <w:bookmarkEnd w:id="522"/>
    </w:p>
    <w:p>
      <w:pPr>
        <w:spacing w:before="0" w:after="80" w:line="240" w:lineRule="exact"/>
        <w:ind w:hanging="720" w:left="720"/>
        <w:jc w:val="both"/>
      </w:pPr>
      <w:bookmarkStart w:id="52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3"/>
    </w:p>
    <w:p>
      <w:pPr>
        <w:spacing w:before="0" w:after="80" w:line="240" w:lineRule="exact"/>
        <w:ind w:hanging="720" w:left="720"/>
        <w:jc w:val="both"/>
      </w:pPr>
      <w:bookmarkStart w:id="524"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4"/>
    </w:p>
    <w:p>
      <w:pPr>
        <w:spacing w:before="0" w:after="80" w:line="240" w:lineRule="exact"/>
        <w:ind w:hanging="720" w:left="720"/>
        <w:jc w:val="both"/>
      </w:pPr>
      <w:bookmarkStart w:id="525"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5"/>
    </w:p>
    <w:p>
      <w:pPr>
        <w:spacing w:before="0" w:after="80" w:line="240" w:lineRule="exact"/>
        <w:ind w:hanging="720" w:left="720"/>
        <w:jc w:val="both"/>
      </w:pPr>
      <w:bookmarkStart w:id="526"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6"/>
    </w:p>
    <w:p>
      <w:pPr>
        <w:spacing w:before="0" w:after="80" w:line="240" w:lineRule="exact"/>
        <w:ind w:hanging="720" w:left="720"/>
        <w:jc w:val="both"/>
      </w:pPr>
      <w:bookmarkStart w:id="527"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7"/>
    </w:p>
    <w:p>
      <w:pPr>
        <w:spacing w:before="0" w:after="80" w:line="240" w:lineRule="exact"/>
        <w:ind w:hanging="720" w:left="720"/>
        <w:jc w:val="both"/>
      </w:pPr>
      <w:bookmarkStart w:id="528"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2" w:name="WorldBank2024txt"/>
      <w:hyperlink w:anchor="WorldBank2024" w:history="1">
        <w:r>
          <w:rPr>
            <w:i/>
            <w:color w:val="1F3864"/>
            <w:u w:val="single"/>
          </w:rPr>
          <w:t xml:space="preserve">World Bank</w:t>
        </w:r>
      </w:hyperlink>
      <w:bookmarkEnd w:id="232"/>
      <w:r>
        <w:rPr>
          <w:i/>
        </w:rPr>
        <w:t xml:space="preserve"> Economic Review</w:t>
      </w:r>
      <w:r>
        <w:t>, 15(3): 451–479.</w:t>
      </w:r>
      <w:bookmarkEnd w:id="528"/>
    </w:p>
    <w:p>
      <w:pPr>
        <w:spacing w:before="0" w:after="80" w:line="240" w:lineRule="exact"/>
        <w:ind w:hanging="720" w:left="720"/>
        <w:jc w:val="both"/>
      </w:pPr>
      <w:bookmarkStart w:id="529"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9"/>
    </w:p>
    <w:p>
      <w:pPr>
        <w:spacing w:before="0" w:after="80" w:line="240" w:lineRule="exact"/>
        <w:ind w:hanging="720" w:left="720"/>
        <w:jc w:val="both"/>
      </w:pPr>
      <w:bookmarkStart w:id="530" w:name="NVIDIA2024"/>
      <w:r>
        <w:rPr>
          <w:color w:val="1F3864"/>
          <w:u w:val="single"/>
        </w:rPr>
        <w:t xml:space="preserve">NVIDIA. </w:t>
      </w:r>
      <w:r>
        <w:t xml:space="preserve">(2024). </w:t>
      </w:r>
      <w:r>
        <w:rPr>
          <w:i/>
        </w:rPr>
        <w:t>NVIDIA H100 Tensor Core GPU Datasheet</w:t>
      </w:r>
      <w:r>
        <w:t>. nvidia.com.</w:t>
      </w:r>
      <w:bookmarkEnd w:id="530"/>
    </w:p>
    <w:p>
      <w:pPr>
        <w:spacing w:before="0" w:after="80" w:line="240" w:lineRule="exact"/>
        <w:ind w:hanging="720" w:left="720"/>
        <w:jc w:val="both"/>
      </w:pPr>
      <w:bookmarkStart w:id="531"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1"/>
    </w:p>
    <w:p>
      <w:pPr>
        <w:spacing w:before="0" w:after="80" w:line="240" w:lineRule="exact"/>
        <w:ind w:hanging="720" w:left="720"/>
        <w:jc w:val="both"/>
      </w:pPr>
      <w:bookmarkStart w:id="532"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2"/>
    </w:p>
    <w:p>
      <w:pPr>
        <w:spacing w:before="0" w:after="80" w:line="240" w:lineRule="exact"/>
        <w:ind w:hanging="720" w:left="720"/>
        <w:jc w:val="both"/>
      </w:pPr>
      <w:bookmarkStart w:id="533" w:name="Sastry2024"/>
      <w:hyperlink w:anchor="Sastry2024txt" w:history="1">
        <w:r>
          <w:rPr>
            <w:color w:val="1F3864"/>
            <w:u w:val="single"/>
          </w:rPr>
          <w:t xml:space="preserve">Sastry, G., L. Heim, et al. (2024). </w:t>
        </w:r>
      </w:hyperlink>
      <w:r>
        <w:t>“Computing Power and the Governance of Artificial Intelligence.” arXiv:2402.08797.</w:t>
      </w:r>
      <w:bookmarkEnd w:id="533"/>
    </w:p>
    <w:p>
      <w:pPr>
        <w:spacing w:before="0" w:after="80" w:line="240" w:lineRule="exact"/>
        <w:ind w:hanging="720" w:left="720"/>
        <w:jc w:val="both"/>
      </w:pPr>
      <w:bookmarkStart w:id="534"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4"/>
    </w:p>
    <w:p>
      <w:pPr>
        <w:spacing w:before="0" w:after="80" w:line="240" w:lineRule="exact"/>
        <w:ind w:hanging="720" w:left="720"/>
        <w:jc w:val="both"/>
      </w:pPr>
      <w:bookmarkStart w:id="535"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5"/>
    </w:p>
    <w:p>
      <w:pPr>
        <w:spacing w:before="0" w:after="80" w:line="240" w:lineRule="exact"/>
        <w:ind w:hanging="720" w:left="720"/>
        <w:jc w:val="both"/>
      </w:pPr>
      <w:bookmarkStart w:id="536" w:name="TurnerLee2025"/>
      <w:hyperlink w:anchor="TurnerLee2025txt" w:history="1">
        <w:r>
          <w:rPr>
            <w:color w:val="1F3864"/>
            <w:u w:val="single"/>
          </w:rPr>
          <w:t xml:space="preserve">Turner Lee, N., and D. West. (2025). </w:t>
        </w:r>
      </w:hyperlink>
      <w:r>
        <w:t>“The Future of Data Centers.” Brookings Institution, November 2025.</w:t>
      </w:r>
      <w:bookmarkEnd w:id="536"/>
    </w:p>
    <w:p>
      <w:pPr>
        <w:spacing w:before="0" w:after="80" w:line="240" w:lineRule="exact"/>
        <w:ind w:hanging="720" w:left="720"/>
        <w:jc w:val="both"/>
      </w:pPr>
      <w:bookmarkStart w:id="537" w:name="DOJFTC2010"/>
      <w:r>
        <w:rPr>
          <w:color w:val="1F3864"/>
          <w:u w:val="single"/>
        </w:rPr>
        <w:t xml:space="preserve">U.S. Department of Justice and Federal Trade Commission. </w:t>
      </w:r>
      <w:r>
        <w:t xml:space="preserve">(2010). </w:t>
      </w:r>
      <w:r>
        <w:rPr>
          <w:i/>
        </w:rPr>
        <w:t>Horizontal Merger Guidelines</w:t>
      </w:r>
      <w:r>
        <w:t>. Washington, DC.</w:t>
      </w:r>
      <w:bookmarkEnd w:id="537"/>
    </w:p>
    <w:p>
      <w:pPr>
        <w:spacing w:before="0" w:after="80" w:line="240" w:lineRule="exact"/>
        <w:ind w:hanging="720" w:left="720"/>
        <w:jc w:val="both"/>
      </w:pPr>
      <w:bookmarkStart w:id="538" w:name="UNCTAD2025"/>
      <w:r>
        <w:rPr>
          <w:color w:val="1F3864"/>
          <w:u w:val="single"/>
        </w:rPr>
        <w:t xml:space="preserve">UNCTAD. </w:t>
      </w:r>
      <w:r>
        <w:t xml:space="preserve">(2025). </w:t>
      </w:r>
      <w:r>
        <w:rPr>
          <w:i/>
        </w:rPr>
        <w:t>Technology and Innovation Report 2025</w:t>
      </w:r>
      <w:r>
        <w:t>. Geneva: United Nations.</w:t>
      </w:r>
      <w:bookmarkEnd w:id="538"/>
    </w:p>
    <w:p>
      <w:pPr>
        <w:spacing w:before="0" w:after="80" w:line="240" w:lineRule="exact"/>
        <w:ind w:hanging="720" w:left="720"/>
        <w:jc w:val="both"/>
      </w:pPr>
      <w:bookmarkStart w:id="539"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39"/>
    </w:p>
    <w:p>
      <w:pPr>
        <w:spacing w:before="0" w:after="80" w:line="240" w:lineRule="exact"/>
        <w:ind w:hanging="720" w:left="720"/>
        <w:jc w:val="both"/>
      </w:pPr>
      <w:bookmarkStart w:id="540"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0"/>
    </w:p>
    <w:p>
      <w:pPr>
        <w:spacing w:before="0" w:after="80" w:line="240" w:lineRule="exact"/>
        <w:ind w:hanging="720" w:left="720"/>
        <w:jc w:val="both"/>
      </w:pPr>
      <w:bookmarkStart w:id="541"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1"/>
    </w:p>
    <w:p>
      <w:pPr>
        <w:spacing w:before="0" w:after="80" w:line="240" w:lineRule="exact"/>
        <w:ind w:hanging="720" w:left="720"/>
        <w:jc w:val="both"/>
      </w:pPr>
      <w:bookmarkStart w:id="542"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2"/>
    </w:p>
    <w:p>
      <w:pPr>
        <w:spacing w:before="0" w:after="80" w:line="240" w:lineRule="exact"/>
        <w:ind w:hanging="720" w:left="720"/>
        <w:jc w:val="both"/>
      </w:pPr>
      <w:bookmarkStart w:id="543"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3" w:name="WorldBank2024txt"/>
      <w:hyperlink w:anchor="WorldBank2024" w:history="1">
        <w:r>
          <w:rPr>
            <w:color w:val="1F3864"/>
            <w:u w:val="single"/>
          </w:rPr>
          <w:t xml:space="preserve">World Bank</w:t>
        </w:r>
      </w:hyperlink>
      <w:bookmarkEnd w:id="233"/>
      <w:r>
        <w:t xml:space="preserve">.</w:t>
      </w:r>
      <w:bookmarkEnd w:id="543"/>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alibration_strategy_fig1.png"/>
                    <pic:cNvPicPr/>
                  </pic:nvPicPr>
                  <pic:blipFill>
                    <a:blip r:embed="rId10"/>
                    <a:stretch>
                      <a:fillRect/>
                    </a:stretch>
                  </pic:blipFill>
                  <pic:spPr>
                    <a:xfrm>
                      <a:off x="0" y="0"/>
                      <a:ext cx="5029200" cy="37719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Step 1 adjusts production costs from observed electricity tariffs through cost-recovery pricing (removing subsidies) to efficiency-adjusted costs (penalizing weak governance and grid reliability). Step 2 applies trade frictions via bilateral sovereignty premiums and a uniform premium as a robustness check.</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0.85; equation 3).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+4</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South Africa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10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+27</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0.95</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0.95</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0.93</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+12</w:t>
            </w:r>
          </w:p>
        </w:tc>
      </w:tr>
      <w:tr>
        <w:tc>
          <w:tcPr>
            <w:tcW w:w="1800" w:type="dxa"/>
          </w:tcPr>
          <w:p>
            <w:pPr>
              <w:jc w:val="left"/>
              <w:spacing w:before="10" w:after="10"/>
            </w:pPr>
            <w:r/>
            <w:r>
              <w:rPr>
                <w:rFonts w:ascii="Times New Roman" w:hAnsi="Times New Roman"/>
                <w:sz w:val="16"/>
              </w:rPr>
              <w:t>Japan</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+56</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+51</w:t>
            </w:r>
          </w:p>
        </w:tc>
      </w:tr>
      <w:tr>
        <w:tc>
          <w:tcPr>
            <w:tcW w:w="1800" w:type="dxa"/>
          </w:tcPr>
          <w:p>
            <w:pPr>
              <w:jc w:val="left"/>
              <w:spacing w:before="10" w:after="10"/>
            </w:pPr>
            <w:r/>
            <w:r>
              <w:rPr>
                <w:rFonts w:ascii="Times New Roman" w:hAnsi="Times New Roman"/>
                <w:sz w:val="16"/>
              </w:rPr>
              <w:t>Qatar</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$1.82</w:t>
            </w:r>
          </w:p>
        </w:tc>
        <w:tc>
          <w:tcPr>
            <w:tcW w:w="450" w:type="dxa"/>
          </w:tcPr>
          <w:p>
            <w:pPr>
              <w:jc w:val="center"/>
              <w:spacing w:before="10" w:after="10"/>
            </w:pPr>
            <w:r/>
            <w:r>
              <w:rPr>
                <w:rFonts w:ascii="Times New Roman" w:hAnsi="Times New Roman"/>
                <w:sz w:val="16"/>
              </w:rPr>
              <w:t>0.84</w:t>
            </w:r>
          </w:p>
        </w:tc>
        <w:tc>
          <w:tcPr>
            <w:tcW w:w="540" w:type="dxa"/>
          </w:tcPr>
          <w:p>
            <w:pPr>
              <w:jc w:val="center"/>
              <w:spacing w:before="10" w:after="10"/>
            </w:pPr>
            <w:r/>
            <w:r>
              <w:rPr>
                <w:rFonts w:ascii="Times New Roman" w:hAnsi="Times New Roman"/>
                <w:sz w:val="16"/>
              </w:rPr>
              <w:t>40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$1.82</w:t>
            </w:r>
          </w:p>
        </w:tc>
        <w:tc>
          <w:tcPr>
            <w:tcW w:w="540" w:type="dxa"/>
          </w:tcPr>
          <w:p>
            <w:pPr>
              <w:jc w:val="center"/>
              <w:spacing w:before="10" w:after="10"/>
            </w:pPr>
            <w:r/>
            <w:r>
              <w:rPr>
                <w:rFonts w:ascii="Times New Roman" w:hAnsi="Times New Roman"/>
                <w:b/>
                <w:sz w:val="16"/>
              </w:rPr>
              <w:t>40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Saudi Arabia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$1.95</w:t>
            </w:r>
          </w:p>
        </w:tc>
        <w:tc>
          <w:tcPr>
            <w:tcW w:w="450" w:type="dxa"/>
          </w:tcPr>
          <w:p>
            <w:pPr>
              <w:jc w:val="center"/>
              <w:spacing w:before="10" w:after="10"/>
            </w:pPr>
            <w:r/>
            <w:r>
              <w:rPr>
                <w:rFonts w:ascii="Times New Roman" w:hAnsi="Times New Roman"/>
                <w:sz w:val="16"/>
              </w:rPr>
              <w:t>0.78</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$1.95</w:t>
            </w:r>
          </w:p>
        </w:tc>
        <w:tc>
          <w:tcPr>
            <w:tcW w:w="540" w:type="dxa"/>
          </w:tcPr>
          <w:p>
            <w:pPr>
              <w:jc w:val="center"/>
              <w:spacing w:before="10" w:after="10"/>
            </w:pPr>
            <w:r/>
            <w:r>
              <w:rPr>
                <w:rFonts w:ascii="Times New Roman" w:hAnsi="Times New Roman"/>
                <w:b/>
                <w:sz w:val="16"/>
              </w:rPr>
              <w:t>44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$2.25</w:t>
            </w:r>
          </w:p>
        </w:tc>
        <w:tc>
          <w:tcPr>
            <w:tcW w:w="450" w:type="dxa"/>
          </w:tcPr>
          <w:p>
            <w:pPr>
              <w:jc w:val="center"/>
              <w:spacing w:before="10" w:after="10"/>
            </w:pPr>
            <w:r/>
            <w:r>
              <w:rPr>
                <w:rFonts w:ascii="Times New Roman" w:hAnsi="Times New Roman"/>
                <w:sz w:val="16"/>
              </w:rPr>
              <w:t>0.64</w:t>
            </w:r>
          </w:p>
        </w:tc>
        <w:tc>
          <w:tcPr>
            <w:tcW w:w="540" w:type="dxa"/>
          </w:tcPr>
          <w:p>
            <w:pPr>
              <w:jc w:val="center"/>
              <w:spacing w:before="10" w:after="10"/>
            </w:pPr>
            <w:r/>
            <w:r>
              <w:rPr>
                <w:rFonts w:ascii="Times New Roman" w:hAnsi="Times New Roman"/>
                <w:sz w:val="16"/>
              </w:rPr>
              <w:t>54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$2.25</w:t>
            </w:r>
          </w:p>
        </w:tc>
        <w:tc>
          <w:tcPr>
            <w:tcW w:w="540" w:type="dxa"/>
          </w:tcPr>
          <w:p>
            <w:pPr>
              <w:jc w:val="center"/>
              <w:spacing w:before="10" w:after="10"/>
            </w:pPr>
            <w:r/>
            <w:r>
              <w:rPr>
                <w:rFonts w:ascii="Times New Roman" w:hAnsi="Times New Roman"/>
                <w:b/>
                <w:sz w:val="16"/>
              </w:rPr>
              <w:t>54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-44</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$2.32</w:t>
            </w:r>
          </w:p>
        </w:tc>
        <w:tc>
          <w:tcPr>
            <w:tcW w:w="450" w:type="dxa"/>
          </w:tcPr>
          <w:p>
            <w:pPr>
              <w:jc w:val="center"/>
              <w:spacing w:before="10" w:after="10"/>
            </w:pPr>
            <w:r/>
            <w:r>
              <w:rPr>
                <w:rFonts w:ascii="Times New Roman" w:hAnsi="Times New Roman"/>
                <w:sz w:val="16"/>
              </w:rPr>
              <w:t>0.63</w:t>
            </w:r>
          </w:p>
        </w:tc>
        <w:tc>
          <w:tcPr>
            <w:tcW w:w="540" w:type="dxa"/>
          </w:tcPr>
          <w:p>
            <w:pPr>
              <w:jc w:val="center"/>
              <w:spacing w:before="10" w:after="10"/>
            </w:pPr>
            <w:r/>
            <w:r>
              <w:rPr>
                <w:rFonts w:ascii="Times New Roman" w:hAnsi="Times New Roman"/>
                <w:sz w:val="16"/>
              </w:rPr>
              <w:t>59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$2.32</w:t>
            </w:r>
          </w:p>
        </w:tc>
        <w:tc>
          <w:tcPr>
            <w:tcW w:w="540" w:type="dxa"/>
          </w:tcPr>
          <w:p>
            <w:pPr>
              <w:jc w:val="center"/>
              <w:spacing w:before="10" w:after="10"/>
            </w:pPr>
            <w:r/>
            <w:r>
              <w:rPr>
                <w:rFonts w:ascii="Times New Roman" w:hAnsi="Times New Roman"/>
                <w:b/>
                <w:sz w:val="16"/>
              </w:rPr>
              <w:t>59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-37</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$2.35</w:t>
            </w:r>
          </w:p>
        </w:tc>
        <w:tc>
          <w:tcPr>
            <w:tcW w:w="450" w:type="dxa"/>
          </w:tcPr>
          <w:p>
            <w:pPr>
              <w:jc w:val="center"/>
              <w:spacing w:before="10" w:after="10"/>
            </w:pPr>
            <w:r/>
            <w:r>
              <w:rPr>
                <w:rFonts w:ascii="Times New Roman" w:hAnsi="Times New Roman"/>
                <w:sz w:val="16"/>
              </w:rPr>
              <w:t>0.61</w:t>
            </w:r>
          </w:p>
        </w:tc>
        <w:tc>
          <w:tcPr>
            <w:tcW w:w="540" w:type="dxa"/>
          </w:tcPr>
          <w:p>
            <w:pPr>
              <w:jc w:val="center"/>
              <w:spacing w:before="10" w:after="10"/>
            </w:pPr>
            <w:r/>
            <w:r>
              <w:rPr>
                <w:rFonts w:ascii="Times New Roman" w:hAnsi="Times New Roman"/>
                <w:sz w:val="16"/>
              </w:rPr>
              <w:t>61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$2.35</w:t>
            </w:r>
          </w:p>
        </w:tc>
        <w:tc>
          <w:tcPr>
            <w:tcW w:w="540" w:type="dxa"/>
          </w:tcPr>
          <w:p>
            <w:pPr>
              <w:jc w:val="center"/>
              <w:spacing w:before="10" w:after="10"/>
            </w:pPr>
            <w:r/>
            <w:r>
              <w:rPr>
                <w:rFonts w:ascii="Times New Roman" w:hAnsi="Times New Roman"/>
                <w:b/>
                <w:sz w:val="16"/>
              </w:rPr>
              <w:t>61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-52</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$2.36</w:t>
            </w:r>
          </w:p>
        </w:tc>
        <w:tc>
          <w:tcPr>
            <w:tcW w:w="450" w:type="dxa"/>
          </w:tcPr>
          <w:p>
            <w:pPr>
              <w:jc w:val="center"/>
              <w:spacing w:before="10" w:after="10"/>
            </w:pPr>
            <w:r/>
            <w:r>
              <w:rPr>
                <w:rFonts w:ascii="Times New Roman" w:hAnsi="Times New Roman"/>
                <w:sz w:val="16"/>
              </w:rPr>
              <w:t>0.62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$2.36</w:t>
            </w:r>
          </w:p>
        </w:tc>
        <w:tc>
          <w:tcPr>
            <w:tcW w:w="540" w:type="dxa"/>
          </w:tcPr>
          <w:p>
            <w:pPr>
              <w:jc w:val="center"/>
              <w:spacing w:before="10" w:after="10"/>
            </w:pPr>
            <w:r/>
            <w:r>
              <w:rPr>
                <w:rFonts w:ascii="Times New Roman" w:hAnsi="Times New Roman"/>
                <w:b/>
                <w:sz w:val="16"/>
              </w:rPr>
              <w:t>62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-44</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$2.53</w:t>
            </w:r>
          </w:p>
        </w:tc>
        <w:tc>
          <w:tcPr>
            <w:tcW w:w="450" w:type="dxa"/>
          </w:tcPr>
          <w:p>
            <w:pPr>
              <w:jc w:val="center"/>
              <w:spacing w:before="10" w:after="10"/>
            </w:pPr>
            <w:r/>
            <w:r>
              <w:rPr>
                <w:rFonts w:ascii="Times New Roman" w:hAnsi="Times New Roman"/>
                <w:sz w:val="16"/>
              </w:rPr>
              <w:t>0.58</w:t>
            </w:r>
          </w:p>
        </w:tc>
        <w:tc>
          <w:tcPr>
            <w:tcW w:w="540" w:type="dxa"/>
          </w:tcPr>
          <w:p>
            <w:pPr>
              <w:jc w:val="center"/>
              <w:spacing w:before="10" w:after="10"/>
            </w:pPr>
            <w:r/>
            <w:r>
              <w:rPr>
                <w:rFonts w:ascii="Times New Roman" w:hAnsi="Times New Roman"/>
                <w:sz w:val="16"/>
              </w:rPr>
              <w:t>68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$2.53</w:t>
            </w:r>
          </w:p>
        </w:tc>
        <w:tc>
          <w:tcPr>
            <w:tcW w:w="540" w:type="dxa"/>
          </w:tcPr>
          <w:p>
            <w:pPr>
              <w:jc w:val="center"/>
              <w:spacing w:before="10" w:after="10"/>
            </w:pPr>
            <w:r/>
            <w:r>
              <w:rPr>
                <w:rFonts w:ascii="Times New Roman" w:hAnsi="Times New Roman"/>
                <w:b/>
                <w:sz w:val="16"/>
              </w:rPr>
              <w:t>68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-52</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$2.74</w:t>
            </w:r>
          </w:p>
        </w:tc>
        <w:tc>
          <w:tcPr>
            <w:tcW w:w="450" w:type="dxa"/>
          </w:tcPr>
          <w:p>
            <w:pPr>
              <w:jc w:val="center"/>
              <w:spacing w:before="10" w:after="10"/>
            </w:pPr>
            <w:r/>
            <w:r>
              <w:rPr>
                <w:rFonts w:ascii="Times New Roman" w:hAnsi="Times New Roman"/>
                <w:sz w:val="16"/>
              </w:rPr>
              <w:t>0.52</w:t>
            </w:r>
          </w:p>
        </w:tc>
        <w:tc>
          <w:tcPr>
            <w:tcW w:w="540" w:type="dxa"/>
          </w:tcPr>
          <w:p>
            <w:pPr>
              <w:jc w:val="center"/>
              <w:spacing w:before="10" w:after="10"/>
            </w:pPr>
            <w:r/>
            <w:r>
              <w:rPr>
                <w:rFonts w:ascii="Times New Roman" w:hAnsi="Times New Roman"/>
                <w:sz w:val="16"/>
              </w:rPr>
              <w:t>71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$2.74</w:t>
            </w:r>
          </w:p>
        </w:tc>
        <w:tc>
          <w:tcPr>
            <w:tcW w:w="540" w:type="dxa"/>
          </w:tcPr>
          <w:p>
            <w:pPr>
              <w:jc w:val="center"/>
              <w:spacing w:before="10" w:after="10"/>
            </w:pPr>
            <w:r/>
            <w:r>
              <w:rPr>
                <w:rFonts w:ascii="Times New Roman" w:hAnsi="Times New Roman"/>
                <w:b/>
                <w:sz w:val="16"/>
              </w:rPr>
              <w:t>71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-67</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$1.43</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$2.79</w:t>
            </w:r>
          </w:p>
        </w:tc>
        <w:tc>
          <w:tcPr>
            <w:tcW w:w="450" w:type="dxa"/>
          </w:tcPr>
          <w:p>
            <w:pPr>
              <w:jc w:val="center"/>
              <w:spacing w:before="10" w:after="10"/>
            </w:pPr>
            <w:r/>
            <w:r>
              <w:rPr>
                <w:rFonts w:ascii="Times New Roman" w:hAnsi="Times New Roman"/>
                <w:sz w:val="16"/>
              </w:rPr>
              <w:t>0.53</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$2.79</w:t>
            </w:r>
          </w:p>
        </w:tc>
        <w:tc>
          <w:tcPr>
            <w:tcW w:w="540" w:type="dxa"/>
          </w:tcPr>
          <w:p>
            <w:pPr>
              <w:jc w:val="center"/>
              <w:spacing w:before="10" w:after="10"/>
            </w:pPr>
            <w:r/>
            <w:r>
              <w:rPr>
                <w:rFonts w:ascii="Times New Roman" w:hAnsi="Times New Roman"/>
                <w:b/>
                <w:sz w:val="16"/>
              </w:rPr>
              <w:t>73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-68</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$3.27</w:t>
            </w:r>
          </w:p>
        </w:tc>
        <w:tc>
          <w:tcPr>
            <w:tcW w:w="450" w:type="dxa"/>
          </w:tcPr>
          <w:p>
            <w:pPr>
              <w:jc w:val="center"/>
              <w:spacing w:before="10" w:after="10"/>
            </w:pPr>
            <w:r/>
            <w:r>
              <w:rPr>
                <w:rFonts w:ascii="Times New Roman" w:hAnsi="Times New Roman"/>
                <w:sz w:val="16"/>
              </w:rPr>
              <w:t>0.45</w:t>
            </w:r>
          </w:p>
        </w:tc>
        <w:tc>
          <w:tcPr>
            <w:tcW w:w="540" w:type="dxa"/>
          </w:tcPr>
          <w:p>
            <w:pPr>
              <w:jc w:val="center"/>
              <w:spacing w:before="10" w:after="10"/>
            </w:pPr>
            <w:r/>
            <w:r>
              <w:rPr>
                <w:rFonts w:ascii="Times New Roman" w:hAnsi="Times New Roman"/>
                <w:sz w:val="16"/>
              </w:rPr>
              <w:t>80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$3.27</w:t>
            </w:r>
          </w:p>
        </w:tc>
        <w:tc>
          <w:tcPr>
            <w:tcW w:w="540" w:type="dxa"/>
          </w:tcPr>
          <w:p>
            <w:pPr>
              <w:jc w:val="center"/>
              <w:spacing w:before="10" w:after="10"/>
            </w:pPr>
            <w:r/>
            <w:r>
              <w:rPr>
                <w:rFonts w:ascii="Times New Roman" w:hAnsi="Times New Roman"/>
                <w:b/>
                <w:sz w:val="16"/>
              </w:rPr>
              <w:t>80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-72</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$3.37</w:t>
            </w:r>
          </w:p>
        </w:tc>
        <w:tc>
          <w:tcPr>
            <w:tcW w:w="450" w:type="dxa"/>
          </w:tcPr>
          <w:p>
            <w:pPr>
              <w:jc w:val="center"/>
              <w:spacing w:before="10" w:after="10"/>
            </w:pPr>
            <w:r/>
            <w:r>
              <w:rPr>
                <w:rFonts w:ascii="Times New Roman" w:hAnsi="Times New Roman"/>
                <w:sz w:val="16"/>
              </w:rPr>
              <w:t>0.43</w:t>
            </w:r>
          </w:p>
        </w:tc>
        <w:tc>
          <w:tcPr>
            <w:tcW w:w="540" w:type="dxa"/>
          </w:tcPr>
          <w:p>
            <w:pPr>
              <w:jc w:val="center"/>
              <w:spacing w:before="10" w:after="10"/>
            </w:pPr>
            <w:r/>
            <w:r>
              <w:rPr>
                <w:rFonts w:ascii="Times New Roman" w:hAnsi="Times New Roman"/>
                <w:sz w:val="16"/>
              </w:rPr>
              <w:t>81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$3.37</w:t>
            </w:r>
          </w:p>
        </w:tc>
        <w:tc>
          <w:tcPr>
            <w:tcW w:w="540" w:type="dxa"/>
          </w:tcPr>
          <w:p>
            <w:pPr>
              <w:jc w:val="center"/>
              <w:spacing w:before="10" w:after="10"/>
            </w:pPr>
            <w:r/>
            <w:r>
              <w:rPr>
                <w:rFonts w:ascii="Times New Roman" w:hAnsi="Times New Roman"/>
                <w:b/>
                <w:sz w:val="16"/>
              </w:rPr>
              <w:t>81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-69</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$3.43</w:t>
            </w:r>
          </w:p>
        </w:tc>
        <w:tc>
          <w:tcPr>
            <w:tcW w:w="450" w:type="dxa"/>
          </w:tcPr>
          <w:p>
            <w:pPr>
              <w:jc w:val="center"/>
              <w:spacing w:before="10" w:after="10"/>
            </w:pPr>
            <w:r/>
            <w:r>
              <w:rPr>
                <w:rFonts w:ascii="Times New Roman" w:hAnsi="Times New Roman"/>
                <w:sz w:val="16"/>
              </w:rPr>
              <w:t>0.42</w:t>
            </w:r>
          </w:p>
        </w:tc>
        <w:tc>
          <w:tcPr>
            <w:tcW w:w="540" w:type="dxa"/>
          </w:tcPr>
          <w:p>
            <w:pPr>
              <w:jc w:val="center"/>
              <w:spacing w:before="10" w:after="10"/>
            </w:pPr>
            <w:r/>
            <w:r>
              <w:rPr>
                <w:rFonts w:ascii="Times New Roman" w:hAnsi="Times New Roman"/>
                <w:sz w:val="16"/>
              </w:rPr>
              <w:t>82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$3.43</w:t>
            </w:r>
          </w:p>
        </w:tc>
        <w:tc>
          <w:tcPr>
            <w:tcW w:w="540" w:type="dxa"/>
          </w:tcPr>
          <w:p>
            <w:pPr>
              <w:jc w:val="center"/>
              <w:spacing w:before="10" w:after="10"/>
            </w:pPr>
            <w:r/>
            <w:r>
              <w:rPr>
                <w:rFonts w:ascii="Times New Roman" w:hAnsi="Times New Roman"/>
                <w:b/>
                <w:sz w:val="16"/>
              </w:rPr>
              <w:t>82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-79</w:t>
            </w:r>
          </w:p>
        </w:tc>
      </w:tr>
      <w:tr>
        <w:tc>
          <w:tcPr>
            <w:tcW w:w="1800" w:type="dxa"/>
          </w:tcPr>
          <w:p>
            <w:pPr>
              <w:jc w:val="left"/>
              <w:spacing w:before="10" w:after="10"/>
            </w:pPr>
            <w:r/>
            <w:r>
              <w:rPr>
                <w:rFonts w:ascii="Times New Roman" w:hAnsi="Times New Roman"/>
                <w:sz w:val="16"/>
              </w:rPr>
              <w:t>Iran</w:t>
            </w:r>
          </w:p>
        </w:tc>
        <w:tc>
          <w:tcPr>
            <w:tcW w:w="900" w:type="dxa"/>
          </w:tcPr>
          <w:p>
            <w:pPr>
              <w:jc w:val="center"/>
              <w:spacing w:before="10" w:after="10"/>
            </w:pPr>
            <w:r/>
            <w:r>
              <w:rPr>
                <w:rFonts w:ascii="Times New Roman" w:hAnsi="Times New Roman"/>
                <w:sz w:val="16"/>
              </w:rPr>
              <w:t>$1.40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$3.77</w:t>
            </w:r>
          </w:p>
        </w:tc>
        <w:tc>
          <w:tcPr>
            <w:tcW w:w="450" w:type="dxa"/>
          </w:tcPr>
          <w:p>
            <w:pPr>
              <w:jc w:val="center"/>
              <w:spacing w:before="10" w:after="10"/>
            </w:pPr>
            <w:r/>
            <w:r>
              <w:rPr>
                <w:rFonts w:ascii="Times New Roman" w:hAnsi="Times New Roman"/>
                <w:sz w:val="16"/>
              </w:rPr>
              <w:t>0.39</w:t>
            </w:r>
          </w:p>
        </w:tc>
        <w:tc>
          <w:tcPr>
            <w:tcW w:w="540" w:type="dxa"/>
          </w:tcPr>
          <w:p>
            <w:pPr>
              <w:jc w:val="center"/>
              <w:spacing w:before="10" w:after="10"/>
            </w:pPr>
            <w:r/>
            <w:r>
              <w:rPr>
                <w:rFonts w:ascii="Times New Roman" w:hAnsi="Times New Roman"/>
                <w:sz w:val="16"/>
              </w:rPr>
              <w:t>83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$3.77</w:t>
            </w:r>
          </w:p>
        </w:tc>
        <w:tc>
          <w:tcPr>
            <w:tcW w:w="540" w:type="dxa"/>
          </w:tcPr>
          <w:p>
            <w:pPr>
              <w:jc w:val="center"/>
              <w:spacing w:before="10" w:after="10"/>
            </w:pPr>
            <w:r/>
            <w:r>
              <w:rPr>
                <w:rFonts w:ascii="Times New Roman" w:hAnsi="Times New Roman"/>
                <w:b/>
                <w:sz w:val="16"/>
              </w:rPr>
              <w:t>83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-82</w:t>
            </w:r>
          </w:p>
        </w:tc>
      </w:tr>
      <w:tr>
        <w:tc>
          <w:tcPr>
            <w:tcBorders>
              <w:bottom w:val="double" w:sz="4" w:space="0" w:color="auto"/>
            </w:tcBorders>
            <w:tcW w:w="1800" w:type="dxa"/>
          </w:tcPr>
          <w:p>
            <w:pPr>
              <w:jc w:val="left"/>
              <w:spacing w:before="10" w:after="10"/>
            </w:pPr>
            <w:r/>
            <w:r>
              <w:rPr>
                <w:rFonts w:ascii="Times New Roman" w:hAnsi="Times New Roman"/>
                <w:sz w:val="16"/>
              </w:rPr>
              <w:t>Turkmenistan</w:t>
            </w:r>
          </w:p>
        </w:tc>
        <w:tc>
          <w:tcPr>
            <w:tcBorders>
              <w:bottom w:val="double" w:sz="4" w:space="0" w:color="auto"/>
            </w:tcBorders>
            <w:tcW w:w="900" w:type="dxa"/>
          </w:tcPr>
          <w:p>
            <w:pPr>
              <w:jc w:val="center"/>
              <w:spacing w:before="10" w:after="10"/>
            </w:pPr>
            <w:r/>
            <w:r>
              <w:rPr>
                <w:rFonts w:ascii="Times New Roman" w:hAnsi="Times New Roman"/>
                <w:sz w:val="16"/>
              </w:rPr>
              <w:t>$1.41</w:t>
            </w:r>
          </w:p>
        </w:tc>
        <w:tc>
          <w:tcPr>
            <w:tcBorders>
              <w:bottom w:val="double" w:sz="4" w:space="0" w:color="auto"/>
            </w:tcBorders>
            <w:tcW w:w="540" w:type="dxa"/>
          </w:tcPr>
          <w:p>
            <w:pPr>
              <w:jc w:val="center"/>
              <w:spacing w:before="10" w:after="10"/>
            </w:pPr>
            <w:r/>
            <w:r>
              <w:rPr>
                <w:rFonts w:ascii="Times New Roman" w:hAnsi="Times New Roman"/>
                <w:sz w:val="16"/>
              </w:rPr>
              <w:t>2</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$1.47</w:t>
            </w:r>
          </w:p>
        </w:tc>
        <w:tc>
          <w:tcPr>
            <w:tcBorders>
              <w:bottom w:val="double" w:sz="4" w:space="0" w:color="auto"/>
            </w:tcBorders>
            <w:tcW w:w="540" w:type="dxa"/>
          </w:tcPr>
          <w:p>
            <w:pPr>
              <w:jc w:val="center"/>
              <w:spacing w:before="10" w:after="10"/>
            </w:pPr>
            <w:r/>
            <w:r>
              <w:rPr>
                <w:rFonts w:ascii="Times New Roman" w:hAnsi="Times New Roman"/>
                <w:sz w:val="16"/>
              </w:rPr>
              <w:t>18</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$4.27</w:t>
            </w:r>
          </w:p>
        </w:tc>
        <w:tc>
          <w:tcPr>
            <w:tcBorders>
              <w:bottom w:val="double" w:sz="4" w:space="0" w:color="auto"/>
            </w:tcBorders>
            <w:tcW w:w="450" w:type="dxa"/>
          </w:tcPr>
          <w:p>
            <w:pPr>
              <w:jc w:val="center"/>
              <w:spacing w:before="10" w:after="10"/>
            </w:pPr>
            <w:r/>
            <w:r>
              <w:rPr>
                <w:rFonts w:ascii="Times New Roman" w:hAnsi="Times New Roman"/>
                <w:sz w:val="16"/>
              </w:rPr>
              <w:t>0.34</w:t>
            </w:r>
          </w:p>
        </w:tc>
        <w:tc>
          <w:tcPr>
            <w:tcBorders>
              <w:bottom w:val="double" w:sz="4" w:space="0" w:color="auto"/>
            </w:tcBorders>
            <w:tcW w:w="540" w:type="dxa"/>
          </w:tcPr>
          <w:p>
            <w:pPr>
              <w:jc w:val="center"/>
              <w:spacing w:before="10" w:after="10"/>
            </w:pPr>
            <w:r/>
            <w:r>
              <w:rPr>
                <w:rFonts w:ascii="Times New Roman" w:hAnsi="Times New Roman"/>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$4.27</w:t>
            </w:r>
          </w:p>
        </w:tc>
        <w:tc>
          <w:tcPr>
            <w:tcBorders>
              <w:bottom w:val="double" w:sz="4" w:space="0" w:color="auto"/>
            </w:tcBorders>
            <w:tcW w:w="540" w:type="dxa"/>
          </w:tcPr>
          <w:p>
            <w:pPr>
              <w:jc w:val="center"/>
              <w:spacing w:before="10" w:after="10"/>
            </w:pPr>
            <w:r/>
            <w:r>
              <w:rPr>
                <w:rFonts w:ascii="Times New Roman" w:hAnsi="Times New Roman"/>
                <w:b/>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-83</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cost-recovery price divided by production-efficiency index ξⱼᵉᶠᶠ; the ξ column reports each country’s efficiency index (preferred specification). (4) Bilateral: efficiency-adjusted cost with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4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1000" w:type="dxa"/>
          </w:tcPr>
          <w:p>
            <w:pPr>
              <w:jc w:val="center"/>
              <w:spacing w:before="10" w:after="10"/>
              <w:spacing w:before="10" w:after="10"/>
            </w:pPr>
            <w:r/>
            <w:r>
              <w:rPr>
                <w:rFonts w:ascii="Times New Roman" w:hAnsi="Times New Roman"/>
                <w:b/>
                <w:sz w:val="16"/>
              </w:rPr>
              <w:t>(4)/(5)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1100" w:type="dxa"/>
          </w:tcPr>
          <w:p>
            <w:pPr>
              <w:jc w:val="center"/>
              <w:spacing w:before="10" w:after="10"/>
              <w:spacing w:before="10" w:after="10"/>
              <w:spacing w:before="10" w:after="10"/>
            </w:pPr>
            <w:r/>
            <w:r>
              <w:rPr>
                <w:rFonts w:ascii="Times New Roman" w:hAnsi="Times New Roman"/>
                <w:b/>
                <w:sz w:val="16"/>
              </w:rPr>
              <w:t>(6) Uniform</w:t>
            </w:r>
          </w:p>
        </w:tc>
      </w:tr>
      <w:tr>
        <w:tc>
          <w:tcPr>
            <w:tcBorders>
              <w:top w:val="single" w:sz="4" w:space="0" w:color="auto"/>
              <w:bottom w:val="single" w:sz="4" w:space="0" w:color="auto"/>
            </w:tcBorders>
            <w:tcW w:w="2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3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400" w:type="dxa"/>
          </w:tcPr>
          <w:p>
            <w:pPr>
              <w:jc w:val="left"/>
              <w:spacing w:before="10" w:after="10"/>
            </w:pPr>
            <w:r/>
            <w:r>
              <w:rPr>
                <w:rFonts w:ascii="Times New Roman" w:hAnsi="Times New Roman"/>
                <w:sz w:val="16"/>
              </w:rPr>
              <w:t>Norway</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w:t>
            </w:r>
          </w:p>
        </w:tc>
        <w:tc>
          <w:tcPr>
            <w:tcW w:w="1100" w:type="dxa"/>
          </w:tcPr>
          <w:p>
            <w:pPr>
              <w:jc w:val="center"/>
              <w:spacing w:before="10" w:after="10"/>
            </w:pPr>
            <w:r/>
            <w:r>
              <w:rPr>
                <w:rFonts w:ascii="Times New Roman" w:hAnsi="Times New Roman"/>
                <w:sz w:val="16"/>
              </w:rPr>
              <w:t>−7.7%</w:t>
            </w:r>
          </w:p>
        </w:tc>
      </w:tr>
      <w:tr>
        <w:tc>
          <w:tcPr>
            <w:tcW w:w="2400" w:type="dxa"/>
          </w:tcPr>
          <w:p>
            <w:pPr>
              <w:jc w:val="left"/>
              <w:spacing w:before="10" w:after="10"/>
            </w:pPr>
            <w:r/>
            <w:r>
              <w:rPr>
                <w:rFonts w:ascii="Times New Roman" w:hAnsi="Times New Roman"/>
                <w:sz w:val="16"/>
              </w:rPr>
              <w:t>Finland</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w:t>
            </w:r>
          </w:p>
        </w:tc>
        <w:tc>
          <w:tcPr>
            <w:tcW w:w="1100" w:type="dxa"/>
          </w:tcPr>
          <w:p>
            <w:pPr>
              <w:jc w:val="center"/>
              <w:spacing w:before="10" w:after="10"/>
            </w:pPr>
            <w:r/>
            <w:r>
              <w:rPr>
                <w:rFonts w:ascii="Times New Roman" w:hAnsi="Times New Roman"/>
                <w:sz w:val="16"/>
              </w:rPr>
              <w:t>−7.5%</w:t>
            </w:r>
          </w:p>
        </w:tc>
      </w:tr>
      <w:tr>
        <w:tc>
          <w:tcPr>
            <w:tcW w:w="2400" w:type="dxa"/>
          </w:tcPr>
          <w:p>
            <w:pPr>
              <w:jc w:val="left"/>
              <w:spacing w:before="10" w:after="10"/>
            </w:pPr>
            <w:r/>
            <w:r>
              <w:rPr>
                <w:rFonts w:ascii="Times New Roman" w:hAnsi="Times New Roman"/>
                <w:sz w:val="16"/>
              </w:rPr>
              <w:t>Canada</w:t>
            </w:r>
          </w:p>
        </w:tc>
        <w:tc>
          <w:tcPr>
            <w:tcW w:w="1300" w:type="dxa"/>
          </w:tcPr>
          <w:p>
            <w:pPr>
              <w:jc w:val="center"/>
              <w:spacing w:before="10" w:after="10"/>
            </w:pPr>
            <w:r/>
            <w:r>
              <w:rPr>
                <w:rFonts w:ascii="Times New Roman" w:hAnsi="Times New Roman"/>
                <w:sz w:val="16"/>
              </w:rPr>
              <w:t>$1.48</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w:t>
            </w:r>
          </w:p>
        </w:tc>
        <w:tc>
          <w:tcPr>
            <w:tcW w:w="1100" w:type="dxa"/>
          </w:tcPr>
          <w:p>
            <w:pPr>
              <w:jc w:val="center"/>
              <w:spacing w:before="10" w:after="10"/>
            </w:pPr>
            <w:r/>
            <w:r>
              <w:rPr>
                <w:rFonts w:ascii="Times New Roman" w:hAnsi="Times New Roman"/>
                <w:sz w:val="16"/>
              </w:rPr>
              <w:t>−7.2%</w:t>
            </w:r>
          </w:p>
        </w:tc>
      </w:tr>
      <w:tr>
        <w:tc>
          <w:tcPr>
            <w:tcW w:w="2400" w:type="dxa"/>
          </w:tcPr>
          <w:p>
            <w:pPr>
              <w:jc w:val="left"/>
              <w:spacing w:before="10" w:after="10"/>
            </w:pPr>
            <w:r/>
            <w:r>
              <w:rPr>
                <w:rFonts w:ascii="Times New Roman" w:hAnsi="Times New Roman"/>
                <w:sz w:val="16"/>
              </w:rPr>
              <w:t>Sweden</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4</w:t>
            </w:r>
          </w:p>
        </w:tc>
        <w:tc>
          <w:tcPr>
            <w:tcW w:w="1100" w:type="dxa"/>
          </w:tcPr>
          <w:p>
            <w:pPr>
              <w:jc w:val="center"/>
              <w:spacing w:before="10" w:after="10"/>
            </w:pPr>
            <w:r/>
            <w:r>
              <w:rPr>
                <w:rFonts w:ascii="Times New Roman" w:hAnsi="Times New Roman"/>
                <w:sz w:val="16"/>
              </w:rPr>
              <w:t>−6.2%</w:t>
            </w:r>
          </w:p>
        </w:tc>
      </w:tr>
      <w:tr>
        <w:tc>
          <w:tcPr>
            <w:tcW w:w="2400" w:type="dxa"/>
          </w:tcPr>
          <w:p>
            <w:pPr>
              <w:jc w:val="left"/>
              <w:spacing w:before="10" w:after="10"/>
            </w:pPr>
            <w:r/>
            <w:r>
              <w:rPr>
                <w:rFonts w:ascii="Times New Roman" w:hAnsi="Times New Roman"/>
                <w:sz w:val="16"/>
              </w:rPr>
              <w:t>South Africa</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5</w:t>
            </w:r>
          </w:p>
        </w:tc>
        <w:tc>
          <w:tcPr>
            <w:tcW w:w="1100" w:type="dxa"/>
          </w:tcPr>
          <w:p>
            <w:pPr>
              <w:jc w:val="center"/>
              <w:spacing w:before="10" w:after="10"/>
            </w:pPr>
            <w:r/>
            <w:r>
              <w:rPr>
                <w:rFonts w:ascii="Times New Roman" w:hAnsi="Times New Roman"/>
                <w:sz w:val="16"/>
              </w:rPr>
              <w:t>−6.2%</w:t>
            </w:r>
          </w:p>
        </w:tc>
      </w:tr>
      <w:tr>
        <w:tc>
          <w:tcPr>
            <w:tcW w:w="2400" w:type="dxa"/>
          </w:tcPr>
          <w:p>
            <w:pPr>
              <w:jc w:val="left"/>
              <w:spacing w:before="10" w:after="10"/>
            </w:pPr>
            <w:r/>
            <w:r>
              <w:rPr>
                <w:rFonts w:ascii="Times New Roman" w:hAnsi="Times New Roman"/>
                <w:sz w:val="16"/>
              </w:rPr>
              <w:t>Australia</w:t>
            </w:r>
          </w:p>
        </w:tc>
        <w:tc>
          <w:tcPr>
            <w:tcW w:w="1300" w:type="dxa"/>
          </w:tcPr>
          <w:p>
            <w:pPr>
              <w:jc w:val="center"/>
              <w:spacing w:before="10" w:after="10"/>
            </w:pPr>
            <w:r/>
            <w:r>
              <w:rPr>
                <w:rFonts w:ascii="Times New Roman" w:hAnsi="Times New Roman"/>
                <w:sz w:val="16"/>
              </w:rPr>
              <w:t>$1.52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10</w:t>
            </w:r>
          </w:p>
        </w:tc>
        <w:tc>
          <w:tcPr>
            <w:tcW w:w="1100" w:type="dxa"/>
          </w:tcPr>
          <w:p>
            <w:pPr>
              <w:jc w:val="center"/>
              <w:spacing w:before="10" w:after="10"/>
            </w:pPr>
            <w:r/>
            <w:r>
              <w:rPr>
                <w:rFonts w:ascii="Times New Roman" w:hAnsi="Times New Roman"/>
                <w:sz w:val="16"/>
              </w:rPr>
              <w:t>−4.3%</w:t>
            </w:r>
          </w:p>
        </w:tc>
      </w:tr>
      <w:tr>
        <w:tc>
          <w:tcPr>
            <w:tcW w:w="2400" w:type="dxa"/>
          </w:tcPr>
          <w:p>
            <w:pPr>
              <w:jc w:val="left"/>
              <w:spacing w:before="10" w:after="10"/>
            </w:pPr>
            <w:r/>
            <w:r>
              <w:rPr>
                <w:rFonts w:ascii="Times New Roman" w:hAnsi="Times New Roman"/>
                <w:sz w:val="16"/>
              </w:rPr>
              <w:t>France</w:t>
            </w:r>
          </w:p>
        </w:tc>
        <w:tc>
          <w:tcPr>
            <w:tcW w:w="1300" w:type="dxa"/>
          </w:tcPr>
          <w:p>
            <w:pPr>
              <w:jc w:val="center"/>
              <w:spacing w:before="10" w:after="10"/>
            </w:pPr>
            <w:r/>
            <w:r>
              <w:rPr>
                <w:rFonts w:ascii="Times New Roman" w:hAnsi="Times New Roman"/>
                <w:sz w:val="16"/>
              </w:rPr>
              <w:t>$1.57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15</w:t>
            </w:r>
          </w:p>
        </w:tc>
        <w:tc>
          <w:tcPr>
            <w:tcW w:w="1100" w:type="dxa"/>
          </w:tcPr>
          <w:p>
            <w:pPr>
              <w:jc w:val="center"/>
              <w:spacing w:before="10" w:after="10"/>
            </w:pPr>
            <w:r/>
            <w:r>
              <w:rPr>
                <w:rFonts w:ascii="Times New Roman" w:hAnsi="Times New Roman"/>
                <w:sz w:val="16"/>
              </w:rPr>
              <w:t>−1.4%</w:t>
            </w:r>
          </w:p>
        </w:tc>
      </w:tr>
      <w:tr>
        <w:tc>
          <w:tcPr>
            <w:tcW w:w="2400" w:type="dxa"/>
          </w:tcPr>
          <w:p>
            <w:pPr>
              <w:jc w:val="left"/>
              <w:spacing w:before="10" w:after="10"/>
            </w:pPr>
            <w:r/>
            <w:r>
              <w:rPr>
                <w:rFonts w:ascii="Times New Roman" w:hAnsi="Times New Roman"/>
                <w:sz w:val="16"/>
              </w:rPr>
              <w:t>UK</w:t>
            </w:r>
          </w:p>
        </w:tc>
        <w:tc>
          <w:tcPr>
            <w:tcW w:w="1300" w:type="dxa"/>
          </w:tcPr>
          <w:p>
            <w:pPr>
              <w:jc w:val="center"/>
              <w:spacing w:before="10" w:after="10"/>
            </w:pPr>
            <w:r/>
            <w:r>
              <w:rPr>
                <w:rFonts w:ascii="Times New Roman" w:hAnsi="Times New Roman"/>
                <w:sz w:val="16"/>
              </w:rPr>
              <w:t>$1.57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16</w:t>
            </w:r>
          </w:p>
        </w:tc>
        <w:tc>
          <w:tcPr>
            <w:tcW w:w="1100" w:type="dxa"/>
          </w:tcPr>
          <w:p>
            <w:pPr>
              <w:jc w:val="center"/>
              <w:spacing w:before="10" w:after="10"/>
            </w:pPr>
            <w:r/>
            <w:r>
              <w:rPr>
                <w:rFonts w:ascii="Times New Roman" w:hAnsi="Times New Roman"/>
                <w:sz w:val="16"/>
              </w:rPr>
              <w:t>−1.3%</w:t>
            </w:r>
          </w:p>
        </w:tc>
      </w:tr>
      <w:tr>
        <w:tc>
          <w:tcPr>
            <w:tcW w:w="2400" w:type="dxa"/>
          </w:tcPr>
          <w:p>
            <w:pPr>
              <w:jc w:val="left"/>
              <w:spacing w:before="10" w:after="10"/>
            </w:pPr>
            <w:r/>
            <w:r>
              <w:rPr>
                <w:rFonts w:ascii="Times New Roman" w:hAnsi="Times New Roman"/>
                <w:sz w:val="16"/>
              </w:rPr>
              <w:t>USA</w:t>
            </w:r>
          </w:p>
        </w:tc>
        <w:tc>
          <w:tcPr>
            <w:tcW w:w="1300" w:type="dxa"/>
          </w:tcPr>
          <w:p>
            <w:pPr>
              <w:jc w:val="center"/>
              <w:spacing w:before="10" w:after="10"/>
            </w:pPr>
            <w:r/>
            <w:r>
              <w:rPr>
                <w:rFonts w:ascii="Times New Roman" w:hAnsi="Times New Roman"/>
                <w:sz w:val="16"/>
              </w:rPr>
              <w:t>$1.59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20</w:t>
            </w:r>
          </w:p>
        </w:tc>
        <w:tc>
          <w:tcPr>
            <w:tcW w:w="1100" w:type="dxa"/>
          </w:tcPr>
          <w:p>
            <w:pPr>
              <w:jc w:val="center"/>
              <w:spacing w:before="10" w:after="10"/>
            </w:pPr>
            <w:r/>
            <w:r>
              <w:rPr>
                <w:rFonts w:ascii="Times New Roman" w:hAnsi="Times New Roman"/>
                <w:sz w:val="16"/>
              </w:rPr>
              <w:t>−0.0%</w:t>
            </w:r>
          </w:p>
        </w:tc>
      </w:tr>
      <w:tr>
        <w:tc>
          <w:tcPr>
            <w:tcW w:w="2400" w:type="dxa"/>
          </w:tcPr>
          <w:p>
            <w:pPr>
              <w:jc w:val="left"/>
              <w:spacing w:before="10" w:after="10"/>
            </w:pPr>
            <w:r/>
            <w:r>
              <w:rPr>
                <w:rFonts w:ascii="Times New Roman" w:hAnsi="Times New Roman"/>
                <w:sz w:val="16"/>
              </w:rPr>
              <w:t>Japan</w:t>
            </w:r>
          </w:p>
        </w:tc>
        <w:tc>
          <w:tcPr>
            <w:tcW w:w="1300" w:type="dxa"/>
          </w:tcPr>
          <w:p>
            <w:pPr>
              <w:jc w:val="center"/>
              <w:spacing w:before="10" w:after="10"/>
            </w:pPr>
            <w:r/>
            <w:r>
              <w:rPr>
                <w:rFonts w:ascii="Times New Roman" w:hAnsi="Times New Roman"/>
                <w:sz w:val="16"/>
              </w:rPr>
              <w:t>$1.59</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21</w:t>
            </w:r>
          </w:p>
        </w:tc>
        <w:tc>
          <w:tcPr>
            <w:tcW w:w="1100" w:type="dxa"/>
          </w:tcPr>
          <w:p>
            <w:pPr>
              <w:jc w:val="center"/>
              <w:spacing w:before="10" w:after="10"/>
            </w:pPr>
            <w:r/>
            <w:r>
              <w:rPr>
                <w:rFonts w:ascii="Times New Roman" w:hAnsi="Times New Roman"/>
                <w:sz w:val="16"/>
              </w:rPr>
              <w:t>0.2%</w:t>
            </w:r>
          </w:p>
        </w:tc>
      </w:tr>
      <w:tr>
        <w:tc>
          <w:tcPr>
            <w:tcW w:w="2400" w:type="dxa"/>
          </w:tcPr>
          <w:p>
            <w:pPr>
              <w:jc w:val="left"/>
              <w:spacing w:before="10" w:after="10"/>
            </w:pPr>
            <w:r/>
            <w:r>
              <w:rPr>
                <w:rFonts w:ascii="Times New Roman" w:hAnsi="Times New Roman"/>
                <w:sz w:val="16"/>
              </w:rPr>
              <w:t>Germany</w:t>
            </w:r>
          </w:p>
        </w:tc>
        <w:tc>
          <w:tcPr>
            <w:tcW w:w="1300" w:type="dxa"/>
          </w:tcPr>
          <w:p>
            <w:pPr>
              <w:jc w:val="center"/>
              <w:spacing w:before="10" w:after="10"/>
            </w:pPr>
            <w:r/>
            <w:r>
              <w:rPr>
                <w:rFonts w:ascii="Times New Roman" w:hAnsi="Times New Roman"/>
                <w:sz w:val="16"/>
              </w:rPr>
              <w:t>$1.60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22</w:t>
            </w:r>
          </w:p>
        </w:tc>
        <w:tc>
          <w:tcPr>
            <w:tcW w:w="1100" w:type="dxa"/>
          </w:tcPr>
          <w:p>
            <w:pPr>
              <w:jc w:val="center"/>
              <w:spacing w:before="10" w:after="10"/>
            </w:pPr>
            <w:r/>
            <w:r>
              <w:rPr>
                <w:rFonts w:ascii="Times New Roman" w:hAnsi="Times New Roman"/>
                <w:sz w:val="16"/>
              </w:rPr>
              <w:t>0.6%</w:t>
            </w:r>
          </w:p>
        </w:tc>
      </w:tr>
      <w:tr>
        <w:tc>
          <w:tcPr>
            <w:tcW w:w="2400" w:type="dxa"/>
          </w:tcPr>
          <w:p>
            <w:pPr>
              <w:jc w:val="left"/>
              <w:spacing w:before="10" w:after="10"/>
            </w:pPr>
            <w:r/>
            <w:r>
              <w:rPr>
                <w:rFonts w:ascii="Times New Roman" w:hAnsi="Times New Roman"/>
                <w:sz w:val="16"/>
              </w:rPr>
              <w:t>Qatar</w:t>
            </w:r>
          </w:p>
        </w:tc>
        <w:tc>
          <w:tcPr>
            <w:tcW w:w="1300" w:type="dxa"/>
          </w:tcPr>
          <w:p>
            <w:pPr>
              <w:jc w:val="center"/>
              <w:spacing w:before="10" w:after="10"/>
            </w:pPr>
            <w:r/>
            <w:r>
              <w:rPr>
                <w:rFonts w:ascii="Times New Roman" w:hAnsi="Times New Roman"/>
                <w:sz w:val="16"/>
              </w:rPr>
              <w:t>$1.82</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40</w:t>
            </w:r>
          </w:p>
        </w:tc>
        <w:tc>
          <w:tcPr>
            <w:tcW w:w="1100" w:type="dxa"/>
          </w:tcPr>
          <w:p>
            <w:pPr>
              <w:jc w:val="center"/>
              <w:spacing w:before="10" w:after="10"/>
            </w:pPr>
            <w:r/>
            <w:r>
              <w:rPr>
                <w:rFonts w:ascii="Times New Roman" w:hAnsi="Times New Roman"/>
                <w:sz w:val="16"/>
              </w:rPr>
              <w:t>14.1%</w:t>
            </w:r>
          </w:p>
        </w:tc>
      </w:tr>
      <w:tr>
        <w:tc>
          <w:tcPr>
            <w:tcW w:w="2400" w:type="dxa"/>
          </w:tcPr>
          <w:p>
            <w:pPr>
              <w:jc w:val="left"/>
              <w:spacing w:before="10" w:after="10"/>
            </w:pPr>
            <w:r/>
            <w:r>
              <w:rPr>
                <w:rFonts w:ascii="Times New Roman" w:hAnsi="Times New Roman"/>
                <w:sz w:val="16"/>
              </w:rPr>
              <w:t>Saudi Arabia</w:t>
            </w:r>
          </w:p>
        </w:tc>
        <w:tc>
          <w:tcPr>
            <w:tcW w:w="1300" w:type="dxa"/>
          </w:tcPr>
          <w:p>
            <w:pPr>
              <w:jc w:val="center"/>
              <w:spacing w:before="10" w:after="10"/>
            </w:pPr>
            <w:r/>
            <w:r>
              <w:rPr>
                <w:rFonts w:ascii="Times New Roman" w:hAnsi="Times New Roman"/>
                <w:sz w:val="16"/>
              </w:rPr>
              <w:t>$1.95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44</w:t>
            </w:r>
          </w:p>
        </w:tc>
        <w:tc>
          <w:tcPr>
            <w:tcW w:w="1100" w:type="dxa"/>
          </w:tcPr>
          <w:p>
            <w:pPr>
              <w:jc w:val="center"/>
              <w:spacing w:before="10" w:after="10"/>
            </w:pPr>
            <w:r/>
            <w:r>
              <w:rPr>
                <w:rFonts w:ascii="Times New Roman" w:hAnsi="Times New Roman"/>
                <w:sz w:val="16"/>
              </w:rPr>
              <w:t>22.8%</w:t>
            </w:r>
          </w:p>
        </w:tc>
      </w:tr>
      <w:tr>
        <w:tc>
          <w:tcPr>
            <w:tcW w:w="2400" w:type="dxa"/>
          </w:tcPr>
          <w:p>
            <w:pPr>
              <w:jc w:val="left"/>
              <w:spacing w:before="10" w:after="10"/>
            </w:pPr>
            <w:r/>
            <w:r>
              <w:rPr>
                <w:rFonts w:ascii="Times New Roman" w:hAnsi="Times New Roman"/>
                <w:sz w:val="16"/>
              </w:rPr>
              <w:t>China</w:t>
            </w:r>
          </w:p>
        </w:tc>
        <w:tc>
          <w:tcPr>
            <w:tcW w:w="1300" w:type="dxa"/>
          </w:tcPr>
          <w:p>
            <w:pPr>
              <w:jc w:val="center"/>
              <w:spacing w:before="10" w:after="10"/>
            </w:pPr>
            <w:r/>
            <w:r>
              <w:rPr>
                <w:rFonts w:ascii="Times New Roman" w:hAnsi="Times New Roman"/>
                <w:sz w:val="16"/>
              </w:rPr>
              <w:t>$2.25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54</w:t>
            </w:r>
          </w:p>
        </w:tc>
        <w:tc>
          <w:tcPr>
            <w:tcW w:w="1100" w:type="dxa"/>
          </w:tcPr>
          <w:p>
            <w:pPr>
              <w:jc w:val="center"/>
              <w:spacing w:before="10" w:after="10"/>
            </w:pPr>
            <w:r/>
            <w:r>
              <w:rPr>
                <w:rFonts w:ascii="Times New Roman" w:hAnsi="Times New Roman"/>
                <w:sz w:val="16"/>
              </w:rPr>
              <w:t>41.3%</w:t>
            </w:r>
          </w:p>
        </w:tc>
      </w:tr>
      <w:tr>
        <w:tc>
          <w:tcPr>
            <w:tcW w:w="2400" w:type="dxa"/>
          </w:tcPr>
          <w:p>
            <w:pPr>
              <w:jc w:val="left"/>
              <w:spacing w:before="10" w:after="10"/>
            </w:pPr>
            <w:r/>
            <w:r>
              <w:rPr>
                <w:rFonts w:ascii="Times New Roman" w:hAnsi="Times New Roman"/>
                <w:sz w:val="16"/>
              </w:rPr>
              <w:t>Vietnam</w:t>
            </w:r>
          </w:p>
        </w:tc>
        <w:tc>
          <w:tcPr>
            <w:tcW w:w="1300" w:type="dxa"/>
          </w:tcPr>
          <w:p>
            <w:pPr>
              <w:jc w:val="center"/>
              <w:spacing w:before="10" w:after="10"/>
            </w:pPr>
            <w:r/>
            <w:r>
              <w:rPr>
                <w:rFonts w:ascii="Times New Roman" w:hAnsi="Times New Roman"/>
                <w:sz w:val="16"/>
              </w:rPr>
              <w:t>$2.32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59</w:t>
            </w:r>
          </w:p>
        </w:tc>
        <w:tc>
          <w:tcPr>
            <w:tcW w:w="1100" w:type="dxa"/>
          </w:tcPr>
          <w:p>
            <w:pPr>
              <w:jc w:val="center"/>
              <w:spacing w:before="10" w:after="10"/>
            </w:pPr>
            <w:r/>
            <w:r>
              <w:rPr>
                <w:rFonts w:ascii="Times New Roman" w:hAnsi="Times New Roman"/>
                <w:sz w:val="16"/>
              </w:rPr>
              <w:t>45.7%</w:t>
            </w:r>
          </w:p>
        </w:tc>
      </w:tr>
      <w:tr>
        <w:tc>
          <w:tcPr>
            <w:tcW w:w="2400" w:type="dxa"/>
          </w:tcPr>
          <w:p>
            <w:pPr>
              <w:jc w:val="left"/>
              <w:spacing w:before="10" w:after="10"/>
            </w:pPr>
            <w:r/>
            <w:r>
              <w:rPr>
                <w:rFonts w:ascii="Times New Roman" w:hAnsi="Times New Roman"/>
                <w:sz w:val="16"/>
              </w:rPr>
              <w:t>Kosovo</w:t>
            </w:r>
          </w:p>
        </w:tc>
        <w:tc>
          <w:tcPr>
            <w:tcW w:w="1300" w:type="dxa"/>
          </w:tcPr>
          <w:p>
            <w:pPr>
              <w:jc w:val="center"/>
              <w:spacing w:before="10" w:after="10"/>
            </w:pPr>
            <w:r/>
            <w:r>
              <w:rPr>
                <w:rFonts w:ascii="Times New Roman" w:hAnsi="Times New Roman"/>
                <w:sz w:val="16"/>
              </w:rPr>
              <w:t>$2.35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61</w:t>
            </w:r>
          </w:p>
        </w:tc>
        <w:tc>
          <w:tcPr>
            <w:tcW w:w="1100" w:type="dxa"/>
          </w:tcPr>
          <w:p>
            <w:pPr>
              <w:jc w:val="center"/>
              <w:spacing w:before="10" w:after="10"/>
            </w:pPr>
            <w:r/>
            <w:r>
              <w:rPr>
                <w:rFonts w:ascii="Times New Roman" w:hAnsi="Times New Roman"/>
                <w:sz w:val="16"/>
              </w:rPr>
              <w:t>47.9%</w:t>
            </w:r>
          </w:p>
        </w:tc>
      </w:tr>
      <w:tr>
        <w:tc>
          <w:tcPr>
            <w:tcW w:w="2400" w:type="dxa"/>
          </w:tcPr>
          <w:p>
            <w:pPr>
              <w:jc w:val="left"/>
              <w:spacing w:before="10" w:after="10"/>
            </w:pPr>
            <w:r/>
            <w:r>
              <w:rPr>
                <w:rFonts w:ascii="Times New Roman" w:hAnsi="Times New Roman"/>
                <w:sz w:val="16"/>
              </w:rPr>
              <w:t>Argentina</w:t>
            </w:r>
          </w:p>
        </w:tc>
        <w:tc>
          <w:tcPr>
            <w:tcW w:w="1300" w:type="dxa"/>
          </w:tcPr>
          <w:p>
            <w:pPr>
              <w:jc w:val="center"/>
              <w:spacing w:before="10" w:after="10"/>
            </w:pPr>
            <w:r/>
            <w:r>
              <w:rPr>
                <w:rFonts w:ascii="Times New Roman" w:hAnsi="Times New Roman"/>
                <w:sz w:val="16"/>
              </w:rPr>
              <w:t>$2.36</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62</w:t>
            </w:r>
          </w:p>
        </w:tc>
        <w:tc>
          <w:tcPr>
            <w:tcW w:w="1100" w:type="dxa"/>
          </w:tcPr>
          <w:p>
            <w:pPr>
              <w:jc w:val="center"/>
              <w:spacing w:before="10" w:after="10"/>
            </w:pPr>
            <w:r/>
            <w:r>
              <w:rPr>
                <w:rFonts w:ascii="Times New Roman" w:hAnsi="Times New Roman"/>
                <w:sz w:val="16"/>
              </w:rPr>
              <w:t>48.0%</w:t>
            </w:r>
          </w:p>
        </w:tc>
      </w:tr>
      <w:tr>
        <w:tc>
          <w:tcPr>
            <w:tcW w:w="2400" w:type="dxa"/>
          </w:tcPr>
          <w:p>
            <w:pPr>
              <w:jc w:val="left"/>
              <w:spacing w:before="10" w:after="10"/>
            </w:pPr>
            <w:r/>
            <w:r>
              <w:rPr>
                <w:rFonts w:ascii="Times New Roman" w:hAnsi="Times New Roman"/>
                <w:sz w:val="16"/>
              </w:rPr>
              <w:t>Ukraine</w:t>
            </w:r>
          </w:p>
        </w:tc>
        <w:tc>
          <w:tcPr>
            <w:tcW w:w="1300" w:type="dxa"/>
          </w:tcPr>
          <w:p>
            <w:pPr>
              <w:jc w:val="center"/>
              <w:spacing w:before="10" w:after="10"/>
            </w:pPr>
            <w:r/>
            <w:r>
              <w:rPr>
                <w:rFonts w:ascii="Times New Roman" w:hAnsi="Times New Roman"/>
                <w:sz w:val="16"/>
              </w:rPr>
              <w:t>$2.53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68</w:t>
            </w:r>
          </w:p>
        </w:tc>
        <w:tc>
          <w:tcPr>
            <w:tcW w:w="1100" w:type="dxa"/>
          </w:tcPr>
          <w:p>
            <w:pPr>
              <w:jc w:val="center"/>
              <w:spacing w:before="10" w:after="10"/>
            </w:pPr>
            <w:r/>
            <w:r>
              <w:rPr>
                <w:rFonts w:ascii="Times New Roman" w:hAnsi="Times New Roman"/>
                <w:sz w:val="16"/>
              </w:rPr>
              <w:t>58.9%</w:t>
            </w:r>
          </w:p>
        </w:tc>
      </w:tr>
      <w:tr>
        <w:tc>
          <w:tcPr>
            <w:tcW w:w="2400" w:type="dxa"/>
          </w:tcPr>
          <w:p>
            <w:pPr>
              <w:jc w:val="left"/>
              <w:spacing w:before="10" w:after="10"/>
            </w:pPr>
            <w:r/>
            <w:r>
              <w:rPr>
                <w:rFonts w:ascii="Times New Roman" w:hAnsi="Times New Roman"/>
                <w:sz w:val="16"/>
              </w:rPr>
              <w:t>Kyrgyzstan</w:t>
            </w:r>
          </w:p>
        </w:tc>
        <w:tc>
          <w:tcPr>
            <w:tcW w:w="1300" w:type="dxa"/>
          </w:tcPr>
          <w:p>
            <w:pPr>
              <w:jc w:val="center"/>
              <w:spacing w:before="10" w:after="10"/>
            </w:pPr>
            <w:r/>
            <w:r>
              <w:rPr>
                <w:rFonts w:ascii="Times New Roman" w:hAnsi="Times New Roman"/>
                <w:sz w:val="16"/>
              </w:rPr>
              <w:t>$2.74</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71</w:t>
            </w:r>
          </w:p>
        </w:tc>
        <w:tc>
          <w:tcPr>
            <w:tcW w:w="1100" w:type="dxa"/>
          </w:tcPr>
          <w:p>
            <w:pPr>
              <w:jc w:val="center"/>
              <w:spacing w:before="10" w:after="10"/>
            </w:pPr>
            <w:r/>
            <w:r>
              <w:rPr>
                <w:rFonts w:ascii="Times New Roman" w:hAnsi="Times New Roman"/>
                <w:sz w:val="16"/>
              </w:rPr>
              <w:t>71.9%</w:t>
            </w:r>
          </w:p>
        </w:tc>
      </w:tr>
      <w:tr>
        <w:tc>
          <w:tcPr>
            <w:tcW w:w="2400" w:type="dxa"/>
          </w:tcPr>
          <w:p>
            <w:pPr>
              <w:jc w:val="left"/>
              <w:spacing w:before="10" w:after="10"/>
            </w:pPr>
            <w:r/>
            <w:r>
              <w:rPr>
                <w:rFonts w:ascii="Times New Roman" w:hAnsi="Times New Roman"/>
                <w:sz w:val="16"/>
              </w:rPr>
              <w:t>Egypt</w:t>
            </w:r>
          </w:p>
        </w:tc>
        <w:tc>
          <w:tcPr>
            <w:tcW w:w="1300" w:type="dxa"/>
          </w:tcPr>
          <w:p>
            <w:pPr>
              <w:jc w:val="center"/>
              <w:spacing w:before="10" w:after="10"/>
            </w:pPr>
            <w:r/>
            <w:r>
              <w:rPr>
                <w:rFonts w:ascii="Times New Roman" w:hAnsi="Times New Roman"/>
                <w:sz w:val="16"/>
              </w:rPr>
              <w:t>$2.79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73</w:t>
            </w:r>
          </w:p>
        </w:tc>
        <w:tc>
          <w:tcPr>
            <w:tcW w:w="1100" w:type="dxa"/>
          </w:tcPr>
          <w:p>
            <w:pPr>
              <w:jc w:val="center"/>
              <w:spacing w:before="10" w:after="10"/>
            </w:pPr>
            <w:r/>
            <w:r>
              <w:rPr>
                <w:rFonts w:ascii="Times New Roman" w:hAnsi="Times New Roman"/>
                <w:sz w:val="16"/>
              </w:rPr>
              <w:t>75.3%</w:t>
            </w:r>
          </w:p>
        </w:tc>
      </w:tr>
      <w:tr>
        <w:tc>
          <w:tcPr>
            <w:tcW w:w="2400" w:type="dxa"/>
          </w:tcPr>
          <w:p>
            <w:pPr>
              <w:jc w:val="left"/>
              <w:spacing w:before="10" w:after="10"/>
            </w:pPr>
            <w:r/>
            <w:r>
              <w:rPr>
                <w:rFonts w:ascii="Times New Roman" w:hAnsi="Times New Roman"/>
                <w:sz w:val="16"/>
              </w:rPr>
              <w:t>Russia</w:t>
            </w:r>
          </w:p>
        </w:tc>
        <w:tc>
          <w:tcPr>
            <w:tcW w:w="1300" w:type="dxa"/>
          </w:tcPr>
          <w:p>
            <w:pPr>
              <w:jc w:val="center"/>
              <w:spacing w:before="10" w:after="10"/>
            </w:pPr>
            <w:r/>
            <w:r>
              <w:rPr>
                <w:rFonts w:ascii="Times New Roman" w:hAnsi="Times New Roman"/>
                <w:sz w:val="16"/>
              </w:rPr>
              <w:t>$3.27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80</w:t>
            </w:r>
          </w:p>
        </w:tc>
        <w:tc>
          <w:tcPr>
            <w:tcW w:w="1100" w:type="dxa"/>
          </w:tcPr>
          <w:p>
            <w:pPr>
              <w:jc w:val="center"/>
              <w:spacing w:before="10" w:after="10"/>
            </w:pPr>
            <w:r/>
            <w:r>
              <w:rPr>
                <w:rFonts w:ascii="Times New Roman" w:hAnsi="Times New Roman"/>
                <w:sz w:val="16"/>
              </w:rPr>
              <w:t>105.3%</w:t>
            </w:r>
          </w:p>
        </w:tc>
      </w:tr>
      <w:tr>
        <w:tc>
          <w:tcPr>
            <w:tcW w:w="2400" w:type="dxa"/>
          </w:tcPr>
          <w:p>
            <w:pPr>
              <w:jc w:val="left"/>
              <w:spacing w:before="10" w:after="10"/>
            </w:pPr>
            <w:r/>
            <w:r>
              <w:rPr>
                <w:rFonts w:ascii="Times New Roman" w:hAnsi="Times New Roman"/>
                <w:sz w:val="16"/>
              </w:rPr>
              <w:t>Tajikistan</w:t>
            </w:r>
          </w:p>
        </w:tc>
        <w:tc>
          <w:tcPr>
            <w:tcW w:w="1300" w:type="dxa"/>
          </w:tcPr>
          <w:p>
            <w:pPr>
              <w:jc w:val="center"/>
              <w:spacing w:before="10" w:after="10"/>
            </w:pPr>
            <w:r/>
            <w:r>
              <w:rPr>
                <w:rFonts w:ascii="Times New Roman" w:hAnsi="Times New Roman"/>
                <w:sz w:val="16"/>
              </w:rPr>
              <w:t>$3.37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81</w:t>
            </w:r>
          </w:p>
        </w:tc>
        <w:tc>
          <w:tcPr>
            <w:tcW w:w="1100" w:type="dxa"/>
          </w:tcPr>
          <w:p>
            <w:pPr>
              <w:jc w:val="center"/>
              <w:spacing w:before="10" w:after="10"/>
            </w:pPr>
            <w:r/>
            <w:r>
              <w:rPr>
                <w:rFonts w:ascii="Times New Roman" w:hAnsi="Times New Roman"/>
                <w:sz w:val="16"/>
              </w:rPr>
              <w:t>111.4%</w:t>
            </w:r>
          </w:p>
        </w:tc>
      </w:tr>
      <w:tr>
        <w:tc>
          <w:tcPr>
            <w:tcW w:w="2400" w:type="dxa"/>
          </w:tcPr>
          <w:p>
            <w:pPr>
              <w:jc w:val="left"/>
              <w:spacing w:before="10" w:after="10"/>
            </w:pPr>
            <w:r/>
            <w:r>
              <w:rPr>
                <w:rFonts w:ascii="Times New Roman" w:hAnsi="Times New Roman"/>
                <w:sz w:val="16"/>
              </w:rPr>
              <w:t>Ethiopia</w:t>
            </w:r>
          </w:p>
        </w:tc>
        <w:tc>
          <w:tcPr>
            <w:tcW w:w="1300" w:type="dxa"/>
          </w:tcPr>
          <w:p>
            <w:pPr>
              <w:jc w:val="center"/>
              <w:spacing w:before="10" w:after="10"/>
            </w:pPr>
            <w:r/>
            <w:r>
              <w:rPr>
                <w:rFonts w:ascii="Times New Roman" w:hAnsi="Times New Roman"/>
                <w:sz w:val="16"/>
              </w:rPr>
              <w:t>$3.43</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82</w:t>
            </w:r>
          </w:p>
        </w:tc>
        <w:tc>
          <w:tcPr>
            <w:tcW w:w="1100" w:type="dxa"/>
          </w:tcPr>
          <w:p>
            <w:pPr>
              <w:jc w:val="center"/>
              <w:spacing w:before="10" w:after="10"/>
            </w:pPr>
            <w:r/>
            <w:r>
              <w:rPr>
                <w:rFonts w:ascii="Times New Roman" w:hAnsi="Times New Roman"/>
                <w:sz w:val="16"/>
              </w:rPr>
              <w:t>115.6%</w:t>
            </w:r>
          </w:p>
        </w:tc>
      </w:tr>
      <w:tr>
        <w:tc>
          <w:tcPr>
            <w:tcW w:w="2400" w:type="dxa"/>
          </w:tcPr>
          <w:p>
            <w:pPr>
              <w:jc w:val="left"/>
              <w:spacing w:before="10" w:after="10"/>
            </w:pPr>
            <w:r/>
            <w:r>
              <w:rPr>
                <w:rFonts w:ascii="Times New Roman" w:hAnsi="Times New Roman"/>
                <w:sz w:val="16"/>
              </w:rPr>
              <w:t>Iran</w:t>
            </w:r>
          </w:p>
        </w:tc>
        <w:tc>
          <w:tcPr>
            <w:tcW w:w="1300" w:type="dxa"/>
          </w:tcPr>
          <w:p>
            <w:pPr>
              <w:jc w:val="center"/>
              <w:spacing w:before="10" w:after="10"/>
            </w:pPr>
            <w:r/>
            <w:r>
              <w:rPr>
                <w:rFonts w:ascii="Times New Roman" w:hAnsi="Times New Roman"/>
                <w:sz w:val="16"/>
              </w:rPr>
              <w:t>$3.77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83</w:t>
            </w:r>
          </w:p>
        </w:tc>
        <w:tc>
          <w:tcPr>
            <w:tcW w:w="1100" w:type="dxa"/>
          </w:tcPr>
          <w:p>
            <w:pPr>
              <w:jc w:val="center"/>
              <w:spacing w:before="10" w:after="10"/>
            </w:pPr>
            <w:r/>
            <w:r>
              <w:rPr>
                <w:rFonts w:ascii="Times New Roman" w:hAnsi="Times New Roman"/>
                <w:sz w:val="16"/>
              </w:rPr>
              <w:t>136.7%</w:t>
            </w:r>
          </w:p>
        </w:tc>
      </w:tr>
      <w:tr>
        <w:tc>
          <w:tcPr>
            <w:tcBorders>
              <w:bottom w:val="double" w:sz="4" w:space="0" w:color="auto"/>
            </w:tcBorders>
            <w:tcW w:w="2400" w:type="dxa"/>
          </w:tcPr>
          <w:p>
            <w:pPr>
              <w:jc w:val="left"/>
              <w:spacing w:before="10" w:after="10"/>
            </w:pPr>
            <w:r/>
            <w:r>
              <w:rPr>
                <w:rFonts w:ascii="Times New Roman" w:hAnsi="Times New Roman"/>
                <w:sz w:val="16"/>
              </w:rPr>
              <w:t>Turkmenistan</w:t>
            </w:r>
          </w:p>
        </w:tc>
        <w:tc>
          <w:tcPr>
            <w:tcBorders>
              <w:bottom w:val="double" w:sz="4" w:space="0" w:color="auto"/>
            </w:tcBorders>
            <w:tcW w:w="1300" w:type="dxa"/>
          </w:tcPr>
          <w:p>
            <w:pPr>
              <w:jc w:val="center"/>
              <w:spacing w:before="10" w:after="10"/>
            </w:pPr>
            <w:r/>
            <w:r>
              <w:rPr>
                <w:rFonts w:ascii="Times New Roman" w:hAnsi="Times New Roman"/>
                <w:sz w:val="16"/>
              </w:rPr>
              <w:t>$4.27</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85</w:t>
            </w:r>
          </w:p>
        </w:tc>
        <w:tc>
          <w:tcPr>
            <w:tcBorders>
              <w:bottom w:val="double" w:sz="4" w:space="0" w:color="auto"/>
            </w:tcBorders>
            <w:tcW w:w="1100" w:type="dxa"/>
          </w:tcPr>
          <w:p>
            <w:pPr>
              <w:jc w:val="center"/>
              <w:spacing w:before="10" w:after="10"/>
            </w:pPr>
            <w:r/>
            <w:r>
              <w:rPr>
                <w:rFonts w:ascii="Times New Roman" w:hAnsi="Times New Roman"/>
                <w:sz w:val="16"/>
              </w:rPr>
              <w:t>168.4%</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7" w:name="Eq2txt907"/>
      <w:hyperlink w:anchor="Eq2" w:history="1">
        <w:r>
          <w:rPr>
            <w:rFonts w:ascii="Times New Roman" w:hAnsi="Times New Roman"/>
            <w:sz w:val="20"/>
            <w:color w:val="1F3864"/>
            <w:u w:val="single"/>
          </w:rPr>
          <w:t xml:space="preserve">equation (2)</w:t>
        </w:r>
      </w:hyperlink>
      <w:bookmarkEnd w:id="907"/>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0.52</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0.97</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0.42</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0.61</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0.43</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0.71</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0.64</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0.58</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0.62</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0.62</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0.48</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0.45</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0.48</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0.63</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0.66</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0.34</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0.53</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0.99</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0.66</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0.66</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0.39</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0.71</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0.93</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0.48</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0.68</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0.53</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0.46</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0.95</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0.40</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0.71</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0.66</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0.95</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0.58</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0.86</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0.88</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0.88</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0.87</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0.82</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0.61</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0.91</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0.92</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0.72</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0.97</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0.46</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0.78</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0.84</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0.93</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0.94</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0.62</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0.64</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0.58</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0.76</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0.97</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0.72</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0.88</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0.98</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0.89</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0.98</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0.91</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1.00</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0.97</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0.93</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8" w:name="Eq4txt908"/>
      <w:hyperlink w:anchor="Eq4" w:history="1">
        <w:r>
          <w:rPr>
            <w:sz w:val="20"/>
            <w:color w:val="1F3864"/>
            <w:u w:val="single"/>
          </w:rPr>
          <w:t xml:space="preserve">equation (4)</w:t>
        </w:r>
      </w:hyperlink>
      <w:bookmarkEnd w:id="908"/>
      <w:r>
        <w:rPr>
          <w:sz w:val="20"/>
        </w:rPr>
        <w:t xml:space="preserve">. ξⱼᵉᶠᶠ = production-efficiency index (weighted geometric mean of governance quality and grid reliability, ω = 0.85;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tcBorders>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tcBorders>
            <w:tcW w:w="540" w:type="dxa"/>
          </w:tcPr>
          <w:p>
            <w:pPr>
              <w:jc w:val="center"/>
              <w:spacing w:before="5" w:after="5"/>
            </w:pPr>
            <w:r/>
            <w:r>
              <w:rPr>
                <w:rFonts w:ascii="Times New Roman" w:hAnsi="Times New Roman"/>
                <w:sz w:val="14"/>
              </w:rPr>
            </w:r>
          </w:p>
        </w:tc>
      </w:tr>
      <w:tr>
        <w:tc>
          <w:tcPr>
            <w:tcBorders>
              <w:bottom w:val="single" w:sz="4" w:space="0" w:color="auto"/>
            </w:tcBorders>
            <w:tcW w:w="1800" w:type="dxa"/>
          </w:tcPr>
          <w:p>
            <w:pPr>
              <w:jc w:val="left"/>
              <w:spacing w:before="5" w:after="5"/>
            </w:pPr>
            <w:r/>
            <w:r>
              <w:rPr>
                <w:rFonts w:ascii="Times New Roman" w:hAnsi="Times New Roman"/>
                <w:b/>
                <w:sz w:val="14"/>
              </w:rPr>
              <w:t>Country</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cⱼ/ξⱼᵉᶠᶠ</w:t>
            </w:r>
          </w:p>
        </w:tc>
        <w:tc>
          <w:tcPr>
            <w:tcBorders>
              <w:bottom w:val="single" w:sz="4" w:space="0" w:color="auto"/>
            </w:tcBorders>
            <w:tcW w:w="450" w:type="dxa"/>
          </w:tcPr>
          <w:p>
            <w:pPr>
              <w:jc w:val="center"/>
              <w:spacing w:before="5" w:after="5"/>
            </w:pPr>
            <w:r/>
            <w:r>
              <w:rPr>
                <w:rFonts w:ascii="Times New Roman" w:hAnsi="Times New Roman"/>
                <w:b/>
                <w:sz w:val="14"/>
              </w:rPr>
              <w:t>ξⱼᵉᶠᶠ</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pⱼ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+65</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+63</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+62</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+12</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+51</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+59</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0.88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0.88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-12</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0.88</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$1.84</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$1.84</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$1.95</w:t>
            </w:r>
          </w:p>
        </w:tc>
        <w:tc>
          <w:tcPr>
            <w:tcW w:w="450" w:type="dxa"/>
          </w:tcPr>
          <w:p>
            <w:pPr>
              <w:jc w:val="center"/>
              <w:spacing w:before="5" w:after="5"/>
            </w:pPr>
            <w:r/>
            <w:r>
              <w:rPr>
                <w:rFonts w:ascii="Times New Roman" w:hAnsi="Times New Roman"/>
                <w:sz w:val="14"/>
              </w:rPr>
              <w:t>0.78</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$1.95</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$2.01</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$2.01</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$2.04</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$2.04</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$2.07</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$2.07</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$2.14</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$2.14</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$2.20</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$2.20</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$2.23</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$2.23</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$2.24</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$2.24</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$2.25</w:t>
            </w:r>
          </w:p>
        </w:tc>
        <w:tc>
          <w:tcPr>
            <w:tcW w:w="450" w:type="dxa"/>
          </w:tcPr>
          <w:p>
            <w:pPr>
              <w:jc w:val="center"/>
              <w:spacing w:before="5" w:after="5"/>
            </w:pPr>
            <w:r/>
            <w:r>
              <w:rPr>
                <w:rFonts w:ascii="Times New Roman" w:hAnsi="Times New Roman"/>
                <w:sz w:val="14"/>
              </w:rPr>
              <w:t>0.64</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$2.25</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$2.25</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$2.25</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$2.25</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$2.25</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$2.26</w:t>
            </w:r>
          </w:p>
        </w:tc>
        <w:tc>
          <w:tcPr>
            <w:tcW w:w="450" w:type="dxa"/>
          </w:tcPr>
          <w:p>
            <w:pPr>
              <w:jc w:val="center"/>
              <w:spacing w:before="5" w:after="5"/>
            </w:pPr>
            <w:r/>
            <w:r>
              <w:rPr>
                <w:rFonts w:ascii="Times New Roman" w:hAnsi="Times New Roman"/>
                <w:sz w:val="14"/>
              </w:rPr>
              <w:t>0.67</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$2.26</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450" w:type="dxa"/>
          </w:tcPr>
          <w:p>
            <w:pPr>
              <w:jc w:val="center"/>
              <w:spacing w:before="5" w:after="5"/>
            </w:pPr>
            <w:r/>
            <w:r>
              <w:rPr>
                <w:rFonts w:ascii="Times New Roman" w:hAnsi="Times New Roman"/>
                <w:sz w:val="14"/>
              </w:rPr>
              <w:t>0.67</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$2.32</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$2.35</w:t>
            </w:r>
          </w:p>
        </w:tc>
        <w:tc>
          <w:tcPr>
            <w:tcW w:w="450" w:type="dxa"/>
          </w:tcPr>
          <w:p>
            <w:pPr>
              <w:jc w:val="center"/>
              <w:spacing w:before="5" w:after="5"/>
            </w:pPr>
            <w:r/>
            <w:r>
              <w:rPr>
                <w:rFonts w:ascii="Times New Roman" w:hAnsi="Times New Roman"/>
                <w:sz w:val="14"/>
              </w:rPr>
              <w:t>0.62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$2.35</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$2.35</w:t>
            </w:r>
          </w:p>
        </w:tc>
        <w:tc>
          <w:tcPr>
            <w:tcW w:w="450" w:type="dxa"/>
          </w:tcPr>
          <w:p>
            <w:pPr>
              <w:jc w:val="center"/>
              <w:spacing w:before="5" w:after="5"/>
            </w:pPr>
            <w:r/>
            <w:r>
              <w:rPr>
                <w:rFonts w:ascii="Times New Roman" w:hAnsi="Times New Roman"/>
                <w:sz w:val="14"/>
              </w:rPr>
              <w:t>0.61</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$2.35</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-52</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$2.36</w:t>
            </w:r>
          </w:p>
        </w:tc>
        <w:tc>
          <w:tcPr>
            <w:tcW w:w="450" w:type="dxa"/>
          </w:tcPr>
          <w:p>
            <w:pPr>
              <w:jc w:val="center"/>
              <w:spacing w:before="5" w:after="5"/>
            </w:pPr>
            <w:r/>
            <w:r>
              <w:rPr>
                <w:rFonts w:ascii="Times New Roman" w:hAnsi="Times New Roman"/>
                <w:sz w:val="14"/>
              </w:rPr>
              <w:t>0.62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$2.36</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$2.38</w:t>
            </w:r>
          </w:p>
        </w:tc>
        <w:tc>
          <w:tcPr>
            <w:tcW w:w="450" w:type="dxa"/>
          </w:tcPr>
          <w:p>
            <w:pPr>
              <w:jc w:val="center"/>
              <w:spacing w:before="5" w:after="5"/>
            </w:pPr>
            <w:r/>
            <w:r>
              <w:rPr>
                <w:rFonts w:ascii="Times New Roman" w:hAnsi="Times New Roman"/>
                <w:sz w:val="14"/>
              </w:rPr>
              <w:t>0.64</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$2.38</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$2.44</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$2.44</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450" w:type="dxa"/>
          </w:tcPr>
          <w:p>
            <w:pPr>
              <w:jc w:val="center"/>
              <w:spacing w:before="5" w:after="5"/>
            </w:pPr>
            <w:r/>
            <w:r>
              <w:rPr>
                <w:rFonts w:ascii="Times New Roman" w:hAnsi="Times New Roman"/>
                <w:sz w:val="14"/>
              </w:rPr>
              <w:t>0.61</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450" w:type="dxa"/>
          </w:tcPr>
          <w:p>
            <w:pPr>
              <w:jc w:val="center"/>
              <w:spacing w:before="5" w:after="5"/>
            </w:pPr>
            <w:r/>
            <w:r>
              <w:rPr>
                <w:rFonts w:ascii="Times New Roman" w:hAnsi="Times New Roman"/>
                <w:sz w:val="14"/>
              </w:rPr>
              <w:t>0.62</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$2.53</w:t>
            </w:r>
          </w:p>
        </w:tc>
        <w:tc>
          <w:tcPr>
            <w:tcW w:w="450" w:type="dxa"/>
          </w:tcPr>
          <w:p>
            <w:pPr>
              <w:jc w:val="center"/>
              <w:spacing w:before="5" w:after="5"/>
            </w:pPr>
            <w:r/>
            <w:r>
              <w:rPr>
                <w:rFonts w:ascii="Times New Roman" w:hAnsi="Times New Roman"/>
                <w:sz w:val="14"/>
              </w:rPr>
              <w:t>0.58</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-52</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$2.58</w:t>
            </w:r>
          </w:p>
        </w:tc>
        <w:tc>
          <w:tcPr>
            <w:tcW w:w="450" w:type="dxa"/>
          </w:tcPr>
          <w:p>
            <w:pPr>
              <w:jc w:val="center"/>
              <w:spacing w:before="5" w:after="5"/>
            </w:pPr>
            <w:r/>
            <w:r>
              <w:rPr>
                <w:rFonts w:ascii="Times New Roman" w:hAnsi="Times New Roman"/>
                <w:sz w:val="14"/>
              </w:rPr>
              <w:t>0.58</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$2.58</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$2.63</w:t>
            </w:r>
          </w:p>
        </w:tc>
        <w:tc>
          <w:tcPr>
            <w:tcW w:w="450" w:type="dxa"/>
          </w:tcPr>
          <w:p>
            <w:pPr>
              <w:jc w:val="center"/>
              <w:spacing w:before="5" w:after="5"/>
            </w:pPr>
            <w:r/>
            <w:r>
              <w:rPr>
                <w:rFonts w:ascii="Times New Roman" w:hAnsi="Times New Roman"/>
                <w:sz w:val="14"/>
              </w:rPr>
              <w:t>0.58</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$2.63</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$2.74</w:t>
            </w:r>
          </w:p>
        </w:tc>
        <w:tc>
          <w:tcPr>
            <w:tcW w:w="450" w:type="dxa"/>
          </w:tcPr>
          <w:p>
            <w:pPr>
              <w:jc w:val="center"/>
              <w:spacing w:before="5" w:after="5"/>
            </w:pPr>
            <w:r/>
            <w:r>
              <w:rPr>
                <w:rFonts w:ascii="Times New Roman" w:hAnsi="Times New Roman"/>
                <w:sz w:val="14"/>
              </w:rPr>
              <w:t>0.52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$2.74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-67</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$2.76</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$2.76</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-51</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$2.79</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$2.79</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$2.80</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$3.04</w:t>
            </w:r>
          </w:p>
        </w:tc>
        <w:tc>
          <w:tcPr>
            <w:tcW w:w="450" w:type="dxa"/>
          </w:tcPr>
          <w:p>
            <w:pPr>
              <w:jc w:val="center"/>
              <w:spacing w:before="5" w:after="5"/>
            </w:pPr>
            <w:r/>
            <w:r>
              <w:rPr>
                <w:rFonts w:ascii="Times New Roman" w:hAnsi="Times New Roman"/>
                <w:sz w:val="14"/>
              </w:rPr>
              <w:t>0.48</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$3.04</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$3.04</w:t>
            </w:r>
          </w:p>
        </w:tc>
        <w:tc>
          <w:tcPr>
            <w:tcW w:w="450" w:type="dxa"/>
          </w:tcPr>
          <w:p>
            <w:pPr>
              <w:jc w:val="center"/>
              <w:spacing w:before="5" w:after="5"/>
            </w:pPr>
            <w:r/>
            <w:r>
              <w:rPr>
                <w:rFonts w:ascii="Times New Roman" w:hAnsi="Times New Roman"/>
                <w:sz w:val="14"/>
              </w:rPr>
              <w:t>0.48</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$3.04</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$3.08</w:t>
            </w:r>
          </w:p>
        </w:tc>
        <w:tc>
          <w:tcPr>
            <w:tcW w:w="450" w:type="dxa"/>
          </w:tcPr>
          <w:p>
            <w:pPr>
              <w:jc w:val="center"/>
              <w:spacing w:before="5" w:after="5"/>
            </w:pPr>
            <w:r/>
            <w:r>
              <w:rPr>
                <w:rFonts w:ascii="Times New Roman" w:hAnsi="Times New Roman"/>
                <w:sz w:val="14"/>
              </w:rPr>
              <w:t>0.48</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$3.08</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$3.25</w:t>
            </w:r>
          </w:p>
        </w:tc>
        <w:tc>
          <w:tcPr>
            <w:tcW w:w="450" w:type="dxa"/>
          </w:tcPr>
          <w:p>
            <w:pPr>
              <w:jc w:val="center"/>
              <w:spacing w:before="5" w:after="5"/>
            </w:pPr>
            <w:r/>
            <w:r>
              <w:rPr>
                <w:rFonts w:ascii="Times New Roman" w:hAnsi="Times New Roman"/>
                <w:sz w:val="14"/>
              </w:rPr>
              <w:t>0.46</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$3.25</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$3.26</w:t>
            </w:r>
          </w:p>
        </w:tc>
        <w:tc>
          <w:tcPr>
            <w:tcW w:w="450" w:type="dxa"/>
          </w:tcPr>
          <w:p>
            <w:pPr>
              <w:jc w:val="center"/>
              <w:spacing w:before="5" w:after="5"/>
            </w:pPr>
            <w:r/>
            <w:r>
              <w:rPr>
                <w:rFonts w:ascii="Times New Roman" w:hAnsi="Times New Roman"/>
                <w:sz w:val="14"/>
              </w:rPr>
              <w:t>0.46</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$3.26</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-66</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$3.27</w:t>
            </w:r>
          </w:p>
        </w:tc>
        <w:tc>
          <w:tcPr>
            <w:tcW w:w="450" w:type="dxa"/>
          </w:tcPr>
          <w:p>
            <w:pPr>
              <w:jc w:val="center"/>
              <w:spacing w:before="5" w:after="5"/>
            </w:pPr>
            <w:r/>
            <w:r>
              <w:rPr>
                <w:rFonts w:ascii="Times New Roman" w:hAnsi="Times New Roman"/>
                <w:sz w:val="14"/>
              </w:rPr>
              <w:t>0.45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$3.27</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-72</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$3.37</w:t>
            </w:r>
          </w:p>
        </w:tc>
        <w:tc>
          <w:tcPr>
            <w:tcW w:w="450" w:type="dxa"/>
          </w:tcPr>
          <w:p>
            <w:pPr>
              <w:jc w:val="center"/>
              <w:spacing w:before="5" w:after="5"/>
            </w:pPr>
            <w:r/>
            <w:r>
              <w:rPr>
                <w:rFonts w:ascii="Times New Roman" w:hAnsi="Times New Roman"/>
                <w:sz w:val="14"/>
              </w:rPr>
              <w:t>0.43</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$3.37</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-69</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$3.43</w:t>
            </w:r>
          </w:p>
        </w:tc>
        <w:tc>
          <w:tcPr>
            <w:tcW w:w="450" w:type="dxa"/>
          </w:tcPr>
          <w:p>
            <w:pPr>
              <w:jc w:val="center"/>
              <w:spacing w:before="5" w:after="5"/>
            </w:pPr>
            <w:r/>
            <w:r>
              <w:rPr>
                <w:rFonts w:ascii="Times New Roman" w:hAnsi="Times New Roman"/>
                <w:sz w:val="14"/>
              </w:rPr>
              <w:t>0.42</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$3.43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-79</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$3.77</w:t>
            </w:r>
          </w:p>
        </w:tc>
        <w:tc>
          <w:tcPr>
            <w:tcW w:w="450" w:type="dxa"/>
          </w:tcPr>
          <w:p>
            <w:pPr>
              <w:jc w:val="center"/>
              <w:spacing w:before="5" w:after="5"/>
            </w:pPr>
            <w:r/>
            <w:r>
              <w:rPr>
                <w:rFonts w:ascii="Times New Roman" w:hAnsi="Times New Roman"/>
                <w:sz w:val="14"/>
              </w:rPr>
              <w:t>0.39</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$3.77</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-82</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$3.78</w:t>
            </w:r>
          </w:p>
        </w:tc>
        <w:tc>
          <w:tcPr>
            <w:tcW w:w="450" w:type="dxa"/>
          </w:tcPr>
          <w:p>
            <w:pPr>
              <w:jc w:val="center"/>
              <w:spacing w:before="5" w:after="5"/>
            </w:pPr>
            <w:r/>
            <w:r>
              <w:rPr>
                <w:rFonts w:ascii="Times New Roman" w:hAnsi="Times New Roman"/>
                <w:sz w:val="14"/>
              </w:rPr>
              <w:t>0.40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$3.78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Turkmenistan</w:t>
            </w:r>
          </w:p>
        </w:tc>
        <w:tc>
          <w:tcPr>
            <w:tcBorders>
              <w:bottom w:val="double" w:sz="4" w:space="0" w:color="auto"/>
            </w:tcBorders>
            <w:tcW w:w="900" w:type="dxa"/>
          </w:tcPr>
          <w:p>
            <w:pPr>
              <w:jc w:val="center"/>
              <w:spacing w:before="5" w:after="5"/>
            </w:pPr>
            <w:r/>
            <w:r>
              <w:rPr>
                <w:rFonts w:ascii="Times New Roman" w:hAnsi="Times New Roman"/>
                <w:sz w:val="14"/>
              </w:rPr>
              <w:t>$1.41</w:t>
            </w:r>
          </w:p>
        </w:tc>
        <w:tc>
          <w:tcPr>
            <w:tcBorders>
              <w:bottom w:val="double" w:sz="4" w:space="0" w:color="auto"/>
            </w:tcBorders>
            <w:tcW w:w="540" w:type="dxa"/>
          </w:tcPr>
          <w:p>
            <w:pPr>
              <w:jc w:val="center"/>
              <w:spacing w:before="5" w:after="5"/>
            </w:pPr>
            <w:r/>
            <w:r>
              <w:rPr>
                <w:rFonts w:ascii="Times New Roman" w:hAnsi="Times New Roman"/>
                <w:sz w:val="14"/>
              </w:rPr>
              <w:t>2</w:t>
            </w:r>
          </w:p>
        </w:tc>
        <w:tc>
          <w:tcPr>
            <w:tcBorders>
              <w:bottom w:val="double" w:sz="4" w:space="0" w:color="auto"/>
            </w:tcBorders>
            <w:tcW w:w="540" w:type="dxa"/>
          </w:tcPr>
          <w:p>
            <w:pPr>
              <w:jc w:val="center"/>
              <w:spacing w:before="5" w:after="5"/>
            </w:pPr>
            <w:r/>
            <w:r>
              <w:rPr>
                <w:rFonts w:ascii="Times New Roman" w:hAnsi="Times New Roman"/>
                <w:sz w:val="14"/>
              </w:rPr>
              <w:t>EE</w:t>
            </w:r>
          </w:p>
        </w:tc>
        <w:tc>
          <w:tcPr>
            <w:tcBorders>
              <w:bottom w:val="double" w:sz="4" w:space="0" w:color="auto"/>
            </w:tcBorders>
            <w:tcW w:w="900" w:type="dxa"/>
          </w:tcPr>
          <w:p>
            <w:pPr>
              <w:jc w:val="center"/>
              <w:spacing w:before="5" w:after="5"/>
            </w:pPr>
            <w:r/>
            <w:r>
              <w:rPr>
                <w:rFonts w:ascii="Times New Roman" w:hAnsi="Times New Roman"/>
                <w:sz w:val="14"/>
              </w:rPr>
              <w:t>$1.47</w:t>
            </w:r>
          </w:p>
        </w:tc>
        <w:tc>
          <w:tcPr>
            <w:tcBorders>
              <w:bottom w:val="double" w:sz="4" w:space="0" w:color="auto"/>
            </w:tcBorders>
            <w:tcW w:w="540" w:type="dxa"/>
          </w:tcPr>
          <w:p>
            <w:pPr>
              <w:jc w:val="center"/>
              <w:spacing w:before="5" w:after="5"/>
            </w:pPr>
            <w:r/>
            <w:r>
              <w:rPr>
                <w:rFonts w:ascii="Times New Roman" w:hAnsi="Times New Roman"/>
                <w:sz w:val="14"/>
              </w:rPr>
              <w:t>18</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$4.27</w:t>
            </w:r>
          </w:p>
        </w:tc>
        <w:tc>
          <w:tcPr>
            <w:tcBorders>
              <w:bottom w:val="double" w:sz="4" w:space="0" w:color="auto"/>
            </w:tcBorders>
            <w:tcW w:w="450" w:type="dxa"/>
          </w:tcPr>
          <w:p>
            <w:pPr>
              <w:jc w:val="center"/>
              <w:spacing w:before="5" w:after="5"/>
            </w:pPr>
            <w:r/>
            <w:r>
              <w:rPr>
                <w:rFonts w:ascii="Times New Roman" w:hAnsi="Times New Roman"/>
                <w:sz w:val="14"/>
              </w:rPr>
              <w:t>0.34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$4.27</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-83</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9" w:name="Eq2txt909"/>
      <w:hyperlink w:anchor="Eq2" w:history="1">
        <w:r>
          <w:rPr>
            <w:sz w:val="20"/>
            <w:color w:val="1F3864"/>
            <w:u w:val="single"/>
          </w:rPr>
          <w:t xml:space="preserve">equation (2)</w:t>
        </w:r>
      </w:hyperlink>
      <w:bookmarkEnd w:id="909"/>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10" w:name="Eq1txt910"/>
      <w:hyperlink w:anchor="Eq1" w:history="1">
        <w:r>
          <w:rPr>
            <w:color w:val="1F3864"/>
            <w:u w:val="single"/>
          </w:rPr>
          <w:t xml:space="preserve">equation (1)</w:t>
        </w:r>
      </w:hyperlink>
      <w:bookmarkEnd w:id="910"/>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1" w:name="Eq4txt911"/>
      <w:hyperlink w:anchor="Eq4" w:history="1">
        <w:r>
          <w:rPr>
            <w:color w:val="1F3864"/>
            <w:u w:val="single"/>
          </w:rPr>
          <w:t xml:space="preserve">equation (4)</w:t>
        </w:r>
      </w:hyperlink>
      <w:bookmarkEnd w:id="911"/>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2" w:name="Eq2txt912"/>
      <w:hyperlink w:anchor="Eq2" w:history="1">
        <w:r>
          <w:rPr>
            <w:color w:val="1F3864"/>
            <w:u w:val="single"/>
          </w:rPr>
          <w:t xml:space="preserve">equation (2)</w:t>
        </w:r>
      </w:hyperlink>
      <w:bookmarkEnd w:id="912"/>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$1.592</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0.9996</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$1.585</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0.9993</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$1.864</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$1.320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Cooling efficiency cap (PUE ≤ 1.20)</w:t>
            </w:r>
          </w:p>
        </w:tc>
        <w:tc>
          <w:tcPr>
            <w:tcBorders>
              <w:bottom w:val="double" w:sz="4" w:space="0" w:color="auto"/>
            </w:tcBorders>
            <w:tcW w:w="2600" w:type="dxa"/>
          </w:tcPr>
          <w:p>
            <w:pPr>
              <w:spacing w:before="10" w:after="10"/>
            </w:pPr>
            <w:r/>
            <w:r>
              <w:rPr>
                <w:sz w:val="16"/>
              </w:rPr>
              <w:t>PUE capped at 1.20 for all countries</w:t>
            </w:r>
          </w:p>
        </w:tc>
        <w:tc>
          <w:tcPr>
            <w:tcBorders>
              <w:bottom w:val="double" w:sz="4" w:space="0" w:color="auto"/>
            </w:tcBorders>
            <w:tcW w:w="900" w:type="dxa"/>
          </w:tcPr>
          <w:p>
            <w:pPr>
              <w:jc w:val="right"/>
              <w:spacing w:before="10" w:after="10"/>
            </w:pPr>
            <w:r/>
            <w:r>
              <w:rPr>
                <w:sz w:val="16"/>
              </w:rPr>
              <w:t>$1.592</w:t>
            </w:r>
          </w:p>
        </w:tc>
        <w:tc>
          <w:tcPr>
            <w:tcBorders>
              <w:bottom w:val="double" w:sz="4" w:space="0" w:color="auto"/>
            </w:tcBorders>
            <w:tcW w:w="800" w:type="dxa"/>
          </w:tcPr>
          <w:p>
            <w:pPr>
              <w:jc w:val="right"/>
              <w:spacing w:before="10" w:after="10"/>
            </w:pPr>
            <w:r/>
            <w:r>
              <w:rPr>
                <w:sz w:val="16"/>
              </w:rPr>
              <w:t>2</w:t>
            </w:r>
          </w:p>
        </w:tc>
        <w:tc>
          <w:tcPr>
            <w:tcBorders>
              <w:bottom w:val="double" w:sz="4" w:space="0" w:color="auto"/>
            </w:tcBorders>
            <w:tcW w:w="800" w:type="dxa"/>
          </w:tcPr>
          <w:p>
            <w:pPr>
              <w:jc w:val="right"/>
              <w:spacing w:before="10" w:after="10"/>
            </w:pPr>
            <w:r/>
            <w:r>
              <w:rPr>
                <w:sz w:val="16"/>
              </w:rPr>
              <w:t>0.9339</w:t>
            </w:r>
          </w:p>
        </w:tc>
        <w:tc>
          <w:tcPr>
            <w:tcBorders>
              <w:bottom w:val="double" w:sz="4" w:space="0" w:color="auto"/>
            </w:tcBorders>
            <w:tcW w:w="900" w:type="dxa"/>
          </w:tcPr>
          <w:p>
            <w:pPr>
              <w:jc w:val="right"/>
              <w:spacing w:before="10" w:after="10"/>
            </w:pPr>
            <w:r/>
            <w:r>
              <w:rPr>
                <w:sz w:val="16"/>
              </w:rPr>
              <w:t>0.9922</w:t>
            </w:r>
          </w:p>
        </w:tc>
        <w:tc>
          <w:tcPr>
            <w:tcBorders>
              <w:bottom w:val="double" w:sz="4" w:space="0" w:color="auto"/>
            </w:tcBorders>
            <w:tcW w:w="600" w:type="dxa"/>
          </w:tcPr>
          <w:p>
            <w:pPr>
              <w:jc w:val="right"/>
              <w:spacing w:before="10" w:after="10"/>
            </w:pPr>
            <w:r/>
            <w:r>
              <w:rPr>
                <w:sz w:val="16"/>
              </w:rPr>
              <w:t>Same</w:t>
            </w:r>
          </w:p>
        </w:tc>
      </w:tr>
    </w:tbl>
    <w:p>
      <w:pPr>
        <w:spacing w:before="0" w:after="0" w:line="240" w:lineRule="auto"/>
        <w:ind w:firstLine="0"/>
        <w:jc w:val="left"/>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