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22:38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p>
    <w:p>
      <w:pPr>
        <w:spacing w:before="0" w:after="160"/>
        <w:ind w:firstLine="0"/>
        <w:jc w:val="both"/>
      </w:pPr>
      <w:r>
        <w:t xml:space="preserve">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such as electricity prices, temperatures, construction costs, and the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likely overstates developing-country competitiveness. Several of the cheapest producers (Iran, Turkmenistan, Uzbekistan) rank poorly on property rights and rule of law indices, and subsidized electricity prices may be politically fragile. Data center investments are large, long-lived, and immobile, so viability depends on institutional factors not fully captured by ξ alone. GPU export controls further constrain Iran, Russia, and Belarus, and water scarcity limits Iran, Turkmenistan, Egypt, and Saudi Arabia. Effective entry barriers are therefore higher than production costs alone suggest.</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