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17:33</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Inference is more dispersed, with the top five suppliers being Canada (47%), China (26%), Finland (7%), Norway (7%), and India (3%), collectively accounting for 89% of global inference demand (HHI = 0.30). Under the bilateral sovereignty premium, most training demand is served domestically, and the smaller export market is served by 1 exporter (HHI = 1.00) at $1.60/hr.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0.1%</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0.8%</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0.3%</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0.1%</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0.1%</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0.1%</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0.1%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