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r>
    </w:p>
    <w:p>
      <w:pPr>
        <w:spacing w:before="40" w:after="240" w:line="360" w:lineRule="auto"/>
        <w:ind w:firstLine="0"/>
        <w:jc w:val="center"/>
      </w:pPr>
      <w:r>
        <w:rPr>
          <w:rFonts w:ascii="Times New Roman" w:hAnsi="Times New Roman"/>
          <w:color w:val="808080"/>
          <w:sz w:val="18"/>
        </w:rPr>
      </w:r>
    </w:p>
    <w:p>
      <w:pPr>
        <w:spacing w:before="240" w:after="0" w:line="240" w:lineRule="auto"/>
        <w:ind w:firstLine="0" w:left="720" w:right="720"/>
        <w:jc w:val="both"/>
      </w:pPr>
      <w:r>
        <w:rPr>
          <w:b/>
        </w:rPr>
        <w:t>Abstract</w:t>
      </w:r>
      <w:r>
        <w:t>: Can energy-rich developing countries convert cheap electricity into AI compute exports? This paper develops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Because hardware dominates unit costs and is globally priced, cross-country production costs differ by only 12–20 percent. Modest regulatory, financing, and trust frictions can therefore erase the gains from cheap power. The binding constraint is institutional credibility rather than electricity prices, including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5" w:name="IEA2025txt"/>
      <w:hyperlink w:anchor="IEA2025" w:history="1">
        <w:r>
          <w:rPr>
            <w:color w:val="1F3864"/>
            <w:u w:val="single"/>
          </w:rPr>
          <w:t xml:space="preserve">IEA 2025</w:t>
        </w:r>
      </w:hyperlink>
      <w:bookmarkEnd w:id="245"/>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6" w:name="Firebird2026txt"/>
      <w:hyperlink w:anchor="Firebird2026" w:history="1">
        <w:r>
          <w:rPr>
            <w:color w:val="1F3864"/>
            <w:u w:val="single"/>
          </w:rPr>
          <w:t xml:space="preserve">Firebird 2026</w:t>
        </w:r>
      </w:hyperlink>
      <w:bookmarkEnd w:id="246"/>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hyperlink w:anchor="AykutEtAl2026" w:history="1">
        <w:r>
          <w:rPr>
            <w:color w:val="1F3864"/>
            <w:u w:val="single"/>
          </w:rPr>
          <w:t xml:space="preserve">Aykut et al. 2026</w:t>
        </w:r>
      </w:hyperlink>
      <w:r>
        <w:t xml:space="preserve">) and annual cloud computing exports exceeded $9 billion (</w:t>
      </w:r>
      <w:hyperlink w:anchor="WorldBank2025" w:history="1">
        <w:r>
          <w:rPr>
            <w:color w:val="1F3864"/>
            <w:u w:val="single"/>
          </w:rPr>
          <w:t xml:space="preserve">World Bank 2025</w:t>
        </w:r>
      </w:hyperlink>
      <w:r>
        <w:t xml:space="preserve">).</w:t>
      </w:r>
    </w:p>
    <w:p>
      <w:pPr>
        <w:spacing w:before="0" w:after="160" w:line="360" w:lineRule="auto"/>
        <w:ind w:firstLine="0"/>
        <w:jc w:val="both"/>
      </w:pPr>
      <w:r>
        <w:t xml:space="preserve">Yet the cheapest locations are not the ones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alone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8" w:name="Sastry2024txt"/>
      <w:hyperlink w:anchor="Sastry2024" w:history="1">
        <w:r>
          <w:rPr>
            <w:color w:val="1F3864"/>
            <w:u w:val="single"/>
          </w:rPr>
          <w:t xml:space="preserve">Sastry et al. 2024</w:t>
        </w:r>
      </w:hyperlink>
      <w:bookmarkEnd w:id="248"/>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9" w:name="Pilz2025txt"/>
      <w:hyperlink w:anchor="Pilz2025" w:history="1">
        <w:r>
          <w:rPr>
            <w:color w:val="1F3864"/>
            <w:u w:val="single"/>
          </w:rPr>
          <w:t xml:space="preserve">Pilz et al. 2025</w:t>
        </w:r>
      </w:hyperlink>
      <w:bookmarkEnd w:id="249"/>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that raises delivered costs.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export competitiveness.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0" w:name="Korinek2021txt"/>
      <w:hyperlink w:anchor="Korinek2021" w:history="1">
        <w:r>
          <w:rPr>
            <w:color w:val="1F3864"/>
            <w:u w:val="single"/>
          </w:rPr>
          <w:t xml:space="preserve">Korinek and Stiglitz (2021)</w:t>
        </w:r>
      </w:hyperlink>
      <w:bookmarkEnd w:id="250"/>
      <w:r>
        <w:t xml:space="preserve"> warn that developing countries may be left behind in the AI revolution; FLOP exporting offers a route in. The concept relates to </w:t>
      </w:r>
      <w:bookmarkStart w:id="270" w:name="Hausmann2007txt"/>
      <w:hyperlink w:anchor="Hausmann2007" w:history="1">
        <w:r>
          <w:rPr>
            <w:color w:val="1F3864"/>
            <w:u w:val="single"/>
          </w:rPr>
          <w:t xml:space="preserve">Hausmann et al. (2007)</w:t>
        </w:r>
      </w:hyperlink>
      <w:bookmarkEnd w:id="270"/>
      <w:r>
        <w:t xml:space="preserve"> on export composition and growth, and to </w:t>
      </w:r>
      <w:bookmarkStart w:id="264" w:name="Limao2001txt"/>
      <w:hyperlink w:anchor="Limao2001" w:history="1">
        <w:r>
          <w:rPr>
            <w:color w:val="1F3864"/>
            <w:u w:val="single"/>
          </w:rPr>
          <w:t xml:space="preserve">Limão and Venables (2001)</w:t>
        </w:r>
      </w:hyperlink>
      <w:bookmarkEnd w:id="264"/>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hyperlink w:anchor="Liu2023" w:history="1">
        <w:r>
          <w:rPr>
            <w:color w:val="1F3864"/>
            <w:u w:val="single"/>
          </w:rPr>
          <w:t xml:space="preserve">Liu et al. (2023)</w:t>
        </w:r>
      </w:hyperlink>
      <w:r>
        <w:t xml:space="preserve"> study data center placement under renewable energy constraints. In international trade theory, </w:t>
      </w:r>
      <w:bookmarkStart w:id="271" w:name="Brainard1997txt"/>
      <w:hyperlink w:anchor="Brainard1997" w:history="1">
        <w:r>
          <w:rPr>
            <w:color w:val="1F3864"/>
            <w:u w:val="single"/>
          </w:rPr>
          <w:t xml:space="preserve">Brainard (1997)</w:t>
        </w:r>
      </w:hyperlink>
      <w:bookmarkEnd w:id="271"/>
      <w:r>
        <w:t xml:space="preserve"> formalizes the proximity-concentration trade-off between serving a market locally and concentrating production abroad. </w:t>
      </w:r>
      <w:bookmarkStart w:id="251" w:name="HMY2004txt"/>
      <w:hyperlink w:anchor="HMY2004" w:history="1">
        <w:r>
          <w:rPr>
            <w:color w:val="1F3864"/>
            <w:u w:val="single"/>
          </w:rPr>
          <w:t xml:space="preserve">Helpman et al. (2004)</w:t>
        </w:r>
      </w:hyperlink>
      <w:bookmarkEnd w:id="251"/>
      <w:r>
        <w:t xml:space="preserve"> extend this to heterogeneous firms choosing between exporting and FDI.</w:t>
      </w:r>
    </w:p>
    <w:p>
      <w:pPr>
        <w:spacing w:before="0" w:after="160" w:line="360" w:lineRule="auto"/>
        <w:ind w:firstLine="0"/>
        <w:jc w:val="both"/>
      </w:pPr>
      <w:r>
        <w:t xml:space="preserve">On governance, </w:t>
      </w:r>
      <w:hyperlink w:anchor="Sastry2024" w:history="1">
        <w:r>
          <w:rPr>
            <w:color w:val="1F3864"/>
            <w:u w:val="single"/>
          </w:rPr>
          <w:t xml:space="preserve">Sastry et al. (2024)</w:t>
        </w:r>
      </w:hyperlink>
      <w:r>
        <w:t xml:space="preserve"> argue that compute is well-suited for regulation. </w:t>
      </w:r>
      <w:hyperlink w:anchor="Lehdonvirta2024" w:history="1">
        <w:r>
          <w:rPr>
            <w:color w:val="1F3864"/>
            <w:u w:val="single"/>
          </w:rPr>
          <w:t xml:space="preserve">Lehdonvirta et al. (2024)</w:t>
        </w:r>
      </w:hyperlink>
      <w:r>
        <w:t xml:space="preserve"> map a “Compute North” with training-capable hardware versus a “Compute South” limited to inference chips. </w:t>
      </w:r>
      <w:hyperlink w:anchor="Pilz2025" w:history="1">
        <w:r>
          <w:rPr>
            <w:color w:val="1F3864"/>
            <w:u w:val="single"/>
          </w:rPr>
          <w:t xml:space="preserve">Pilz et al. (2025)</w:t>
        </w:r>
      </w:hyperlink>
      <w:r>
        <w:t xml:space="preserve"> project that data center power demand could reach 327 GW by 2030. The </w:t>
      </w:r>
      <w:hyperlink w:anchor="WorldBank2025" w:history="1">
        <w:r>
          <w:rPr>
            <w:color w:val="1F3864"/>
            <w:u w:val="single"/>
          </w:rPr>
          <w:t xml:space="preserve">World Bank (2025)</w:t>
        </w:r>
      </w:hyperlink>
      <w:r>
        <w:t xml:space="preserve"> documents the resulting divide (high-income countries hold 77 percent of colocation capacity), but does not offer a formal framework linking costs to trade patterns. </w:t>
      </w:r>
      <w:bookmarkStart w:id="253" w:name="Biglaiser2024txt"/>
      <w:hyperlink w:anchor="Biglaiser2024" w:history="1">
        <w:r>
          <w:rPr>
            <w:color w:val="1F3864"/>
            <w:u w:val="single"/>
          </w:rPr>
          <w:t xml:space="preserve">Biglaiser et al. (2024)</w:t>
        </w:r>
      </w:hyperlink>
      <w:bookmarkEnd w:id="253"/>
      <w:r>
        <w:t xml:space="preserve"> survey the cloud market in IO, and </w:t>
      </w:r>
      <w:bookmarkStart w:id="267" w:name="Stojkoski2024txt"/>
      <w:hyperlink w:anchor="Stojkoski2024" w:history="1">
        <w:r>
          <w:rPr>
            <w:color w:val="1F3864"/>
            <w:u w:val="single"/>
          </w:rPr>
          <w:t xml:space="preserve">Stojkoski et al. (2024)</w:t>
        </w:r>
      </w:hyperlink>
      <w:bookmarkEnd w:id="267"/>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construction-cost estimates are described in Appendix E.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4" w:name="Ohlin1933txt"/>
      <w:hyperlink w:anchor="Ohlin1933" w:history="1">
        <w:r>
          <w:rPr>
            <w:color w:val="1F3864"/>
            <w:u w:val="single"/>
          </w:rPr>
          <w:t xml:space="preserve">Ohlin 1933</w:t>
        </w:r>
      </w:hyperlink>
      <w:bookmarkEnd w:id="254"/>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5" w:name="Antras2003txt"/>
      <w:hyperlink w:anchor="Antras2003" w:history="1">
        <w:r>
          <w:rPr>
            <w:color w:val="1F3864"/>
            <w:u w:val="single"/>
          </w:rPr>
          <w:t xml:space="preserve">Antràs 2003</w:t>
        </w:r>
      </w:hyperlink>
      <w:bookmarkEnd w:id="255"/>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b w:val="0"/>
          <w:i/>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b w:val="0"/>
          <w:i/>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regime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they raise world prices, making imports more expensive.</w:t>
      </w:r>
      <w:r>
        <w:rPr>
          <w:rStyle w:val="FootnoteReference"/>
        </w:rPr>
        <w:footnoteReference w:id="22"/>
      </w:r>
    </w:p>
    <w:p>
      <w:pPr>
        <w:spacing w:before="0" w:after="160" w:line="360" w:lineRule="auto"/>
        <w:ind w:firstLine="0"/>
        <w:jc w:val="both"/>
      </w:pPr>
      <w:r>
        <w:rPr>
          <w:b w:val="0"/>
          <w:i/>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b w:val="0"/>
          <w:i/>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prices are sourced from national regulatory tariff sheets and secondary sources. These include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b w:val="0"/>
          <w:i/>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b w:val="0"/>
          <w:i/>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b w:val="0"/>
          <w:i/>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b w:val="0"/>
          <w:i/>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b w:val="0"/>
          <w:i/>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hyperlink w:anchor="Barroso2018" w:history="1">
        <w:r>
          <w:rPr>
            <w:color w:val="1F3864"/>
            <w:u w:val="single"/>
          </w:rPr>
          <w:t xml:space="preserve">Barroso et al. 2018</w:t>
        </w:r>
      </w:hyperlink>
      <w:r>
        <w:t xml:space="preserve">). GPU and networking equipment prices are assumed to be uniform across countries.</w:t>
      </w:r>
    </w:p>
    <w:p>
      <w:pPr>
        <w:spacing w:before="0" w:after="160" w:line="360" w:lineRule="auto"/>
        <w:ind w:firstLine="0"/>
        <w:jc w:val="both"/>
      </w:pPr>
      <w:r>
        <w:rPr>
          <w:b w:val="0"/>
          <w:i/>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b w:val="0"/>
          <w:i/>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hyperlink w:anchor="BenzJaax2020" w:history="1">
        <w:r>
          <w:rPr>
            <w:color w:val="1F3864"/>
            <w:u w:val="single"/>
          </w:rPr>
          <w:t xml:space="preserve">Benz and Jaax (2020)</w:t>
        </w:r>
      </w:hyperlink>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 xml:space="preserve"> (Appendix A).</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hyperlink w:anchor="IMF2025" w:history="1">
        <w:r>
          <w:rPr>
            <w:color w:val="1F3864"/>
            <w:u w:val="single"/>
          </w:rPr>
          <w:t xml:space="preserve">IMF 2025</w:t>
        </w:r>
      </w:hyperlink>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Appendix G develops a symmetric specification that additionally corrects OECD and high-income tariff distortions—carbon externalities and industrial cross-subsidies—and confirms that the qualitative ranking is reinforced rather than overturned.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indicating that low production cost alone is not sufficient to attract investment.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hyperlink w:anchor="AykutEtAl2026" w:history="1">
        <w:r>
          <w:rPr>
            <w:color w:val="1F3864"/>
            <w:u w:val="single"/>
          </w:rPr>
          <w:t xml:space="preserve">Aykut et al. 2026</w:t>
        </w:r>
      </w:hyperlink>
      <w:r>
        <w:t xml:space="preserve">). Most investment flows occur between geopolitical allies. This pattern is consistent with the bilateral sovereignty premium and suggests that cost alone does not determine where capacity is built (</w:t>
      </w:r>
      <w:hyperlink w:anchor="StraubEtAl2026" w:history="1">
        <w:r>
          <w:rPr>
            <w:color w:val="1F3864"/>
            <w:u w:val="single"/>
          </w:rPr>
          <w:t xml:space="preserve">Straub et al. 2026</w:t>
        </w:r>
      </w:hyperlink>
      <w:r>
        <w:t xml:space="preserve">). Econometric evidence shows that electricity costs do not predict data-center location once market size and the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59" w:name="KatzEtAl2025txt"/>
      <w:hyperlink w:anchor="KatzEtAl2025" w:history="1">
        <w:r>
          <w:rPr>
            <w:color w:val="1F3864"/>
            <w:u w:val="single"/>
          </w:rPr>
          <w:t xml:space="preserve">Katz et al. 2025</w:t>
        </w:r>
      </w:hyperlink>
      <w:bookmarkEnd w:id="259"/>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hyperlink w:anchor="AykutEtAl2026" w:history="1">
        <w:r>
          <w:rPr>
            <w:color w:val="1F3864"/>
            <w:u w:val="single"/>
          </w:rPr>
          <w:t xml:space="preserve">Aykut et al. 2026</w:t>
        </w:r>
      </w:hyperlink>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b w:val="0"/>
          <w:i/>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b w:val="0"/>
          <w:i/>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hyperlink w:anchor="AykutEtAl2026" w:history="1">
        <w:r>
          <w:rPr>
            <w:color w:val="1F3864"/>
            <w:u w:val="single"/>
          </w:rPr>
          <w:t xml:space="preserve">Aykut et al. 2026</w:t>
        </w:r>
      </w:hyperlink>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b w:val="0"/>
          <w:i/>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60" w:name="ACR2012txt"/>
      <w:hyperlink w:anchor="ACR2012" w:history="1">
        <w:r>
          <w:rPr>
            <w:color w:val="1F3864"/>
            <w:u w:val="single"/>
          </w:rPr>
          <w:t xml:space="preserve">Arkolakis et al. 2012</w:t>
        </w:r>
      </w:hyperlink>
      <w:bookmarkEnd w:id="260"/>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the logic of sovereignty to routine commercial computation. In the model, the bilateral premium shifts most countries toward domestic production, reducing the gains from specialization. The welfare cost is large in dollar terms but modest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b w:val="0"/>
          <w:i/>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(Appendix C)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b w:val="0"/>
          <w:i/>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b w:val="0"/>
          <w:i/>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b w:val="0"/>
          <w:i/>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b w:val="0"/>
          <w:i/>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hyperlink w:anchor="IMF2025" w:history="1">
        <w:r>
          <w:rPr>
            <w:color w:val="1F3864"/>
            <w:u w:val="single"/>
          </w:rPr>
          <w:t xml:space="preserve">IMF 2025</w:t>
        </w:r>
      </w:hyperlink>
      <w:r>
        <w:t xml:space="preserve">). </w:t>
      </w:r>
      <w:bookmarkStart w:id="261" w:name="AlvarezEtAl2026txt"/>
      <w:hyperlink w:anchor="AlvarezEtAl2026" w:history="1">
        <w:r>
          <w:rPr>
            <w:color w:val="1F3864"/>
            <w:u w:val="single"/>
          </w:rPr>
          <w:t xml:space="preserve">Alvarez et al. (2026)</w:t>
        </w:r>
      </w:hyperlink>
      <w:bookmarkEnd w:id="261"/>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b w:val="0"/>
          <w:i/>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b w:val="0"/>
          <w:i/>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hyperlink w:anchor="Calcaterra2024" w:history="1">
        <w:r>
          <w:rPr>
            <w:color w:val="1F3864"/>
            <w:u w:val="single"/>
          </w:rPr>
          <w:t xml:space="preserve">Calcaterra et al. 2024</w:t>
        </w:r>
      </w:hyperlink>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b w:val="0"/>
          <w:i/>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hyperlink w:anchor="AykutEtAl2026" w:history="1">
        <w:r>
          <w:rPr>
            <w:color w:val="1F3864"/>
            <w:u w:val="single"/>
          </w:rPr>
          <w:t xml:space="preserve">Aykut et al. 2026</w:t>
        </w:r>
      </w:hyperlink>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hyperlink w:anchor="EpochAI2024txt" w:history="1">
        <w:r>
          <w:rPr>
            <w:color w:val="1F3864"/>
            <w:u w:val="single"/>
          </w:rPr>
          <w:t xml:space="preserve">Epoch AI. (2024). </w:t>
        </w:r>
      </w:hyperlink>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hyperlink w:anchor="WorldBank2024" w:history="1">
        <w:r>
          <w:rPr>
            <w:i/>
            <w:color w:val="1F3864"/>
            <w:u w:val="single"/>
          </w:rPr>
          <w:t xml:space="preserve">World Bank</w:t>
        </w:r>
      </w:hyperlink>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hyperlink w:anchor="NVIDIA2024txt" w:history="1">
        <w:r>
          <w:rPr>
            <w:color w:val="1F3864"/>
            <w:u w:val="single"/>
          </w:rPr>
          <w:t xml:space="preserve">NVIDIA. </w:t>
        </w:r>
      </w:hyperlink>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hyperlink w:anchor="WorldBank2024" w:history="1">
        <w:r>
          <w:rPr>
            <w:color w:val="1F3864"/>
            <w:u w:val="single"/>
          </w:rPr>
          <w:t xml:space="preserve">World Bank</w:t>
        </w:r>
      </w:hyperlink>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hyperlink w:anchor="WorldBank2024" w:history="1">
        <w:r>
          <w:rPr>
            <w:color w:val="1F3864"/>
            <w:u w:val="single"/>
          </w:rPr>
          <w:t xml:space="preserve">World Bank</w:t>
        </w:r>
      </w:hyperlink>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pPr>
            <w:r/>
            <w:r>
              <w:rPr>
                <w:b w:val="0"/>
                <w:i w:val="0"/>
                <w:sz w:val="14"/>
              </w:rPr>
            </w:r>
          </w:p>
          <w:p>
            <w:pPr>
              <w:jc w:val="center"/>
              <w:spacing w:before="20" w:after="20"/>
            </w:pPr>
            <w:r/>
            <w:r>
              <w:rPr>
                <w:b w:val="0"/>
                <w:i w:val="0"/>
                <w:sz w:val="14"/>
              </w:rPr>
            </w:r>
          </w:p>
        </w:tc>
        <w:tc>
          <w:tcPr>
            <w:tcW w:type="dxa" w:w="1728"/>
            <w:vMerge w:val="restart"/>
          </w:tcPr>
          <w:p>
            <w:pPr>
              <w:jc w:val="center"/>
              <w:spacing w:before="20" w:after="20"/>
            </w:pPr>
            <w:r/>
            <w:r>
              <w:rPr>
                <w:b w:val="0"/>
                <w:i w:val="0"/>
                <w:sz w:val="14"/>
              </w:rPr>
            </w:r>
          </w:p>
          <w:p>
            <w:pPr>
              <w:jc w:val="center"/>
              <w:spacing w:before="20" w:after="20"/>
            </w:pPr>
            <w:r/>
            <w:r>
              <w:rPr>
                <w:b w:val="0"/>
                <w:i w:val="0"/>
                <w:sz w:val="14"/>
              </w:rPr>
            </w:r>
          </w:p>
        </w:tc>
        <w:tc>
          <w:tcPr>
            <w:tcW w:type="dxa" w:w="5184"/>
            <w:gridSpan w:val="3"/>
          </w:tcPr>
          <w:p>
            <w:pPr>
              <w:jc w:val="center"/>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bookmarkStart w:id="1706" w:name="NVIDIA2024txt"/>
            <w:hyperlink w:anchor="NVIDIA2024" w:history="1">
              <w:r>
                <w:rPr>
                  <w:sz w:val="20"/>
                  <w:rFonts w:ascii="Times New Roman" w:hAnsi="Times New Roman"/>
                  <w:color w:val="1F3864"/>
                  <w:u w:val="single"/>
                </w:rPr>
                <w:t xml:space="preserve">NVIDIA (2024)</w:t>
              </w:r>
            </w:hyperlink>
            <w:bookmarkEnd w:id="1706"/>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bookmarkStart w:id="1707" w:name="EpochAI2024txt"/>
            <w:hyperlink w:anchor="EpochAI2024" w:history="1">
              <w:r>
                <w:rPr>
                  <w:sz w:val="20"/>
                  <w:rFonts w:ascii="Times New Roman" w:hAnsi="Times New Roman"/>
                  <w:color w:val="1F3864"/>
                  <w:u w:val="single"/>
                </w:rPr>
                <w:t xml:space="preserve">Epoch AI (2024)</w:t>
              </w:r>
            </w:hyperlink>
            <w:bookmarkEnd w:id="1707"/>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(2) Cost-Recovery</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(3) Bilateral</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W w:w="450" w:type="dxa"/>
          </w:tcPr>
          <w:p>
            <w:pPr>
              <w:jc w:val="center"/>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W w:w="450" w:type="dxa"/>
          </w:tcPr>
          <w:p>
            <w:pPr>
              <w:jc w:val="center"/>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r>
        <w:t xml:space="preserve">This appendix presents a 15-year discounted cash flow (DCF) analysis for a hypothetical 40 MW data center in Kyrgyzstan, the lowest-cost seller in the cost-recovery-adjusted calibration. </w:t>
      </w:r>
      <w:bookmarkStart w:id="145" w:name="TableA4txt"/>
      <w:hyperlink w:anchor="TableA4" w:history="1">
        <w:r>
          <w:rPr>
            <w:color w:val="1F3864"/>
            <w:u w:val="single"/>
          </w:rPr>
          <w:t xml:space="preserve">Table A4</w:t>
        </w:r>
      </w:hyperlink>
      <w:bookmarkEnd w:id="145"/>
      <w:r>
        <w:t xml:space="preserve"> summarizes facility parameters, </w:t>
      </w:r>
      <w:bookmarkStart w:id="147" w:name="TableA5txt"/>
      <w:hyperlink w:anchor="TableA5" w:history="1">
        <w:r>
          <w:rPr>
            <w:color w:val="1F3864"/>
            <w:u w:val="single"/>
          </w:rPr>
          <w:t xml:space="preserve">Table A5</w:t>
        </w:r>
      </w:hyperlink>
      <w:bookmarkEnd w:id="147"/>
      <w:r>
        <w:t xml:space="preserve"> presents the year-by-year cash flow, and </w:t>
      </w:r>
      <w:bookmarkStart w:id="149" w:name="TableA6txt"/>
      <w:hyperlink w:anchor="TableA6" w:history="1">
        <w:r>
          <w:rPr>
            <w:color w:val="1F3864"/>
            <w:u w:val="single"/>
          </w:rPr>
          <w:t xml:space="preserve">Table A6</w:t>
        </w:r>
      </w:hyperlink>
      <w:bookmarkEnd w:id="149"/>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bookmarkStart w:id="151" w:name="TableA7txt"/>
      <w:hyperlink w:anchor="TableA7" w:history="1">
        <w:r>
          <w:rPr>
            <w:color w:val="1F3864"/>
            <w:u w:val="single"/>
          </w:rPr>
          <w:t xml:space="preserve">Table A7</w:t>
        </w:r>
      </w:hyperlink>
      <w:bookmarkEnd w:id="151"/>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2" w:name="Borenstein2012txt"/>
      <w:hyperlink w:anchor="Borenstein2012" w:history="1">
        <w:r>
          <w:rPr>
            <w:color w:val="1F3864"/>
            <w:u w:val="single"/>
          </w:rPr>
          <w:t xml:space="preserve">Borenstein (2012)</w:t>
        </w:r>
      </w:hyperlink>
      <w:bookmarkEnd w:id="262"/>
      <w:r>
        <w:t xml:space="preserve"> and </w:t>
      </w:r>
      <w:bookmarkStart w:id="244" w:name="DavisHausman2016txt"/>
      <w:hyperlink w:anchor="DavisHausman2016" w:history="1">
        <w:r>
          <w:rPr>
            <w:color w:val="1F3864"/>
            <w:u w:val="single"/>
          </w:rPr>
          <w:t xml:space="preserve">Davis and Hausman (2016)</w:t>
        </w:r>
      </w:hyperlink>
      <w:bookmarkEnd w:id="244"/>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