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October 05, 2026  22:05</w:t>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hyperlink w:anchor="AykutEtAl2026" w:history="1">
        <w:r>
          <w:rPr>
            <w:color w:val="1F3864"/>
            <w:u w:val="single"/>
          </w:rPr>
          <w:t xml:space="preserve">Aykut et al. 2026</w:t>
        </w:r>
      </w:hyperlink>
      <w:r>
        <w:t xml:space="preserve">) and annual cloud computing exports exceeded $9 billion (</w:t>
      </w:r>
      <w:hyperlink w:anchor="WorldBank2025" w:history="1">
        <w:r>
          <w:rPr>
            <w:color w:val="1F3864"/>
            <w:u w:val="single"/>
          </w:rPr>
          <w:t xml:space="preserve">World Bank 2025</w:t>
        </w:r>
      </w:hyperlink>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hyperlink w:anchor="Liu2023" w:history="1">
        <w:r>
          <w:rPr>
            <w:color w:val="1F3864"/>
            <w:u w:val="single"/>
          </w:rPr>
          <w:t xml:space="preserve">Liu et al. (2023)</w:t>
        </w:r>
      </w:hyperlink>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hyperlink w:anchor="Sastry2024" w:history="1">
        <w:r>
          <w:rPr>
            <w:color w:val="1F3864"/>
            <w:u w:val="single"/>
          </w:rPr>
          <w:t xml:space="preserve">Sastry et al. (2024)</w:t>
        </w:r>
      </w:hyperlink>
      <w:r>
        <w:t xml:space="preserve"> argue that compute is well-suited for regulation. </w:t>
      </w:r>
      <w:hyperlink w:anchor="Lehdonvirta2024" w:history="1">
        <w:r>
          <w:rPr>
            <w:color w:val="1F3864"/>
            <w:u w:val="single"/>
          </w:rPr>
          <w:t xml:space="preserve">Lehdonvirta et al. (2024)</w:t>
        </w:r>
      </w:hyperlink>
      <w:r>
        <w:t xml:space="preserve"> map a “Compute North” with training-capable hardware versus a “Compute South” limited to inference chips. </w:t>
      </w:r>
      <w:hyperlink w:anchor="Pilz2025" w:history="1">
        <w:r>
          <w:rPr>
            <w:color w:val="1F3864"/>
            <w:u w:val="single"/>
          </w:rPr>
          <w:t xml:space="preserve">Pilz et al. (2025)</w:t>
        </w:r>
      </w:hyperlink>
      <w:r>
        <w:t xml:space="preserve"> project that data center power demand could reach 327 GW by 2030. The </w:t>
      </w:r>
      <w:hyperlink w:anchor="WorldBank2025" w:history="1">
        <w:r>
          <w:rPr>
            <w:color w:val="1F3864"/>
            <w:u w:val="single"/>
          </w:rPr>
          <w:t xml:space="preserve">World Bank (2025)</w:t>
        </w:r>
      </w:hyperlink>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hyperlink w:anchor="Barroso2018" w:history="1">
        <w:r>
          <w:rPr>
            <w:color w:val="1F3864"/>
            <w:u w:val="single"/>
          </w:rPr>
          <w:t xml:space="preserve">Barroso et al. 2018</w:t>
        </w:r>
      </w:hyperlink>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hyperlink w:anchor="BenzJaax2020" w:history="1">
        <w:r>
          <w:rPr>
            <w:color w:val="1F3864"/>
            <w:u w:val="single"/>
          </w:rPr>
          <w:t xml:space="preserve">Benz and Jaax (2020)</w:t>
        </w:r>
      </w:hyperlink>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hyperlink w:anchor="IMF2025" w:history="1">
        <w:r>
          <w:rPr>
            <w:color w:val="1F3864"/>
            <w:u w:val="single"/>
          </w:rPr>
          <w:t xml:space="preserve">IMF 2025</w:t>
        </w:r>
      </w:hyperlink>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hyperlink w:anchor="AykutEtAl2026" w:history="1">
        <w:r>
          <w:rPr>
            <w:color w:val="1F3864"/>
            <w:u w:val="single"/>
          </w:rPr>
          <w:t xml:space="preserve">Aykut et al. 2026</w:t>
        </w:r>
      </w:hyperlink>
      <w:r>
        <w:t xml:space="preserve">). Most investment flows occur between geopolitical allies. This pattern is consistent with the bilateral sovereignty premium and suggests that cost alone does not determine where capacity is built (</w:t>
      </w:r>
      <w:hyperlink w:anchor="StraubEtAl2026" w:history="1">
        <w:r>
          <w:rPr>
            <w:color w:val="1F3864"/>
            <w:u w:val="single"/>
          </w:rPr>
          <w:t xml:space="preserve">Straub et al. 2026</w:t>
        </w:r>
      </w:hyperlink>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hyperlink w:anchor="AykutEtAl2026" w:history="1">
        <w:r>
          <w:rPr>
            <w:color w:val="1F3864"/>
            <w:u w:val="single"/>
          </w:rPr>
          <w:t xml:space="preserve">Aykut et al. 2026</w:t>
        </w:r>
      </w:hyperlink>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hyperlink w:anchor="AykutEtAl2026" w:history="1">
        <w:r>
          <w:rPr>
            <w:color w:val="1F3864"/>
            <w:u w:val="single"/>
          </w:rPr>
          <w:t xml:space="preserve">Aykut et al. 2026</w:t>
        </w:r>
      </w:hyperlink>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hyperlink w:anchor="IMF2025" w:history="1">
        <w:r>
          <w:rPr>
            <w:color w:val="1F3864"/>
            <w:u w:val="single"/>
          </w:rPr>
          <w:t xml:space="preserve">IMF 2025</w:t>
        </w:r>
      </w:hyperlink>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hyperlink w:anchor="Calcaterra2024" w:history="1">
        <w:r>
          <w:rPr>
            <w:color w:val="1F3864"/>
            <w:u w:val="single"/>
          </w:rPr>
          <w:t xml:space="preserve">Calcaterra et al. 2024</w:t>
        </w:r>
      </w:hyperlink>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hyperlink w:anchor="AykutEtAl2026" w:history="1">
        <w:r>
          <w:rPr>
            <w:color w:val="1F3864"/>
            <w:u w:val="single"/>
          </w:rPr>
          <w:t xml:space="preserve">Aykut et al. 2026</w:t>
        </w:r>
      </w:hyperlink>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hyperlink w:anchor="EpochAI2024txt" w:history="1">
        <w:r>
          <w:rPr>
            <w:color w:val="1F3864"/>
            <w:u w:val="single"/>
          </w:rPr>
          <w:t xml:space="preserve">Epoch AI. (2024). </w:t>
        </w:r>
      </w:hyperlink>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hyperlink w:anchor="WorldBank2024" w:history="1">
        <w:r>
          <w:rPr>
            <w:i/>
            <w:color w:val="1F3864"/>
            <w:u w:val="single"/>
          </w:rPr>
          <w:t xml:space="preserve">World Bank</w:t>
        </w:r>
      </w:hyperlink>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hyperlink w:anchor="NVIDIA2024txt" w:history="1">
        <w:r>
          <w:rPr>
            <w:color w:val="1F3864"/>
            <w:u w:val="single"/>
          </w:rPr>
          <w:t xml:space="preserve">NVIDIA. </w:t>
        </w:r>
      </w:hyperlink>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hyperlink w:anchor="WorldBank2024" w:history="1">
        <w:r>
          <w:rPr>
            <w:color w:val="1F3864"/>
            <w:u w:val="single"/>
          </w:rPr>
          <w:t xml:space="preserve">World Bank</w:t>
        </w:r>
      </w:hyperlink>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hyperlink w:anchor="WorldBank2024" w:history="1">
        <w:r>
          <w:rPr>
            <w:color w:val="1F3864"/>
            <w:u w:val="single"/>
          </w:rPr>
          <w:t xml:space="preserve">World Bank</w:t>
        </w:r>
      </w:hyperlink>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bookmarkStart w:id="1706" w:name="NVIDIA2024txt"/>
            <w:hyperlink w:anchor="NVIDIA2024" w:history="1">
              <w:r>
                <w:rPr>
                  <w:sz w:val="20"/>
                  <w:rFonts w:ascii="Times New Roman" w:hAnsi="Times New Roman"/>
                  <w:color w:val="1F3864"/>
                  <w:u w:val="single"/>
                </w:rPr>
                <w:t xml:space="preserve">NVIDIA (2024)</w:t>
              </w:r>
            </w:hyperlink>
            <w:bookmarkEnd w:id="1706"/>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bookmarkStart w:id="1707" w:name="EpochAI2024txt"/>
            <w:hyperlink w:anchor="EpochAI2024" w:history="1">
              <w:r>
                <w:rPr>
                  <w:sz w:val="20"/>
                  <w:rFonts w:ascii="Times New Roman" w:hAnsi="Times New Roman"/>
                  <w:color w:val="1F3864"/>
                  <w:u w:val="single"/>
                </w:rPr>
                <w:t xml:space="preserve">Epoch AI (2024)</w:t>
              </w:r>
            </w:hyperlink>
            <w:bookmarkEnd w:id="1707"/>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r>
        <w:t xml:space="preserve">This appendix presents a 15-year discounted cash flow (DCF) analysis for a hypothetical 40 MW data center in Kyrgyzstan, the lowest-cost seller in the cost-recovery-adjusted calibration. </w:t>
      </w:r>
      <w:bookmarkStart w:id="145" w:name="TableA4txt"/>
      <w:hyperlink w:anchor="TableA4" w:history="1">
        <w:r>
          <w:rPr>
            <w:color w:val="1F3864"/>
            <w:u w:val="single"/>
          </w:rPr>
          <w:t xml:space="preserve">Table A4</w:t>
        </w:r>
      </w:hyperlink>
      <w:bookmarkEnd w:id="145"/>
      <w:r>
        <w:t xml:space="preserve"> summarizes facility parameters, </w:t>
      </w:r>
      <w:bookmarkStart w:id="147" w:name="TableA5txt"/>
      <w:hyperlink w:anchor="TableA5" w:history="1">
        <w:r>
          <w:rPr>
            <w:color w:val="1F3864"/>
            <w:u w:val="single"/>
          </w:rPr>
          <w:t xml:space="preserve">Table A5</w:t>
        </w:r>
      </w:hyperlink>
      <w:bookmarkEnd w:id="147"/>
      <w:r>
        <w:t xml:space="preserve"> presents the year-by-year cash flow, and </w:t>
      </w:r>
      <w:bookmarkStart w:id="149" w:name="TableA6txt"/>
      <w:hyperlink w:anchor="TableA6" w:history="1">
        <w:r>
          <w:rPr>
            <w:color w:val="1F3864"/>
            <w:u w:val="single"/>
          </w:rPr>
          <w:t xml:space="preserve">Table A6</w:t>
        </w:r>
      </w:hyperlink>
      <w:bookmarkEnd w:id="149"/>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bookmarkStart w:id="151" w:name="TableA7txt"/>
      <w:hyperlink w:anchor="TableA7" w:history="1">
        <w:r>
          <w:rPr>
            <w:color w:val="1F3864"/>
            <w:u w:val="single"/>
          </w:rPr>
          <w:t xml:space="preserve">Table A7</w:t>
        </w:r>
      </w:hyperlink>
      <w:bookmarkEnd w:id="151"/>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