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v26  —  February 24, 2026  15:08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implying that the worst-case hyperscaler facility operates at half the effectiveness of an OECD benchmark.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0.76, Uzbekistan: 0.74, Ethiopia: 0.71).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0.81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41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Sweden, and South Africa. </w:t>
      </w:r>
      <w:r>
        <w:t>The Δ column shows the rank change from raw tariffs to the preferred specification (column 1 to column 4): Iran drops 82 places</w:t>
      </w:r>
      <w:r>
        <w:t>, Kyrgyzstan drops 63</w:t>
      </w:r>
      <w:r>
        <w:t xml:space="preserve">, while Switzerland rises 60 places, </w:t>
      </w:r>
      <w:r>
        <w:t>and Austria rises 57</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−9.5%</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16.1%</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1 exporter (HHI = 1.00), confirming Proposition 2. </w:t>
      </w:r>
      <w:r>
        <w:t>Inference is more dispersed, with the top five suppliers being Canada (48%), Japan (28%), Finland (7%), Norway (7%), and Singapore (5%), collectively accounting for 95% of global inference demand (HHI = 0.32). Under the bilateral sovereignty premium, most training demand is served domestically, and the smaller export market is served by 1 exporter (HHI = 1.00) at $1.61/hr.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Japan,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3.2%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0.999, the top five countries are unchanged in three of five cases, and the training price shifts by at most $0.275/hr.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parameters.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w:t>
      </w:r>
      <w:hyperlink w:anchor="TableA3" w:history="1">
        <w:r>
          <w:rPr>
            <w:color w:val="1F3864"/>
            <w:u w:val="single"/>
          </w:rPr>
          <w:t xml:space="preserve">Table A3</w:t>
        </w:r>
      </w:hyperlink>
      <w:r>
        <w:t xml:space="preserve"> reports sensitivity to both parameters. Varying </w:t>
      </w:r>
      <m:oMath>
        <m:r>
          <m:rPr>
            <m:sty m:val="i"/>
          </m:rPr>
          <w:rPr>
            <w:rFonts w:ascii="Cambria Math" w:hAnsi="Cambria Math"/>
          </w:rPr>
          <m:t xml:space="preserve">ω</m:t>
        </m:r>
      </m:oMath>
      <w:r>
        <w:t xml:space="preserve"> from 0.70 to 1.00 leaves the top five exporters unchanged and the Spearman rank correlation above 0.99. The floor compresses the ξ range from [0.34, 1.00] to [0.67, 1.00]. Setting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widens the penalty range modestly, while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0.70</m:t>
        </m:r>
      </m:oMath>
      <w:r>
        <w:t xml:space="preserve"> compresses it further — in both cases, the top five exporters are </w:t>
      </w:r>
      <w:r>
        <w:t xml:space="preserve">largely unchanged </w:t>
      </w:r>
      <w:r>
        <w:t xml:space="preserve">and the rank correlation exceeds 0.99. As an alternative specification, replacing ξ with </w:t>
      </w:r>
      <m:oMath>
        <m:sSup>
          <m:sSupPr/>
          <m:e>
            <m:r>
              <m:rPr>
                <m:sty m:val="i"/>
              </m:rPr>
              <w:rPr>
                <w:rFonts w:ascii="Cambria Math" w:hAnsi="Cambria Math"/>
              </w:rPr>
              <m:t xml:space="preserve">ξ</m:t>
            </m:r>
          </m:e>
          <m:sup>
            <m:r>
              <m:rPr>
                <m:sty m:val="i"/>
              </m:rPr>
              <w:rPr>
                <w:rFonts w:ascii="Cambria Math" w:hAnsi="Cambria Math"/>
              </w:rPr>
              <m:t xml:space="preserve">θ</m:t>
            </m:r>
          </m:sup>
        </m:sSup>
      </m:oMath>
      <w:r>
        <w:t xml:space="preserve"> (</w:t>
      </w:r>
      <m:oMath>
        <m:r>
          <m:rPr>
            <m:sty m:val="i"/>
          </m:rPr>
          <w:rPr>
            <w:rFonts w:ascii="Cambria Math" w:hAnsi="Cambria Math"/>
          </w:rPr>
          <m:t xml:space="preserve">θ</m:t>
        </m:r>
        <m:r>
          <m:rPr>
            <m:sty m:val="p"/>
          </m:rPr>
          <w:rPr>
            <w:rFonts w:ascii="Cambria Math" w:hAnsi="Cambria Math"/>
          </w:rPr>
          <m:t xml:space="preserve"> = 0.5</m:t>
        </m:r>
      </m:oMath>
      <w:r>
        <w:t>) produces similar compression without an explicit floor; the rank correlation with the baseline exceeds 0.99. The qualitative finding — that developing countries with cheap energy and adequate governance can compete —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3.2%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27</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-21</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b/>
                <w:sz w:val="16"/>
              </w:rPr>
              <w:t>50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$1.79</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55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$1.79</w:t>
            </w:r>
          </w:p>
        </w:tc>
        <w:tc>
          <w:tcPr>
            <w:tcW w:w="540" w:type="dxa"/>
          </w:tcPr>
          <w:p>
            <w:pPr>
              <w:jc w:val="center"/>
              <w:spacing w:before="10" w:after="10"/>
            </w:pPr>
            <w:r/>
            <w:r>
              <w:rPr>
                <w:rFonts w:ascii="Times New Roman" w:hAnsi="Times New Roman"/>
                <w:b/>
                <w:sz w:val="16"/>
              </w:rPr>
              <w:t>55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57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60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$1.85</w:t>
            </w:r>
          </w:p>
        </w:tc>
        <w:tc>
          <w:tcPr>
            <w:tcW w:w="450" w:type="dxa"/>
          </w:tcPr>
          <w:p>
            <w:pPr>
              <w:jc w:val="center"/>
              <w:spacing w:before="10" w:after="10"/>
            </w:pPr>
            <w:r/>
            <w:r>
              <w:rPr>
                <w:rFonts w:ascii="Times New Roman" w:hAnsi="Times New Roman"/>
                <w:sz w:val="16"/>
              </w:rPr>
              <w:t>0.79</w:t>
            </w:r>
          </w:p>
        </w:tc>
        <w:tc>
          <w:tcPr>
            <w:tcW w:w="540" w:type="dxa"/>
          </w:tcPr>
          <w:p>
            <w:pPr>
              <w:jc w:val="center"/>
              <w:spacing w:before="10" w:after="10"/>
            </w:pPr>
            <w:r/>
            <w:r>
              <w:rPr>
                <w:rFonts w:ascii="Times New Roman" w:hAnsi="Times New Roman"/>
                <w:sz w:val="16"/>
              </w:rPr>
              <w:t>63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$1.85</w:t>
            </w:r>
          </w:p>
        </w:tc>
        <w:tc>
          <w:tcPr>
            <w:tcW w:w="540" w:type="dxa"/>
          </w:tcPr>
          <w:p>
            <w:pPr>
              <w:jc w:val="center"/>
              <w:spacing w:before="10" w:after="10"/>
            </w:pPr>
            <w:r/>
            <w:r>
              <w:rPr>
                <w:rFonts w:ascii="Times New Roman" w:hAnsi="Times New Roman"/>
                <w:b/>
                <w:sz w:val="16"/>
              </w:rPr>
              <w:t>63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$1.87</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67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$1.87</w:t>
            </w:r>
          </w:p>
        </w:tc>
        <w:tc>
          <w:tcPr>
            <w:tcW w:w="540" w:type="dxa"/>
          </w:tcPr>
          <w:p>
            <w:pPr>
              <w:jc w:val="center"/>
              <w:spacing w:before="10" w:after="10"/>
            </w:pPr>
            <w:r/>
            <w:r>
              <w:rPr>
                <w:rFonts w:ascii="Times New Roman" w:hAnsi="Times New Roman"/>
                <w:b/>
                <w:sz w:val="16"/>
              </w:rPr>
              <w:t>67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$2.03</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$2.03</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450" w:type="dxa"/>
          </w:tcPr>
          <w:p>
            <w:pPr>
              <w:jc w:val="center"/>
              <w:spacing w:before="10" w:after="10"/>
            </w:pPr>
            <w:r/>
            <w:r>
              <w:rPr>
                <w:rFonts w:ascii="Times New Roman" w:hAnsi="Times New Roman"/>
                <w:sz w:val="16"/>
              </w:rPr>
              <w:t>0.70</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450" w:type="dxa"/>
          </w:tcPr>
          <w:p>
            <w:pPr>
              <w:jc w:val="center"/>
              <w:spacing w:before="10" w:after="10"/>
            </w:pPr>
            <w:r/>
            <w:r>
              <w:rPr>
                <w:rFonts w:ascii="Times New Roman" w:hAnsi="Times New Roman"/>
                <w:sz w:val="16"/>
              </w:rPr>
              <w:t>0.67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−9.5%</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−8.8%</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−8.7%</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−7.8%</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−4.9%</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−4.8%</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−4.7%</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27</w:t>
            </w:r>
          </w:p>
        </w:tc>
        <w:tc>
          <w:tcPr>
            <w:tcW w:w="1100" w:type="dxa"/>
          </w:tcPr>
          <w:p>
            <w:pPr>
              <w:jc w:val="center"/>
              <w:spacing w:before="10" w:after="10"/>
            </w:pPr>
            <w:r/>
            <w:r>
              <w:rPr>
                <w:rFonts w:ascii="Times New Roman" w:hAnsi="Times New Roman"/>
                <w:sz w:val="16"/>
              </w:rPr>
              <w:t>−2.1%</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$1.66</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38</w:t>
            </w:r>
          </w:p>
        </w:tc>
        <w:tc>
          <w:tcPr>
            <w:tcW w:w="1100" w:type="dxa"/>
          </w:tcPr>
          <w:p>
            <w:pPr>
              <w:jc w:val="center"/>
              <w:spacing w:before="10" w:after="10"/>
            </w:pPr>
            <w:r/>
            <w:r>
              <w:rPr>
                <w:rFonts w:ascii="Times New Roman" w:hAnsi="Times New Roman"/>
                <w:sz w:val="16"/>
              </w:rPr>
              <w:t>2.7%</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$1.71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$1.76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50</w:t>
            </w:r>
          </w:p>
        </w:tc>
        <w:tc>
          <w:tcPr>
            <w:tcW w:w="1100" w:type="dxa"/>
          </w:tcPr>
          <w:p>
            <w:pPr>
              <w:jc w:val="center"/>
              <w:spacing w:before="10" w:after="10"/>
            </w:pPr>
            <w:r/>
            <w:r>
              <w:rPr>
                <w:rFonts w:ascii="Times New Roman" w:hAnsi="Times New Roman"/>
                <w:sz w:val="16"/>
              </w:rPr>
              <w:t>9.2%</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55</w:t>
            </w:r>
          </w:p>
        </w:tc>
        <w:tc>
          <w:tcPr>
            <w:tcW w:w="1100" w:type="dxa"/>
          </w:tcPr>
          <w:p>
            <w:pPr>
              <w:jc w:val="center"/>
              <w:spacing w:before="10" w:after="10"/>
            </w:pPr>
            <w:r/>
            <w:r>
              <w:rPr>
                <w:rFonts w:ascii="Times New Roman" w:hAnsi="Times New Roman"/>
                <w:sz w:val="16"/>
              </w:rPr>
              <w:t>11.1%</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57</w:t>
            </w:r>
          </w:p>
        </w:tc>
        <w:tc>
          <w:tcPr>
            <w:tcW w:w="1100" w:type="dxa"/>
          </w:tcPr>
          <w:p>
            <w:pPr>
              <w:jc w:val="center"/>
              <w:spacing w:before="10" w:after="10"/>
            </w:pPr>
            <w:r/>
            <w:r>
              <w:rPr>
                <w:rFonts w:ascii="Times New Roman" w:hAnsi="Times New Roman"/>
                <w:sz w:val="16"/>
              </w:rPr>
              <w:t>11.4%</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60</w:t>
            </w:r>
          </w:p>
        </w:tc>
        <w:tc>
          <w:tcPr>
            <w:tcW w:w="1100" w:type="dxa"/>
          </w:tcPr>
          <w:p>
            <w:pPr>
              <w:jc w:val="center"/>
              <w:spacing w:before="10" w:after="10"/>
            </w:pPr>
            <w:r/>
            <w:r>
              <w:rPr>
                <w:rFonts w:ascii="Times New Roman" w:hAnsi="Times New Roman"/>
                <w:sz w:val="16"/>
              </w:rPr>
              <w:t>11.9%</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$1.85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63</w:t>
            </w:r>
          </w:p>
        </w:tc>
        <w:tc>
          <w:tcPr>
            <w:tcW w:w="1100" w:type="dxa"/>
          </w:tcPr>
          <w:p>
            <w:pPr>
              <w:jc w:val="center"/>
              <w:spacing w:before="10" w:after="10"/>
            </w:pPr>
            <w:r/>
            <w:r>
              <w:rPr>
                <w:rFonts w:ascii="Times New Roman" w:hAnsi="Times New Roman"/>
                <w:sz w:val="16"/>
              </w:rPr>
              <w:t>14.7%</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$1.87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67</w:t>
            </w:r>
          </w:p>
        </w:tc>
        <w:tc>
          <w:tcPr>
            <w:tcW w:w="1100" w:type="dxa"/>
          </w:tcPr>
          <w:p>
            <w:pPr>
              <w:jc w:val="center"/>
              <w:spacing w:before="10" w:after="10"/>
            </w:pPr>
            <w:r/>
            <w:r>
              <w:rPr>
                <w:rFonts w:ascii="Times New Roman" w:hAnsi="Times New Roman"/>
                <w:sz w:val="16"/>
              </w:rPr>
              <w:t>16.1%</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19.3%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78</w:t>
            </w:r>
          </w:p>
        </w:tc>
        <w:tc>
          <w:tcPr>
            <w:tcW w:w="1100" w:type="dxa"/>
          </w:tcPr>
          <w:p>
            <w:pPr>
              <w:jc w:val="center"/>
              <w:spacing w:before="10" w:after="10"/>
            </w:pPr>
            <w:r/>
            <w:r>
              <w:rPr>
                <w:rFonts w:ascii="Times New Roman" w:hAnsi="Times New Roman"/>
                <w:sz w:val="16"/>
              </w:rPr>
              <w:t>25.4%</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79</w:t>
            </w:r>
          </w:p>
        </w:tc>
        <w:tc>
          <w:tcPr>
            <w:tcW w:w="1100" w:type="dxa"/>
          </w:tcPr>
          <w:p>
            <w:pPr>
              <w:jc w:val="center"/>
              <w:spacing w:before="10" w:after="10"/>
            </w:pPr>
            <w:r/>
            <w:r>
              <w:rPr>
                <w:rFonts w:ascii="Times New Roman" w:hAnsi="Times New Roman"/>
                <w:sz w:val="16"/>
              </w:rPr>
              <w:t>25.6%</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$2.03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25.8%</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$2.12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31.7%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$2.19</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35.7%</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0.82</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0.79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0.82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0.83</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0.99</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0.89</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0.97</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+55</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$1.98</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$2.03</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$1.620</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$1.605</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$1.888</w:t>
            </w:r>
          </w:p>
        </w:tc>
        <w:tc>
          <w:tcPr>
            <w:tcW w:w="800" w:type="dxa"/>
          </w:tcPr>
          <w:p>
            <w:pPr>
              <w:jc w:val="right"/>
              <w:spacing w:before="10" w:after="10"/>
            </w:pPr>
            <w:r/>
            <w:r>
              <w:rPr>
                <w:sz w:val="16"/>
              </w:rPr>
              <w:t>2</w:t>
            </w:r>
          </w:p>
        </w:tc>
        <w:tc>
          <w:tcPr>
            <w:tcW w:w="800" w:type="dxa"/>
          </w:tcPr>
          <w:p>
            <w:pPr>
              <w:jc w:val="right"/>
              <w:spacing w:before="10" w:after="10"/>
            </w:pPr>
            <w:r/>
            <w:r>
              <w:rPr>
                <w:sz w:val="16"/>
              </w:rPr>
              <w:t>0.5660</w:t>
            </w:r>
          </w:p>
        </w:tc>
        <w:tc>
          <w:tcPr>
            <w:tcW w:w="900" w:type="dxa"/>
          </w:tcPr>
          <w:p>
            <w:pPr>
              <w:jc w:val="right"/>
              <w:spacing w:before="10" w:after="10"/>
            </w:pPr>
            <w:r/>
            <w:r>
              <w:rPr>
                <w:sz w:val="16"/>
              </w:rPr>
              <w:t>0.9990</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$1.338</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0.9989</w:t>
            </w:r>
          </w:p>
        </w:tc>
        <w:tc>
          <w:tcPr>
            <w:tcW w:w="600" w:type="dxa"/>
          </w:tcPr>
          <w:p>
            <w:pPr>
              <w:jc w:val="right"/>
              <w:spacing w:before="10" w:after="10"/>
            </w:pPr>
            <w:r/>
            <w:r>
              <w:rPr>
                <w:sz w:val="16"/>
              </w:rPr>
              <w:t>Same</w:t>
            </w:r>
          </w:p>
        </w:tc>
      </w:tr>
      <w:tr>
        <w:tc>
          <w:tcPr>
            <w:tcW w:w="2200" w:type="dxa"/>
          </w:tcPr>
          <w:p>
            <w:pPr>
              <w:spacing w:before="10" w:after="10"/>
            </w:pPr>
            <w:r/>
            <w:r>
              <w:rPr>
                <w:sz w:val="16"/>
              </w:rPr>
              <w:t>Cooling efficiency cap (PUE ≤ 1.20)</w:t>
            </w:r>
          </w:p>
        </w:tc>
        <w:tc>
          <w:tcPr>
            <w:tcW w:w="2600" w:type="dxa"/>
          </w:tcPr>
          <w:p>
            <w:pPr>
              <w:spacing w:before="10" w:after="10"/>
            </w:pPr>
            <w:r/>
            <w:r>
              <w:rPr>
                <w:sz w:val="16"/>
              </w:rPr>
              <w:t>PUE capped at 1.20 for all countries</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0.9991</w:t>
            </w:r>
          </w:p>
        </w:tc>
        <w:tc>
          <w:tcPr>
            <w:tcW w:w="600" w:type="dxa"/>
          </w:tcPr>
          <w:p>
            <w:pPr>
              <w:jc w:val="right"/>
              <w:spacing w:before="10" w:after="10"/>
            </w:pPr>
            <w:r/>
            <w:r>
              <w:rPr>
                <w:sz w:val="16"/>
              </w:rPr>
              <w:t>Same</w:t>
            </w:r>
          </w:p>
        </w:tc>
      </w:tr>
      <w:tr>
        <w:tc>
          <w:tcPr>
            <w:tcW w:w="2200" w:type="dxa"/>
          </w:tcPr>
          <w:p>
            <w:pPr>
              <w:spacing w:before="10" w:after="10"/>
            </w:pPr>
            <w:r/>
            <w:r>
              <w:rPr>
                <w:sz w:val="16"/>
              </w:rPr>
              <w:t>Institutional floor ξ_floor = 0.30</w:t>
            </w:r>
          </w:p>
        </w:tc>
        <w:tc>
          <w:tcPr>
            <w:tcW w:w="2600" w:type="dxa"/>
          </w:tcPr>
          <w:p>
            <w:pPr>
              <w:spacing w:before="10" w:after="10"/>
            </w:pPr>
            <w:r/>
            <w:r>
              <w:rPr>
                <w:sz w:val="16"/>
              </w:rPr>
              <w:t>ξ_floor = 0.30 (baseline 0.50)</w:t>
            </w:r>
          </w:p>
        </w:tc>
        <w:tc>
          <w:tcPr>
            <w:tcW w:w="900" w:type="dxa"/>
          </w:tcPr>
          <w:p>
            <w:pPr>
              <w:jc w:val="right"/>
              <w:spacing w:before="10" w:after="10"/>
            </w:pPr>
            <w:r/>
            <w:r>
              <w:rPr>
                <w:sz w:val="16"/>
              </w:rPr>
              <w:t>$1.621</w:t>
            </w:r>
          </w:p>
        </w:tc>
        <w:tc>
          <w:tcPr>
            <w:tcW w:w="800" w:type="dxa"/>
          </w:tcPr>
          <w:p>
            <w:pPr>
              <w:jc w:val="right"/>
              <w:spacing w:before="10" w:after="10"/>
            </w:pPr>
            <w:r/>
            <w:r>
              <w:rPr>
                <w:sz w:val="16"/>
              </w:rPr>
              <w:t>3</w:t>
            </w:r>
          </w:p>
        </w:tc>
        <w:tc>
          <w:tcPr>
            <w:tcW w:w="800" w:type="dxa"/>
          </w:tcPr>
          <w:p>
            <w:pPr>
              <w:jc w:val="right"/>
              <w:spacing w:before="10" w:after="10"/>
            </w:pPr>
            <w:r/>
            <w:r>
              <w:rPr>
                <w:sz w:val="16"/>
              </w:rPr>
              <w:t>0.3744</w:t>
            </w:r>
          </w:p>
        </w:tc>
        <w:tc>
          <w:tcPr>
            <w:tcW w:w="900" w:type="dxa"/>
          </w:tcPr>
          <w:p>
            <w:pPr>
              <w:jc w:val="right"/>
              <w:spacing w:before="10" w:after="10"/>
            </w:pPr>
            <w:r/>
            <w:r>
              <w:rPr>
                <w:sz w:val="16"/>
              </w:rPr>
              <w:t>0.9975</w:t>
            </w:r>
          </w:p>
        </w:tc>
        <w:tc>
          <w:tcPr>
            <w:tcW w:w="600" w:type="dxa"/>
          </w:tcPr>
          <w:p>
            <w:pPr>
              <w:jc w:val="right"/>
              <w:spacing w:before="10" w:after="10"/>
            </w:pPr>
            <w:r/>
            <w:r>
              <w:rPr>
                <w:sz w:val="16"/>
              </w:rPr>
              <w:t>Changed</w:t>
            </w:r>
          </w:p>
        </w:tc>
      </w:tr>
      <w:tr>
        <w:tc>
          <w:tcPr>
            <w:tcW w:w="2200" w:type="dxa"/>
          </w:tcPr>
          <w:p>
            <w:pPr>
              <w:spacing w:before="10" w:after="10"/>
            </w:pPr>
            <w:r/>
            <w:r>
              <w:rPr>
                <w:sz w:val="16"/>
              </w:rPr>
              <w:t>Institutional floor ξ_floor = 0.70</w:t>
            </w:r>
          </w:p>
        </w:tc>
        <w:tc>
          <w:tcPr>
            <w:tcW w:w="2600" w:type="dxa"/>
          </w:tcPr>
          <w:p>
            <w:pPr>
              <w:spacing w:before="10" w:after="10"/>
            </w:pPr>
            <w:r/>
            <w:r>
              <w:rPr>
                <w:sz w:val="16"/>
              </w:rPr>
              <w:t>ξ_floor = 0.70 (baseline 0.50)</w:t>
            </w:r>
          </w:p>
        </w:tc>
        <w:tc>
          <w:tcPr>
            <w:tcW w:w="900" w:type="dxa"/>
          </w:tcPr>
          <w:p>
            <w:pPr>
              <w:jc w:val="right"/>
              <w:spacing w:before="10" w:after="10"/>
            </w:pPr>
            <w:r/>
            <w:r>
              <w:rPr>
                <w:sz w:val="16"/>
              </w:rPr>
              <w:t>$1.604</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0.9881</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Elasticity alternative ξ^0.5</w:t>
            </w:r>
          </w:p>
        </w:tc>
        <w:tc>
          <w:tcPr>
            <w:tcBorders>
              <w:bottom w:val="double" w:sz="4" w:space="0" w:color="auto"/>
            </w:tcBorders>
            <w:tcW w:w="2600" w:type="dxa"/>
          </w:tcPr>
          <w:p>
            <w:pPr>
              <w:spacing w:before="10" w:after="10"/>
            </w:pPr>
            <w:r/>
            <w:r>
              <w:rPr>
                <w:sz w:val="16"/>
              </w:rPr>
              <w:t>c / ξ_raw^0.5 (no explicit floor)</w:t>
            </w:r>
          </w:p>
        </w:tc>
        <w:tc>
          <w:tcPr>
            <w:tcBorders>
              <w:bottom w:val="double" w:sz="4" w:space="0" w:color="auto"/>
            </w:tcBorders>
            <w:tcW w:w="900" w:type="dxa"/>
          </w:tcPr>
          <w:p>
            <w:pPr>
              <w:jc w:val="right"/>
              <w:spacing w:before="10" w:after="10"/>
            </w:pPr>
            <w:r/>
            <w:r>
              <w:rPr>
                <w:sz w:val="16"/>
              </w:rPr>
              <w:t>$1.613</w:t>
            </w:r>
          </w:p>
        </w:tc>
        <w:tc>
          <w:tcPr>
            <w:tcBorders>
              <w:bottom w:val="double" w:sz="4" w:space="0" w:color="auto"/>
            </w:tcBorders>
            <w:tcW w:w="800" w:type="dxa"/>
          </w:tcPr>
          <w:p>
            <w:pPr>
              <w:jc w:val="right"/>
              <w:spacing w:before="10" w:after="10"/>
            </w:pPr>
            <w:r/>
            <w:r>
              <w:rPr>
                <w:sz w:val="16"/>
              </w:rPr>
              <w:t>1</w:t>
            </w:r>
          </w:p>
        </w:tc>
        <w:tc>
          <w:tcPr>
            <w:tcBorders>
              <w:bottom w:val="double" w:sz="4" w:space="0" w:color="auto"/>
            </w:tcBorders>
            <w:tcW w:w="800" w:type="dxa"/>
          </w:tcPr>
          <w:p>
            <w:pPr>
              <w:jc w:val="right"/>
              <w:spacing w:before="10" w:after="10"/>
            </w:pPr>
            <w:r/>
            <w:r>
              <w:rPr>
                <w:sz w:val="16"/>
              </w:rPr>
              <w:t>1.0000</w:t>
            </w:r>
          </w:p>
        </w:tc>
        <w:tc>
          <w:tcPr>
            <w:tcBorders>
              <w:bottom w:val="double" w:sz="4" w:space="0" w:color="auto"/>
            </w:tcBorders>
            <w:tcW w:w="900" w:type="dxa"/>
          </w:tcPr>
          <w:p>
            <w:pPr>
              <w:jc w:val="right"/>
              <w:spacing w:before="10" w:after="10"/>
            </w:pPr>
            <w:r/>
            <w:r>
              <w:rPr>
                <w:sz w:val="16"/>
              </w:rPr>
              <w:t>0.9988</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