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v33  —  May 29, 2026  00:19</w:t>
      </w:r>
    </w:p>
    <w:p>
      <w:pPr>
        <w:spacing w:before="240" w:after="0" w:line="240" w:lineRule="auto"/>
        <w:ind w:firstLine="0" w:left="720" w:right="720"/>
        <w:jc w:val="both"/>
      </w:pPr>
      <w:r>
        <w:rPr>
          <w:b/>
        </w:rPr>
        <w:t>Abstract</w:t>
      </w:r>
      <w:r>
        <w:t>: Can energy-rich developing countries convert cheap electricity into AI compute exports? We develop a capacity-constrained Ricardian model of compute trade in which training is globally tradable, but inference incurs a latency cost, and delivered prices carry a bilateral sovereignty premium. Calibrated across 85 countries, the model places several developing economies among the cheapest producers at unsubsidized prices, yet bilateral trust deficits between developing-country producers and OECD buyers eliminate nearly all exports. Globally priced hardware compresses the cross-country cost spread to 12–20 percent, making compute the easiest tradable sector to enter on cost grounds and the most sensitive to small policy frictions: the binding export constraint is institutional credibility, not the price of power.</w:t>
      </w:r>
    </w:p>
    <w:p>
      <w:pPr>
        <w:spacing w:before="0" w:after="0" w:line="240" w:lineRule="auto"/>
        <w:ind w:firstLine="0"/>
        <w:jc w:val="both"/>
      </w:pPr>
    </w:p>
    <w:p>
      <w:pPr>
        <w:spacing w:before="0" w:after="0" w:line="240" w:lineRule="auto"/>
        <w:ind w:firstLine="0"/>
        <w:jc w:val="both"/>
      </w:pPr>
    </w:p>
    <w:p>
      <w:pPr>
        <w:spacing w:before="0" w:after="0" w:line="240" w:lineRule="auto"/>
        <w:ind w:firstLine="0"/>
        <w:jc w:val="both"/>
      </w:pP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machine learning models (ML) has been doubling every six months since 2010 (</w:t>
      </w:r>
      <w:bookmarkStart w:id="200" w:name="SevillaEtAl2022txt"/>
      <w:hyperlink w:anchor="SevillaEtAl2022" w:history="1">
        <w:r>
          <w:rPr>
            <w:color w:val="1F3864"/>
            <w:u w:val="single"/>
          </w:rPr>
          <w:t xml:space="preserve">Sevilla et al. 2022</w:t>
        </w:r>
      </w:hyperlink>
      <w:bookmarkEnd w:id="200"/>
      <w:r>
        <w:t xml:space="preserve">). In 2024, data centers accounted for approximately 1.5% of global electricity demand, and that share is projected to exceed 3% by 2030 (</w:t>
      </w:r>
      <w:bookmarkStart w:id="243" w:name="IEA2025txt"/>
      <w:hyperlink w:anchor="IEA2025" w:history="1">
        <w:r>
          <w:rPr>
            <w:color w:val="1F3864"/>
            <w:u w:val="single"/>
          </w:rPr>
          <w:t xml:space="preserve">IEA 2025</w:t>
        </w:r>
      </w:hyperlink>
      <w:bookmarkEnd w:id="243"/>
      <w:r>
        <w:t xml:space="preserve">).</w:t>
      </w:r>
    </w:p>
    <w:p>
      <w:pPr>
        <w:spacing w:before="0" w:after="160" w:line="360" w:lineRule="auto"/>
        <w:ind w:firstLine="0"/>
        <w:jc w:val="both"/>
      </w:pPr>
      <w:r>
        <w:t xml:space="preserve">This surge in demand for compute creates an export opportunity. We refer to the production of compute services in one country for consumption in another as </w:t>
      </w:r>
      <w:r>
        <w:rPr>
          <w:i/>
        </w:rPr>
        <w:t>FLOP exporting</w:t>
      </w:r>
      <w:r>
        <w:t>, where FLOP denotes floating-point operations, the standard unit of computational work. Rather than exporting raw energy resources, countries can use cheap electricity to produce higher-value-added digital services. For resource-rich developing countries, FLOP exporting offers a route up the value chain.</w:t>
      </w:r>
    </w:p>
    <w:p>
      <w:pPr>
        <w:spacing w:before="0" w:after="160" w:line="360" w:lineRule="auto"/>
        <w:ind w:firstLine="0"/>
        <w:jc w:val="both"/>
      </w:pPr>
      <w:r>
        <w:t xml:space="preserve">Several megaprojects confirm that FLOP exporting is technically and commercially feasible. Armenia is deploying 50,000 GPUs as a part of a $4 billion investment (</w:t>
      </w:r>
      <w:bookmarkStart w:id="244" w:name="Firebird2026txt"/>
      <w:hyperlink w:anchor="Firebird2026" w:history="1">
        <w:r>
          <w:rPr>
            <w:color w:val="1F3864"/>
            <w:u w:val="single"/>
          </w:rPr>
          <w:t xml:space="preserve">Firebird 2026</w:t>
        </w:r>
      </w:hyperlink>
      <w:bookmarkEnd w:id="244"/>
      <w:r>
        <w:t xml:space="preserve">). Kenya, Saudi Arabia, and Malaysia have attracted billion-dollar investments in data centers.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Global data-center FDI reached over $310 billion in 2025 (</w:t>
      </w:r>
      <w:bookmarkStart w:id="245" w:name="AykutEtAl2026txt"/>
      <w:hyperlink w:anchor="AykutEtAl2026" w:history="1">
        <w:r>
          <w:rPr>
            <w:color w:val="1F3864"/>
            <w:u w:val="single"/>
          </w:rPr>
          <w:t xml:space="preserve">Aykut et al. 2026</w:t>
        </w:r>
      </w:hyperlink>
      <w:bookmarkEnd w:id="245"/>
      <w:r>
        <w:t xml:space="preserve">) and annual cloud computing exports exceed $9 billion (</w:t>
      </w:r>
      <w:bookmarkStart w:id="260" w:name="WorldBank2025txt"/>
      <w:hyperlink w:anchor="WorldBank2025" w:history="1">
        <w:r>
          <w:rPr>
            <w:color w:val="1F3864"/>
            <w:u w:val="single"/>
          </w:rPr>
          <w:t xml:space="preserve">World Bank 2025</w:t>
        </w:r>
      </w:hyperlink>
      <w:bookmarkEnd w:id="260"/>
      <w:r>
        <w:t xml:space="preserve">).</w:t>
      </w:r>
    </w:p>
    <w:p>
      <w:pPr>
        <w:spacing w:before="0" w:after="160" w:line="360" w:lineRule="auto"/>
        <w:ind w:firstLine="0"/>
        <w:jc w:val="both"/>
      </w:pPr>
      <w:r>
        <w:t xml:space="preserve">Recent work examines compute governance and the geography of AI infrastructure (</w:t>
      </w:r>
      <w:bookmarkStart w:id="246" w:name="Sastry2024txt"/>
      <w:hyperlink w:anchor="Sastry2024" w:history="1">
        <w:r>
          <w:rPr>
            <w:color w:val="1F3864"/>
            <w:u w:val="single"/>
          </w:rPr>
          <w:t xml:space="preserve">Sastry et al. 2024</w:t>
        </w:r>
      </w:hyperlink>
      <w:bookmarkEnd w:id="246"/>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47" w:name="Pilz2025txt"/>
      <w:hyperlink w:anchor="Pilz2025" w:history="1">
        <w:r>
          <w:rPr>
            <w:color w:val="1F3864"/>
            <w:u w:val="single"/>
          </w:rPr>
          <w:t xml:space="preserve">Pilz et al. 2025</w:t>
        </w:r>
      </w:hyperlink>
      <w:bookmarkEnd w:id="247"/>
      <w:r>
        <w:t xml:space="preserve">), but no formal trade model of compute has been developed. This paper offers the first such model and makes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 xml:space="preserve">Our calibration exercise reveals that cheap electricity and favorable cooling conditions are necessary but not sufficient for competitive compute exporting. Hardware amortization accounts for approximately 90 percent of the compute unit cost, compressing the total cost spread to 12–20 percent. Several developing countries rank among the cheapest producers under cost-recovery pricing, but under the bilateral sovereignty specification, trust deficits eliminate all developing-country exports. The cost-of-capital channel amplifies this result: because hardware dominates the compute cost stack, a 10-percentage-point gap in the weighted average cost of capital between OECD hyperscalers (8%) and locally financed developing-country operators (18%) adds roughly $0.29/GPU-hour to unit cost — about four times the electricity-cost spread across the top 20 countries (</w:t>
      </w:r>
      <w:bookmarkStart w:id="203" w:name="Calcaterra2024txt"/>
      <w:hyperlink w:anchor="Calcaterra2024" w:history="1">
        <w:r>
          <w:rPr>
            <w:color w:val="1F3864"/>
            <w:u w:val="single"/>
          </w:rPr>
          <w:t xml:space="preserve">Calcaterra et al. 2024</w:t>
        </w:r>
      </w:hyperlink>
      <w:bookmarkEnd w:id="203"/>
      <w:r>
        <w:t xml:space="preserve">). For energy-rich developing countries, the limiting factor is not electricity cost but the institutional credibility needed to overcome bilateral trust deficits and compress the cost of capital.</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4" w:name="Goldfarb2018txt"/>
      <w:hyperlink w:anchor="Goldfarb2018" w:history="1">
        <w:r>
          <w:rPr>
            <w:color w:val="1F3864"/>
            <w:u w:val="single"/>
          </w:rPr>
          <w:t xml:space="preserve">Goldfarb and Trefler (2018)</w:t>
        </w:r>
      </w:hyperlink>
      <w:bookmarkEnd w:id="204"/>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48" w:name="Korinek2021txt"/>
      <w:hyperlink w:anchor="Korinek2021" w:history="1">
        <w:r>
          <w:rPr>
            <w:color w:val="1F3864"/>
            <w:u w:val="single"/>
          </w:rPr>
          <w:t xml:space="preserve">Korinek and Stiglitz (2021)</w:t>
        </w:r>
      </w:hyperlink>
      <w:bookmarkEnd w:id="248"/>
      <w:r>
        <w:t xml:space="preserve"> warn that developing countries may be left behind in the AI revolution; FLOP exporting offers a route in. The concept relates to </w:t>
      </w:r>
      <w:bookmarkStart w:id="267" w:name="Hausmann2007txt"/>
      <w:hyperlink w:anchor="Hausmann2007" w:history="1">
        <w:r>
          <w:rPr>
            <w:color w:val="1F3864"/>
            <w:u w:val="single"/>
          </w:rPr>
          <w:t xml:space="preserve">Hausmann et al. (2007)</w:t>
        </w:r>
      </w:hyperlink>
      <w:bookmarkEnd w:id="267"/>
      <w:r>
        <w:t xml:space="preserve"> on export composition and growth, and to </w:t>
      </w:r>
      <w:bookmarkStart w:id="261" w:name="Limao2001txt"/>
      <w:hyperlink w:anchor="Limao2001" w:history="1">
        <w:r>
          <w:rPr>
            <w:color w:val="1F3864"/>
            <w:u w:val="single"/>
          </w:rPr>
          <w:t xml:space="preserve">Limão and Venables (2001)</w:t>
        </w:r>
      </w:hyperlink>
      <w:bookmarkEnd w:id="261"/>
      <w:r>
        <w:t xml:space="preserve"> on infrastructure as a determinant of trade costs.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5" w:name="Blinder2006txt"/>
      <w:hyperlink w:anchor="Blinder2006" w:history="1">
        <w:r>
          <w:rPr>
            <w:color w:val="1F3864"/>
            <w:u w:val="single"/>
          </w:rPr>
          <w:t xml:space="preserve">Blinder 2006</w:t>
        </w:r>
      </w:hyperlink>
      <w:bookmarkEnd w:id="205"/>
      <w:r>
        <w:t xml:space="preserve">), while FLOP exporting is capital- and energy-intensive, so the set of potential exporters is fundamentally different — energy-rich countries rather than labor-abundant ones. A bigger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in services offshoring, where factor-price gaps are large.</w:t>
      </w:r>
    </w:p>
    <w:p>
      <w:pPr>
        <w:spacing w:before="0" w:after="160" w:line="360" w:lineRule="auto"/>
        <w:ind w:firstLine="0"/>
        <w:jc w:val="both"/>
      </w:pPr>
      <w:r>
        <w:t xml:space="preserve">Several studies examine where firms should build data centers. </w:t>
      </w:r>
      <w:bookmarkStart w:id="206" w:name="Flucker2013txt"/>
      <w:hyperlink w:anchor="Flucker2013" w:history="1">
        <w:r>
          <w:rPr>
            <w:color w:val="1F3864"/>
            <w:u w:val="single"/>
          </w:rPr>
          <w:t xml:space="preserve">Flucker et al. (2013)</w:t>
        </w:r>
      </w:hyperlink>
      <w:bookmarkEnd w:id="206"/>
      <w:r>
        <w:t xml:space="preserve"> show that climate affects data center cooling costs. </w:t>
      </w:r>
      <w:bookmarkStart w:id="262" w:name="Liu2023txt"/>
      <w:hyperlink w:anchor="Liu2023" w:history="1">
        <w:r>
          <w:rPr>
            <w:color w:val="1F3864"/>
            <w:u w:val="single"/>
          </w:rPr>
          <w:t xml:space="preserve">Liu et al. (2023)</w:t>
        </w:r>
      </w:hyperlink>
      <w:bookmarkEnd w:id="262"/>
      <w:r>
        <w:t xml:space="preserve"> study data center placement under renewable energy constraints. In international trade theory, </w:t>
      </w:r>
      <w:bookmarkStart w:id="268" w:name="Brainard1997txt"/>
      <w:hyperlink w:anchor="Brainard1997" w:history="1">
        <w:r>
          <w:rPr>
            <w:color w:val="1F3864"/>
            <w:u w:val="single"/>
          </w:rPr>
          <w:t xml:space="preserve">Brainard (1997)</w:t>
        </w:r>
      </w:hyperlink>
      <w:bookmarkEnd w:id="268"/>
      <w:r>
        <w:t xml:space="preserve"> formalizes the proximity-concentration trade-off between serving a market locally and concentrating production abroad. </w:t>
      </w:r>
      <w:bookmarkStart w:id="249" w:name="HMY2004txt"/>
      <w:hyperlink w:anchor="HMY2004" w:history="1">
        <w:r>
          <w:rPr>
            <w:color w:val="1F3864"/>
            <w:u w:val="single"/>
          </w:rPr>
          <w:t xml:space="preserve">Helpman et al. (2004)</w:t>
        </w:r>
      </w:hyperlink>
      <w:bookmarkEnd w:id="249"/>
      <w:r>
        <w:t xml:space="preserve"> extend this to heterogeneous firms choosing between exporting and FDI.</w:t>
      </w:r>
    </w:p>
    <w:p>
      <w:pPr>
        <w:spacing w:before="0" w:after="160" w:line="360" w:lineRule="auto"/>
        <w:ind w:firstLine="0"/>
        <w:jc w:val="both"/>
      </w:pPr>
      <w:r>
        <w:t xml:space="preserve">On governance, </w:t>
      </w:r>
      <w:bookmarkStart w:id="250" w:name="Sastry2024txt"/>
      <w:hyperlink w:anchor="Sastry2024" w:history="1">
        <w:r>
          <w:rPr>
            <w:color w:val="1F3864"/>
            <w:u w:val="single"/>
          </w:rPr>
          <w:t xml:space="preserve">Sastry et al. (2024)</w:t>
        </w:r>
      </w:hyperlink>
      <w:bookmarkEnd w:id="250"/>
      <w:r>
        <w:t xml:space="preserve"> argue that compute is well-suited for regulation. </w:t>
      </w:r>
      <w:bookmarkStart w:id="207" w:name="Lehdonvirta2024txt"/>
      <w:hyperlink w:anchor="Lehdonvirta2024" w:history="1">
        <w:r>
          <w:rPr>
            <w:color w:val="1F3864"/>
            <w:u w:val="single"/>
          </w:rPr>
          <w:t xml:space="preserve">Lehdonvirta et al. (2024)</w:t>
        </w:r>
      </w:hyperlink>
      <w:bookmarkEnd w:id="207"/>
      <w:r>
        <w:t xml:space="preserve"> map a “Compute North” with training-capable hardware versus a “Compute South” limited to inference chips. </w:t>
      </w:r>
      <w:bookmarkStart w:id="263" w:name="Pilz2025txt"/>
      <w:hyperlink w:anchor="Pilz2025" w:history="1">
        <w:r>
          <w:rPr>
            <w:color w:val="1F3864"/>
            <w:u w:val="single"/>
          </w:rPr>
          <w:t xml:space="preserve">Pilz et al. (2025)</w:t>
        </w:r>
      </w:hyperlink>
      <w:bookmarkEnd w:id="263"/>
      <w:r>
        <w:t xml:space="preserve"> project that data center power demand could reach 327 GW by 2030. The </w:t>
      </w:r>
      <w:bookmarkStart w:id="269" w:name="WorldBank2025txt"/>
      <w:hyperlink w:anchor="WorldBank2025" w:history="1">
        <w:r>
          <w:rPr>
            <w:color w:val="1F3864"/>
            <w:u w:val="single"/>
          </w:rPr>
          <w:t xml:space="preserve">World Bank (2025)</w:t>
        </w:r>
      </w:hyperlink>
      <w:bookmarkEnd w:id="269"/>
      <w:r>
        <w:t xml:space="preserve"> documents the resulting divide (high-income countries hold 77% of colocation capacity), but does not offer a formal framework linking costs to trade patterns. </w:t>
      </w:r>
      <w:bookmarkStart w:id="251" w:name="Biglaiser2024txt"/>
      <w:hyperlink w:anchor="Biglaiser2024" w:history="1">
        <w:r>
          <w:rPr>
            <w:color w:val="1F3864"/>
            <w:u w:val="single"/>
          </w:rPr>
          <w:t xml:space="preserve">Biglaiser et al. (2024)</w:t>
        </w:r>
      </w:hyperlink>
      <w:bookmarkEnd w:id="251"/>
      <w:r>
        <w:t xml:space="preserve"> survey cloud market IO, and </w:t>
      </w:r>
      <w:bookmarkStart w:id="264" w:name="Stojkoski2024txt"/>
      <w:hyperlink w:anchor="Stojkoski2024" w:history="1">
        <w:r>
          <w:rPr>
            <w:color w:val="1F3864"/>
            <w:u w:val="single"/>
          </w:rPr>
          <w:t xml:space="preserve">Stojkoski et al. (2024)</w:t>
        </w:r>
      </w:hyperlink>
      <w:bookmarkEnd w:id="264"/>
      <w:r>
        <w:t xml:space="preserve"> estimate cloud export geography but treat services as homogeneous. Our model adds supply-side cost structure and a training–inference distinction.</w:t>
      </w:r>
    </w:p>
    <w:p>
      <w:pPr>
        <w:pStyle w:val="Heading1"/>
      </w:pPr>
      <w:r>
        <w:rPr>
          <w:rFonts w:ascii="Times New Roman" w:hAnsi="Times New Roman"/>
          <w:b/>
          <w:color w:val="2F5496"/>
          <w:sz w:val="28"/>
        </w:rPr>
        <w:t>3. Model of Compute Production and Trade</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per-GPU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 per-watt cost × 700 W)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 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The cost structure above is Ricardian (country-specific production costs driven by technology and input prices), but the justification for resource-rich comparative advantage is closer to the Heckscher–Ohlin: countries export goods intensive in their abundant factors (</w:t>
      </w:r>
      <w:bookmarkStart w:id="208" w:name="Heckscher1919txt"/>
      <w:hyperlink w:anchor="Heckscher1919" w:history="1">
        <w:r>
          <w:rPr>
            <w:color w:val="1F3864"/>
            <w:u w:val="single"/>
          </w:rPr>
          <w:t xml:space="preserve">Heckscher 1919</w:t>
        </w:r>
      </w:hyperlink>
      <w:bookmarkEnd w:id="208"/>
      <w:r>
        <w:t xml:space="preserve">, </w:t>
      </w:r>
      <w:bookmarkStart w:id="252" w:name="Ohlin1933txt"/>
      <w:hyperlink w:anchor="Ohlin1933" w:history="1">
        <w:r>
          <w:rPr>
            <w:color w:val="1F3864"/>
            <w:u w:val="single"/>
          </w:rPr>
          <w:t xml:space="preserve">Ohlin 1933</w:t>
        </w:r>
      </w:hyperlink>
      <w:bookmarkEnd w:id="252"/>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the UN General Assembly ideal-point distance (</w:t>
      </w:r>
      <w:bookmarkStart w:id="209" w:name="BaileyEtAl2017txt"/>
      <w:hyperlink w:anchor="BaileyEtAl2017" w:history="1">
        <w:r>
          <w:rPr>
            <w:color w:val="1F3864"/>
            <w:u w:val="single"/>
          </w:rPr>
          <w:t xml:space="preserve">Bailey, Strezhnev, and Voeten 2017</w:t>
        </w:r>
      </w:hyperlink>
      <w:bookmarkEnd w:id="209"/>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coded as 1 for country pairs covered by a mutual data adequacy agreement and 0 otherwise. Pairs under comprehensive trade sanctions (</w:t>
      </w:r>
      <m:oMath>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m:t>
        </m:r>
      </m:oMath>
      <w:r>
        <w:t xml:space="preserve">) are treated separately as a corner case: trade is prohibited by assumption, so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For all other (non-sanctioned) pairs, the bilateral premium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r>
                <m:rPr>
                  <m:sty m:val="p"/>
                </m:rPr>
                <w:rPr>
                  <w:rFonts w:ascii="Cambria Math" w:hAnsi="Cambria Math"/>
                </w:rPr>
                <m:t xml:space="preserve">∞ if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 </m:t>
              </m:r>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otherwise}.</m:t>
              </m:r>
            </m:oMath>
          </w:p>
        </w:tc>
        <w:tc>
          <w:tcPr>
            <w:tcW w:w="720" w:type="dxa"/>
            <w:vAlign w:val="center"/>
          </w:tcPr>
          <w:p>
            <w:pPr>
              <w:jc w:val="right"/>
              <w:spacing w:before="60" w:after="60"/>
            </w:pPr>
            <w:bookmarkStart w:id="802" w:name="Eq2"/>
            <w:r>
              <w:t>(2)</w:t>
            </w:r>
            <w:bookmarkEnd w:id="802"/>
          </w:p>
        </w:tc>
      </w:tr>
    </w:tbl>
    <w:p>
      <w:pPr>
        <w:spacing w:before="80" w:after="160" w:line="360" w:lineRule="auto"/>
        <w:ind w:firstLine="0"/>
        <w:jc w:val="both"/>
      </w:pPr>
      <w:r>
        <w:t xml:space="preserve">Two established bodies of literature motivate this functional form. The multiplicative wedge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xml:space="preserve"> on delivered cost is the standard representation of ad valorem bilateral trade frictions in the gravity literature (</w:t>
      </w:r>
      <w:bookmarkStart w:id="210" w:name="AndersonVanWincoop2003txt"/>
      <w:hyperlink w:anchor="AndersonVanWincoop2003" w:history="1">
        <w:r>
          <w:rPr>
            <w:color w:val="1F3864"/>
            <w:u w:val="single"/>
          </w:rPr>
          <w:t xml:space="preserve">Anderson and van Wincoop 2003</w:t>
        </w:r>
      </w:hyperlink>
      <w:bookmarkEnd w:id="210"/>
      <w:r>
        <w:t xml:space="preserve">), where pair-specific wedges capture border effects, policy barriers, and non-tariff measures that raise the price paid by buyer </w:t>
      </w:r>
      <m:oMath>
        <m:r>
          <m:rPr>
            <m:sty m:val="i"/>
          </m:rPr>
          <w:rPr>
            <w:rFonts w:ascii="Cambria Math" w:hAnsi="Cambria Math"/>
          </w:rPr>
          <m:t xml:space="preserve">j</m:t>
        </m:r>
      </m:oMath>
      <w:r>
        <w:t xml:space="preserve"> for seller </w:t>
      </w:r>
      <m:oMath>
        <m:r>
          <m:rPr>
            <m:sty m:val="i"/>
          </m:rPr>
          <w:rPr>
            <w:rFonts w:ascii="Cambria Math" w:hAnsi="Cambria Math"/>
          </w:rPr>
          <m:t xml:space="preserve">i</m:t>
        </m:r>
      </m:oMath>
      <w:r>
        <w:t xml:space="preserve">’s services above the seller’s own cost. The linear additive structure of the two components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and </m:t>
        </m:r>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treats geopolitical, regulatory, and sanctions frictions as separable contributions to the wedge, consistent with the iceberg-equivalent decomposition of services trade costs in </w:t>
      </w:r>
      <w:bookmarkStart w:id="211" w:name="BenzJaax2020txt"/>
      <w:hyperlink w:anchor="BenzJaax2020" w:history="1">
        <w:r>
          <w:rPr>
            <w:color w:val="1F3864"/>
            <w:u w:val="single"/>
          </w:rPr>
          <w:t xml:space="preserve">Benz and Jaax (2020)</w:t>
        </w:r>
      </w:hyperlink>
      <w:bookmarkEnd w:id="211"/>
      <w:r>
        <w:t xml:space="preserve">.</w:t>
      </w:r>
    </w:p>
    <w:p>
      <w:pPr>
        <w:spacing w:before="0" w:after="80" w:line="360" w:lineRule="auto"/>
        <w:ind w:firstLine="0"/>
        <w:jc w:val="both"/>
      </w:pPr>
      <w:r>
        <w:t xml:space="preserve">The wedge dependence on bilateral institutional alignment follows from the incomplete-contracts theory (</w:t>
      </w:r>
      <w:bookmarkStart w:id="212" w:name="AndersonMarcouiller2002txt"/>
      <w:hyperlink w:anchor="AndersonMarcouiller2002" w:history="1">
        <w:r>
          <w:rPr>
            <w:color w:val="1F3864"/>
            <w:u w:val="single"/>
          </w:rPr>
          <w:t xml:space="preserve">Anderson and Marcouiller 2002</w:t>
        </w:r>
      </w:hyperlink>
      <w:bookmarkEnd w:id="212"/>
      <w:r>
        <w:t xml:space="preserve">, </w:t>
      </w:r>
      <w:bookmarkStart w:id="253" w:name="Antras2003txt"/>
      <w:hyperlink w:anchor="Antras2003" w:history="1">
        <w:r>
          <w:rPr>
            <w:color w:val="1F3864"/>
            <w:u w:val="single"/>
          </w:rPr>
          <w:t xml:space="preserve">Antràs 2003</w:t>
        </w:r>
      </w:hyperlink>
      <w:bookmarkEnd w:id="253"/>
      <w:r>
        <w:t xml:space="preserve">). Compute trade is contract-intensive: the buyer hands sensitive data to a remote seller and relies on the seller’s jurisdiction to enforce confidentiality, service-level obligations, and, in many applications, the buyer’s ability to retrieve or delete its data. In countries where these contracts are weakly enforceable, the buyer discounts the seller’s effective price, and the size of the discount varies with the pair-specific strength of the enforcement environment. 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proxies dispute-resolution willingness, mutual data adequacy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proxies enforceable contractual floors on data handling, and sanctions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proxy the extreme case where no enforcement is possible. Equation (2) is thus the natural implementation of the insecure-trade framework in a services-trade setting where the traded object is a compute service bundled with a data-handling contract.</w:t>
      </w: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Governance quality, grid reliability, and other institutional factors that affect the willingness of buyers to source compute from a particular country are captured by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producer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in this set attract investment also depend on agglomeration economies, hyperscaler market structure, and network connectivity (</w:t>
      </w:r>
      <w:bookmarkStart w:id="213" w:name="Krugman1991txt"/>
      <w:hyperlink w:anchor="Krugman1991" w:history="1">
        <w:r>
          <w:rPr>
            <w:color w:val="1F3864"/>
            <w:u w:val="single"/>
          </w:rPr>
          <w:t xml:space="preserve">Krugman 1991</w:t>
        </w:r>
      </w:hyperlink>
      <w:bookmarkEnd w:id="213"/>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because the sovereignty premium that justifies domestic training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Define the Herfindahl–Hirschman Index (HHI), a standard measure of market concentration that is equal to the sum of squared market shares, for training market concentration as: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4" w:name="Eurostat2025txt"/>
      <w:hyperlink w:anchor="Eurostat2025" w:history="1">
        <w:r>
          <w:rPr>
            <w:color w:val="1F3864"/>
            <w:u w:val="single"/>
          </w:rPr>
          <w:t xml:space="preserve">Eurostat 2025</w:t>
        </w:r>
      </w:hyperlink>
      <w:bookmarkEnd w:id="214"/>
      <w:r>
        <w:t xml:space="preserve">). For non-European countries, the prices are obtained from national regulator tariff sheets and secondary sources, including the U.S. Energy Information Administration (</w:t>
      </w:r>
      <w:bookmarkStart w:id="254" w:name="EIA2025txt"/>
      <w:hyperlink w:anchor="EIA2025" w:history="1">
        <w:r>
          <w:rPr>
            <w:color w:val="1F3864"/>
            <w:u w:val="single"/>
          </w:rPr>
          <w:t xml:space="preserve">EIA 2025</w:t>
        </w:r>
      </w:hyperlink>
      <w:bookmarkEnd w:id="254"/>
      <w:r>
        <w:t xml:space="preserve">) for the United States, KEPCO for South Korea,</w:t>
      </w:r>
      <w:r>
        <w:rPr>
          <w:rStyle w:val="FootnoteReference"/>
        </w:rPr>
        <w:footnoteReference w:id="24"/>
      </w:r>
      <w:r>
        <w:t xml:space="preserve"> national utility tariffs for Central Asian countries, and </w:t>
      </w:r>
      <w:bookmarkStart w:id="215" w:name="GlobalPetrolPrices2025txt"/>
      <w:hyperlink w:anchor="GlobalPetrolPrices2025" w:history="1">
        <w:r>
          <w:rPr>
            <w:color w:val="1F3864"/>
            <w:u w:val="single"/>
          </w:rPr>
          <w:t xml:space="preserve">GlobalPetrolPrices (2025)</w:t>
        </w:r>
      </w:hyperlink>
      <w:bookmarkEnd w:id="215"/>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6" w:name="Hersbach2020txt"/>
      <w:hyperlink w:anchor="Hersbach2020" w:history="1">
        <w:r>
          <w:rPr>
            <w:color w:val="1F3864"/>
            <w:u w:val="single"/>
          </w:rPr>
          <w:t xml:space="preserve">Hersbach et al. 2020</w:t>
        </w:r>
      </w:hyperlink>
      <w:bookmarkEnd w:id="216"/>
      <w:r>
        <w:t xml:space="preserve">) as the average monthly maximum in the three warmest months, aggregated across populated grid cells. </w:t>
      </w:r>
      <w:r>
        <w:t xml:space="preserve">Construction costs per watt of IT capacity are from the Turner &amp; Townsend Data Center Construction Cost Index 2025 (</w:t>
      </w:r>
      <w:bookmarkStart w:id="217" w:name="TurnerTownsend2025txt"/>
      <w:hyperlink w:anchor="TurnerTownsend2025" w:history="1">
        <w:r>
          <w:rPr>
            <w:color w:val="1F3864"/>
            <w:u w:val="single"/>
          </w:rPr>
          <w:t xml:space="preserve">Turner &amp; Townsend 2025</w:t>
        </w:r>
      </w:hyperlink>
      <w:bookmarkEnd w:id="217"/>
      <w:r>
        <w:t xml:space="preserve">), for 37 countries. For the remaining countries, costs are predicted (Appendix E). Since construction is only 3–6%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8" w:name="WonderNetwork2024txt"/>
      <w:hyperlink w:anchor="WonderNetwork2024" w:history="1">
        <w:r>
          <w:rPr>
            <w:color w:val="1F3864"/>
            <w:u w:val="single"/>
          </w:rPr>
          <w:t xml:space="preserve">WonderNetwork 2024</w:t>
        </w:r>
      </w:hyperlink>
      <w:bookmarkEnd w:id="218"/>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9" w:name="Cloudscene2025txt"/>
      <w:hyperlink w:anchor="Cloudscene2025" w:history="1">
        <w:r>
          <w:rPr>
            <w:color w:val="1F3864"/>
            <w:u w:val="single"/>
          </w:rPr>
          <w:t xml:space="preserve">Cloudscene 2025</w:t>
        </w:r>
      </w:hyperlink>
      <w:bookmarkEnd w:id="219"/>
      <w:r>
        <w:t xml:space="preserve">) and regional averages.</w:t>
      </w:r>
    </w:p>
    <w:p>
      <w:pPr>
        <w:spacing w:before="0" w:after="160" w:line="360" w:lineRule="auto"/>
        <w:ind w:firstLine="0"/>
        <w:jc w:val="both"/>
      </w:pPr>
      <w:r>
        <w:t>Because the compute export market is still emerging and bilateral trade-flow data do not yet exist, the paper calibrates the model using hardware prices, electricity tariffs, and facility cost coefficients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0" w:name="Google2024txt"/>
      <w:hyperlink w:anchor="Google2024" w:history="1">
        <w:r>
          <w:rPr>
            <w:color w:val="1F3864"/>
            <w:u w:val="single"/>
          </w:rPr>
          <w:t xml:space="preserve">Google 2024</w:t>
        </w:r>
      </w:hyperlink>
      <w:bookmarkEnd w:id="220"/>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1" w:name="Liu2023txt"/>
      <w:hyperlink w:anchor="Liu2023" w:history="1">
        <w:r>
          <w:rPr>
            <w:color w:val="1F3864"/>
            <w:u w:val="single"/>
          </w:rPr>
          <w:t xml:space="preserve">Liu et al. 2023</w:t>
        </w:r>
      </w:hyperlink>
      <w:bookmarkEnd w:id="221"/>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2" w:name="UptimeInstitute2024txt"/>
      <w:hyperlink w:anchor="UptimeInstitute2024" w:history="1">
        <w:r>
          <w:rPr>
            <w:color w:val="1F3864"/>
            <w:u w:val="single"/>
          </w:rPr>
          <w:t xml:space="preserve">Uptime Institute 2024</w:t>
        </w:r>
      </w:hyperlink>
      <w:bookmarkEnd w:id="222"/>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3" w:name="Barroso2018txt"/>
      <w:hyperlink w:anchor="Barroso2018" w:history="1">
        <w:r>
          <w:rPr>
            <w:color w:val="1F3864"/>
            <w:u w:val="single"/>
          </w:rPr>
          <w:t xml:space="preserve">Barroso et al. 2018</w:t>
        </w:r>
      </w:hyperlink>
      <w:bookmarkEnd w:id="223"/>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4" w:name="Barroso2018txt"/>
      <w:hyperlink w:anchor="Barroso2018" w:history="1">
        <w:r>
          <w:rPr>
            <w:color w:val="1F3864"/>
            <w:u w:val="single"/>
          </w:rPr>
          <w:t xml:space="preserve">Barroso et al. 2018</w:t>
        </w:r>
      </w:hyperlink>
      <w:bookmarkEnd w:id="224"/>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5" w:name="Deloitte2020txt"/>
      <w:hyperlink w:anchor="Deloitte2020" w:history="1">
        <w:r>
          <w:rPr>
            <w:color w:val="1F3864"/>
            <w:u w:val="single"/>
          </w:rPr>
          <w:t xml:space="preserve">Deloitte and Google (2020)</w:t>
        </w:r>
      </w:hyperlink>
      <w:bookmarkEnd w:id="225"/>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and regulatory compatibility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and </w:t>
      </w:r>
      <m:oMath>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Sanctioned pairs are excluded by assumption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rather than being assigned a finite weight. The continuous weights are calibrated so that an intra-bloc pair with data adequacy (for example, two EU member states)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and a typical cross-bloc pair without a regulatory agreement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0.04–0.07</m:t>
        </m:r>
      </m:oMath>
      <w:r>
        <w:t xml:space="preserve">. The implied premium on non-adversarial services trade stays below the 16% upper bound for regulatory barriers to communication services estimated by </w:t>
      </w:r>
      <w:bookmarkStart w:id="226" w:name="BenzJaax2020txt"/>
      <w:hyperlink w:anchor="BenzJaax2020" w:history="1">
        <w:r>
          <w:rPr>
            <w:color w:val="1F3864"/>
            <w:u w:val="single"/>
          </w:rPr>
          <w:t xml:space="preserve">Benz and Jaax (2020)</w:t>
        </w:r>
      </w:hyperlink>
      <w:bookmarkEnd w:id="226"/>
      <w:r>
        <w:t xml:space="preserve">, and the headline results are reported alongside a uniform-premium robustness check in Table 3 to make the sensitivity to these weights transparent.</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7" w:name="Deloitte2025txt"/>
      <w:hyperlink w:anchor="Deloitte2025" w:history="1">
        <w:r>
          <w:rPr>
            <w:color w:val="1F3864"/>
            <w:u w:val="single"/>
          </w:rPr>
          <w:t xml:space="preserve">Deloitte 2025</w:t>
        </w:r>
      </w:hyperlink>
      <w:bookmarkEnd w:id="227"/>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model structure, from country endowments through production costs and prices to equilibrium regimes.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reflects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subsidy-driven advantage. The cost-recovery prices are defined as the long-run marginal cost (LRMC) of the dominant generation technology at opportunity-cost fuel prices (</w:t>
      </w:r>
      <w:bookmarkStart w:id="255" w:name="IMF2025txt"/>
      <w:hyperlink w:anchor="IMF2025" w:history="1">
        <w:r>
          <w:rPr>
            <w:color w:val="1F3864"/>
            <w:u w:val="single"/>
          </w:rPr>
          <w:t xml:space="preserve">IMF 2025</w:t>
        </w:r>
      </w:hyperlink>
      <w:bookmarkEnd w:id="255"/>
      <w:r>
        <w:t xml:space="preserve">, </w:t>
      </w:r>
      <w:bookmarkStart w:id="228" w:name="Lazard2025txt"/>
      <w:hyperlink w:anchor="Lazard2025" w:history="1">
        <w:r>
          <w:rPr>
            <w:color w:val="1F3864"/>
            <w:u w:val="single"/>
          </w:rPr>
          <w:t xml:space="preserve">Lazard 2025</w:t>
        </w:r>
      </w:hyperlink>
      <w:bookmarkEnd w:id="228"/>
      <w:r>
        <w:t xml:space="preserve">). We apply this adjustment to 56 countries whose retail electricity prices fall below the estimated LRMC.</w:t>
      </w:r>
      <w:r>
        <w:rPr>
          <w:rStyle w:val="FootnoteReference"/>
        </w:rPr>
        <w:footnoteReference w:id="16"/>
      </w:r>
      <w:r>
        <w:t xml:space="preserve"> The subsidy gap ranges from $0.000 to $0.080/kWh. For Iran, a 100 MW IT-load data center would receive $93 million in implicit transfers per year. At hyperscale, such subsidies are fiscally unsustainable. The resulting cost-recovery ranking (column (2) of </w:t>
      </w:r>
      <w:hyperlink w:anchor="Table3" w:history="1">
        <w:r>
          <w:rPr>
            <w:color w:val="1F3864"/>
            <w:u w:val="single"/>
          </w:rPr>
          <w:t xml:space="preserve">Table 3</w:t>
        </w:r>
      </w:hyperlink>
      <w:r>
        <w:t xml:space="preserve">) shifts the top of the ranking toward hydropower-rich countries: Kyrgyzstan, Ethiopia, Kosovo, Canada, and Tajikistan. Iran drops from first to 24th, and Turkmenistan falls 16 places. 35 countries change their trade regimes, but </w:t>
      </w:r>
      <w:r>
        <w:t>the remaining cross-country variation is narrow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Cost advantage and actual investment diverge sharply. Eight of the twenty cheapest producers have under 100 MW of installed capacity (e.g., Kyrgyzstan: rank 1, 5 MW), while countries outside the top twenty host large clusters (Netherlands: rank 67, 1,800 MW; Ireland: rank 83, 1,260 MW). The cost ranking identifies the feasible set of exporters, not realized investment.</w:t>
      </w:r>
    </w:p>
    <w:p>
      <w:pPr>
        <w:spacing w:before="0" w:after="160" w:line="360" w:lineRule="auto"/>
        <w:ind w:firstLine="0"/>
        <w:jc w:val="both"/>
      </w:pPr>
      <w:r>
        <w:t xml:space="preserve">Recent FDI data confirm this pattern. Among EMDEs, the largest recipients of data-center investment are Malaysia, India, and Brazil, countries with moderate electricity costs but strong regulatory frameworks and credible grid infrastructure. In contrast, the cheapest producers (Kyrgyzstan, Tajikistan, Ethiopia) received virtually no data-center FDI (</w:t>
      </w:r>
      <w:bookmarkStart w:id="265" w:name="AykutEtAl2026txt"/>
      <w:hyperlink w:anchor="AykutEtAl2026" w:history="1">
        <w:r>
          <w:rPr>
            <w:color w:val="1F3864"/>
            <w:u w:val="single"/>
          </w:rPr>
          <w:t xml:space="preserve">Aykut et al. 2026</w:t>
        </w:r>
      </w:hyperlink>
      <w:bookmarkEnd w:id="265"/>
      <w:r>
        <w:t xml:space="preserve">). Most investment flows between geopolitical allies, consistent with the bilateral sovereignty premium rather than cost alone driving where capacity is built (</w:t>
      </w:r>
      <w:bookmarkStart w:id="256" w:name="StraubEtAl2026txt"/>
      <w:hyperlink w:anchor="StraubEtAl2026" w:history="1">
        <w:r>
          <w:rPr>
            <w:color w:val="1F3864"/>
            <w:u w:val="single"/>
          </w:rPr>
          <w:t xml:space="preserve">Straub et al. 2026</w:t>
        </w:r>
      </w:hyperlink>
      <w:bookmarkEnd w:id="256"/>
      <w:r>
        <w:t xml:space="preserve">). Econometric evidence confirms that electricity costs are not a robust predictor of data center location once market size and regulatory environment are controlled for (</w:t>
      </w:r>
      <w:bookmarkStart w:id="229" w:name="CaouiSteck2025txt"/>
      <w:hyperlink w:anchor="CaouiSteck2025" w:history="1">
        <w:r>
          <w:rPr>
            <w:color w:val="1F3864"/>
            <w:u w:val="single"/>
          </w:rPr>
          <w:t xml:space="preserve">Caoui and Steck 2025</w:t>
        </w:r>
      </w:hyperlink>
      <w:bookmarkEnd w:id="229"/>
      <w:r>
        <w:t xml:space="preserve">).</w:t>
      </w:r>
    </w:p>
    <w:p>
      <w:pPr>
        <w:spacing w:before="0" w:after="160" w:line="360" w:lineRule="auto"/>
        <w:ind w:firstLine="0"/>
        <w:jc w:val="both"/>
      </w:pPr>
      <w:r>
        <w:t xml:space="preserve">Cross-country evidence on policy readiness corroborates this pattern. Economies with advanced AI and cloud strategies—such as Singapore, Australia, Japan, and South Korea—record estimated economic impacts from AI and cloud investment of 3–4 percent of GDP, compared with less than 1 percent in Indonesia and Viet Nam (</w:t>
      </w:r>
      <w:bookmarkStart w:id="257" w:name="KatzEtAl2025txt"/>
      <w:hyperlink w:anchor="KatzEtAl2025" w:history="1">
        <w:r>
          <w:rPr>
            <w:color w:val="1F3864"/>
            <w:u w:val="single"/>
          </w:rPr>
          <w:t xml:space="preserve">Katz et al. 2025</w:t>
        </w:r>
      </w:hyperlink>
      <w:bookmarkEnd w:id="257"/>
      <w:r>
        <w:t xml:space="preserve">). The model’s institutional quality parameter captures, in reduced form, the complementary investments in digital skills, regulatory predictability, and grid modernization that separate these two groups. Countries that align digital ambitions with energy-sector planning—Malaysia through its National Energy Transition Roadmap, Brazil with an electricity mix over 80 percent renewable, the UAE with nuclear- and solar-powered AI hubs—are emerging as preferred destinations for hyperscalers, exactly as the model predicts for countries combining moderate costs with high institutional quality (</w:t>
      </w:r>
      <w:bookmarkStart w:id="230" w:name="AykutEtAl2026txt"/>
      <w:hyperlink w:anchor="AykutEtAl2026" w:history="1">
        <w:r>
          <w:rPr>
            <w:color w:val="1F3864"/>
            <w:u w:val="single"/>
          </w:rPr>
          <w:t xml:space="preserve">Aykut et al. 2026</w:t>
        </w:r>
      </w:hyperlink>
      <w:bookmarkEnd w:id="230"/>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is particularly powerful for inference, since the latency markup within Europe is moderate (10–40 ms, adding 1–3%),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a dominant exporter (HHI = 0.984, with 3 other producers at the margin), leaving the training market close to the unconstrained benchmark of Proposition 2. </w:t>
      </w:r>
      <w:r>
        <w:t xml:space="preserve">The largest shadow values of grid capacity are in Kyrgyzstan ($0.019/hr), Ethiopia ($0.003/hr), and Kosovo ($0.001/hr),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Kyrgyzstan (26%), Kosovo (10%), Indonesia (0.9%), and Ukraine (0.5%), collectively accounting for 80% of cross-border inference demand (HHI = 0.265). </w:t>
      </w:r>
    </w:p>
    <w:p>
      <w:pPr>
        <w:spacing w:before="0" w:after="160" w:line="360" w:lineRule="auto"/>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21 countries, accounting for 10% of global inference demand. </w:t>
      </w:r>
    </w:p>
    <w:p>
      <w:pPr>
        <w:spacing w:before="0" w:after="160" w:line="360" w:lineRule="auto"/>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and France, inference is sourced from Kosovo, and for the United Kingdom, from Kosovo. 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 xml:space="preserve">Among these demand centers, China illustrates the DD regime. Despite hosting one of the world’s largest data-center markets, virtually all capacity is built and financed by domestic technology firms and state-owned operators such as Alibaba Cloud, Tencent, Baidu, and China Telecom, with negligible foreign FDI (</w:t>
      </w:r>
      <w:bookmarkStart w:id="231" w:name="AykutEtAl2026txt"/>
      <w:hyperlink w:anchor="AykutEtAl2026" w:history="1">
        <w:r>
          <w:rPr>
            <w:color w:val="1F3864"/>
            <w:u w:val="single"/>
          </w:rPr>
          <w:t xml:space="preserve">Aykut et al. 2026</w:t>
        </w:r>
      </w:hyperlink>
      <w:bookmarkEnd w:id="231"/>
      <w:r>
        <w:t xml:space="preserve">). The model predicts exactly this outcome: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reinforce domestic sourcing by shifting energy-intensive computing to western provinces with cheaper power.</w:t>
      </w:r>
    </w:p>
    <w:p>
      <w:pPr>
        <w:spacing w:before="0" w:after="160" w:line="360" w:lineRule="auto"/>
        <w:ind w:firstLine="0"/>
        <w:jc w:val="both"/>
      </w:pPr>
      <w:r>
        <w:t>Raising the uniform premium to 20% shifts five additional countries (including Croatia, Cyprus, and Germany) to domestic training, reducing the share of global training demand available to foreign producers from 3% to 0%. Inference exports are more resilient to sovereignty premia because the latency advantage of proximity partially insulates regional hubs.</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1.6% of average compute spending, in the range of the welfare gains from trade in goods estimated in the quantitative trade literature, which range from roughly 0.2% to 10% depending on country size and specification (</w:t>
      </w:r>
      <w:bookmarkStart w:id="232" w:name="EatonKortum2002txt"/>
      <w:hyperlink w:anchor="EatonKortum2002" w:history="1">
        <w:r>
          <w:rPr>
            <w:color w:val="1F3864"/>
            <w:u w:val="single"/>
          </w:rPr>
          <w:t xml:space="preserve">Eaton and Kortum 2002</w:t>
        </w:r>
      </w:hyperlink>
      <w:bookmarkEnd w:id="232"/>
      <w:r>
        <w:t xml:space="preserve">, </w:t>
      </w:r>
      <w:bookmarkStart w:id="258" w:name="ACR2012txt"/>
      <w:hyperlink w:anchor="ACR2012" w:history="1">
        <w:r>
          <w:rPr>
            <w:color w:val="1F3864"/>
            <w:u w:val="single"/>
          </w:rPr>
          <w:t xml:space="preserve">Arkolakis et al. 2012</w:t>
        </w:r>
      </w:hyperlink>
      <w:bookmarkEnd w:id="258"/>
      <w:r>
        <w:t xml:space="preserve">). At current demand levels (approximately 6 × 10¹⁰ GPU-hours at $1.50/hr), this amounts to roughly $1.3 billion per year. This cost is small enough that governments with legitimate data-sovereignty objectives, such as military applications, health records, and national statistical systems, may prefer domestic production even at the cost of efficiency.</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confidential data, but much of the current policy push extends the sovereignty logic to routine commercial computation. The welfare cost is high in aggregate dollars but modest as a share of compute spending.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33" w:name="WorldBank2025txt"/>
      <w:hyperlink w:anchor="WorldBank2025" w:history="1">
        <w:r>
          <w:rPr>
            <w:color w:val="1F3864"/>
            <w:u w:val="single"/>
          </w:rPr>
          <w:t xml:space="preserve">World Bank (2025)</w:t>
        </w:r>
      </w:hyperlink>
      <w:bookmarkEnd w:id="233"/>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Caveats, and Extensions</w:t>
      </w:r>
    </w:p>
    <w:p>
      <w:pPr>
        <w:pStyle w:val="Heading2"/>
      </w:pPr>
      <w:r>
        <w:rPr>
          <w:rFonts w:ascii="Times New Roman" w:hAnsi="Times New Roman"/>
          <w:b w:val="0"/>
          <w:i/>
          <w:color w:val="2F5496"/>
          <w:sz w:val="24"/>
        </w:rPr>
        <w:t>7.1 Robustness to parameter variation</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 The sensitivity results can be read as comparative statics. A rise in global hardware costs increases the globally-priced cost share, compressing the locally-penalized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shifts the composition of the top fifteen countries, but the qualitative result is robust across all specifications. The economic intuition is straightforward: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facilitating entry by developing countries. Countries that combine cheap energy with adequate governance retain their cost advantage regardless of the chosen parameter.</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Caveats and omitted frictions</w:t>
      </w:r>
    </w:p>
    <w:p>
      <w:pPr>
        <w:spacing w:before="0" w:after="160" w:line="360" w:lineRule="auto"/>
        <w:ind w:firstLine="0"/>
        <w:jc w:val="both"/>
      </w:pPr>
      <w:r>
        <w:t>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intensifying this pressure in water-stressed economies. Regulated tariffs in many developing countries cover operating expenses but not the full capital cost, raising concerns about financial sustainability. Exporting compute at scale while the domestic energy sector cannot maintain its capital stock may prove politically unsustainable. Finally, logistics costs and local distribution markups can raise effective GPU prices by 5–15% in developing countries that are not subject to export bans, eroding the thin cost advantages.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the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An extension with upward-sloping supply curves would compress these advantages. Recent estimates suggest that AI workloads, combined with broader electrification, could raise U.S. wholesale electricity prices by roughly 19 percent between 2025 and 2028 (</w:t>
      </w:r>
      <w:bookmarkStart w:id="234" w:name="Chandramowli2024txt"/>
      <w:hyperlink w:anchor="Chandramowli2024" w:history="1">
        <w:r>
          <w:rPr>
            <w:color w:val="1F3864"/>
            <w:u w:val="single"/>
          </w:rPr>
          <w:t xml:space="preserve">Chandramowli et al. 2024</w:t>
        </w:r>
      </w:hyperlink>
      <w:bookmarkEnd w:id="234"/>
      <w:r>
        <w:t xml:space="preserve">), and AI data-center expansion alone could increase retail prices by 8–9 percent by 2030 (</w:t>
      </w:r>
      <w:bookmarkStart w:id="266" w:name="IMF2025txt"/>
      <w:hyperlink w:anchor="IMF2025" w:history="1">
        <w:r>
          <w:rPr>
            <w:color w:val="1F3864"/>
            <w:u w:val="single"/>
          </w:rPr>
          <w:t xml:space="preserve">IMF 2025</w:t>
        </w:r>
      </w:hyperlink>
      <w:bookmarkEnd w:id="266"/>
      <w:r>
        <w:t xml:space="preserve">). </w:t>
      </w:r>
      <w:bookmarkStart w:id="259" w:name="AlvarezEtAl2026txt"/>
      <w:hyperlink w:anchor="AlvarezEtAl2026" w:history="1">
        <w:r>
          <w:rPr>
            <w:color w:val="1F3864"/>
            <w:u w:val="single"/>
          </w:rPr>
          <w:t xml:space="preserve">Alvarez et al. (2026)</w:t>
        </w:r>
      </w:hyperlink>
      <w:bookmarkEnd w:id="259"/>
      <w:r>
        <w:t xml:space="preserve"> find that in the US, a one-unit increase in log cumulative data-center revenue raises local electricity prices by roughly 0.9 percent, significant at the 1 percent level across all horizons; counties that have ever hosted a data center exhibit a 3.9 percent effect on retail prices. For small grids such as Kyrgyzstan’s, the proportional impact would be substantially larger, further eroding the cost advantages documented above.</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Form of the sovereignty wedge.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modeled as an ad valorem markup on the cost of compute. While standard in services trade, this functional form is a simplification. Government cloud security certifications (e.g., SecNumCloud, IRAP), sanctions and export-control screening, and bilateral digital-services agreements impose mostly fixed costs that add an entry margin on top of the cost-comparison margin, and thus raise the entry threshold for developing-country exporters. Our model also treats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as fixed, but in practice, sanctions, export-control revisions, and regulatory reversals arrive as exogenous shocks. The impact of these two assumptions on the stability of our results could be assessed through a Monte Carlo simulation using stochastic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and fixed costs. We expect our main finding to hold — both modifications cut against developing-country entrants — and leave the formal version to future work.</w:t>
      </w:r>
    </w:p>
    <w:p>
      <w:pPr>
        <w:spacing w:before="0" w:after="160" w:line="360" w:lineRule="auto"/>
        <w:ind w:firstLine="0"/>
        <w:jc w:val="both"/>
      </w:pPr>
      <w:r>
        <w:rPr>
          <w:rFonts w:ascii="Times New Roman" w:hAnsi="Times New Roman"/>
          <w:b w:val="0"/>
          <w:i/>
          <w:sz w:val="24"/>
        </w:rPr>
        <w:t xml:space="preserve">Cost of capital. </w:t>
      </w:r>
      <w:r>
        <w:t xml:space="preserve">Because hardware dominates the compute cost stack, the single largest determinant of the ranking is the cost of financing capital. An OECD hyperscaler at an 8% weighted average cost of capital faces hardware costs of $1.58/GPU-hour; a locally financed developing-country operator at 18% pays $1.87 — a $0.29 gap on hardware alone, roughly four times the electricity cost spread across the top twenty countries (</w:t>
      </w:r>
      <w:bookmarkStart w:id="235" w:name="Calcaterra2024txt"/>
      <w:hyperlink w:anchor="Calcaterra2024" w:history="1">
        <w:r>
          <w:rPr>
            <w:color w:val="1F3864"/>
            <w:u w:val="single"/>
          </w:rPr>
          <w:t xml:space="preserve">Calcaterra et al. 2024</w:t>
        </w:r>
      </w:hyperlink>
      <w:bookmarkEnd w:id="235"/>
      <w:r>
        <w:t xml:space="preserve">). Column (4) of </w:t>
      </w:r>
      <w:hyperlink w:anchor="Table3" w:history="1">
        <w:r>
          <w:rPr>
            <w:color w:val="1F3864"/>
            <w:u w:val="single"/>
          </w:rPr>
          <w:t xml:space="preserve">Table 3</w:t>
        </w:r>
      </w:hyperlink>
      <w:r>
        <w:t xml:space="preserve"> reports the cost-recovery ranking with hardware amortized at each country’s income-group WACC (HIC 8%, UMIC 12%, LMIC 15%, LIC 18%). Under this specification, the advantage of cheap-energy developing countries compresses, and the regime classifications shift accordingly.</w:t>
      </w:r>
    </w:p>
    <w:p>
      <w:pPr>
        <w:spacing w:before="0" w:after="160" w:line="360" w:lineRule="auto"/>
        <w:ind w:firstLine="0"/>
        <w:jc w:val="both"/>
      </w:pPr>
      <w:r>
        <w:t xml:space="preserve">This is the mechanism that links the cost-recovery and bilateral sovereignty specifications: institutional credibility matters for compute trade through two channels, the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and the cost of capital facing any locally financed operator. Hyperscaler-led foreign direct investment partially bypasses the channel — when a multinational owns, finances, and operates the facility outright, it may fund at its home WACC — but partial ownership, local debt, sovereign guarantees, and the pass-through of country risk to operating agreements reintroduce the channel in proportion to the host country’s financial exposure. A pure-hyperscaler case is therefore a boundary, not a baseline. The paper treats spec (4) as the more realistic benchmark for questions about whether a developing country can capture compute-export rents with domestic capital.</w:t>
      </w:r>
    </w:p>
    <w:p>
      <w:pPr>
        <w:pStyle w:val="Heading2"/>
      </w:pPr>
      <w:r>
        <w:rPr>
          <w:rFonts w:ascii="Times New Roman" w:hAnsi="Times New Roman"/>
          <w:b w:val="0"/>
          <w:i/>
          <w:color w:val="2F5496"/>
          <w:sz w:val="24"/>
        </w:rPr>
        <w:t>7.3 Extensions</w:t>
      </w:r>
    </w:p>
    <w:p>
      <w:pPr>
        <w:spacing w:before="0" w:after="160" w:line="360" w:lineRule="auto"/>
        <w:ind w:firstLine="0"/>
        <w:jc w:val="both"/>
      </w:pPr>
      <w:r>
        <w:rPr>
          <w:rFonts w:ascii="Times New Roman" w:hAnsi="Times New Roman"/>
          <w:b w:val="0"/>
          <w:i/>
          <w:sz w:val="24"/>
        </w:rPr>
        <w:t xml:space="preserve">Edge computing. </w:t>
      </w:r>
      <w:r>
        <w:t xml:space="preserve">A further extension concerns the emerging shift from centralized inference to edge computing. As AI moves from heavy training workloads toward real-time inference on lightweight models deployed on local devices, the effective capacity ceiling for inference relaxes: inference need not be concentrated in large data centers but can be distributed across many small nodes connected via existing mobile networks. If this trend accelerates, the inference market’s HHI could fall further, and the set of countries capable of serving inference demand would expand. For EMDEs with weak grid infrastructure but adequate mobile connectivity, edge computing may offer a leapfrogging path that bypasses the grid bottlenecks central to the model (</w:t>
      </w:r>
      <w:bookmarkStart w:id="236" w:name="AykutEtAl2026txt"/>
      <w:hyperlink w:anchor="AykutEtAl2026" w:history="1">
        <w:r>
          <w:rPr>
            <w:color w:val="1F3864"/>
            <w:u w:val="single"/>
          </w:rPr>
          <w:t xml:space="preserve">Aykut et al. 2026</w:t>
        </w:r>
      </w:hyperlink>
      <w:bookmarkEnd w:id="236"/>
      <w:r>
        <w:t xml:space="preserve">). Incorporating heterogeneous compute architectures—centralized GPU clusters for training, distributed edge nodes for inference—into the trade framework is a natural direction for future work.</w:t>
      </w:r>
    </w:p>
    <w:p>
      <w:pPr>
        <w:pStyle w:val="Heading1"/>
      </w:pPr>
      <w:r>
        <w:rPr>
          <w:rFonts w:ascii="Times New Roman" w:hAnsi="Times New Roman"/>
          <w:b/>
          <w:color w:val="2F5496"/>
          <w:sz w:val="28"/>
        </w:rPr>
        <w:t>8. Conclusion</w:t>
      </w:r>
    </w:p>
    <w:p>
      <w:pPr>
        <w:spacing w:before="0" w:after="160" w:line="360" w:lineRule="auto"/>
        <w:ind w:firstLine="0"/>
        <w:jc w:val="both"/>
      </w:pPr>
      <w:r>
        <w:t>In this paper, we develop a capacity-constrained Ricardian model of compute trade that distinguishes latency-insensitive training from latency-sensitive inference and incorporates bilateral sovereignty premia. The model identifies the conditions under which energy-rich countries can convert cheap electricity into exportable AI compute services, and the conditions under which geopolitical frictions prevent them from doing so.</w:t>
      </w:r>
    </w:p>
    <w:p>
      <w:pPr>
        <w:spacing w:before="0" w:after="160" w:line="360" w:lineRule="auto"/>
        <w:ind w:firstLine="0"/>
        <w:jc w:val="both"/>
      </w:pPr>
      <w:r>
        <w:t>The calibration on a sample of 85 countries demonstrates that because hardware is globally priced and dominates unit cost, the cross-country cost spread in compute production is far narrower than in any other tradable sector. Countries with cheap electricity and favorable cooling conditions face a low barrier to cost-competitiveness. But even modest frictions, such as a sovereignty premium, a governance penalty, or a higher cost of capital, can alter a country’s trade regime. Compute is therefore simultaneously the easiest sector for developing countries to enter on cost grounds and the most vulnerable to small policy-induced distortions.</w:t>
      </w:r>
    </w:p>
    <w:p>
      <w:pPr>
        <w:spacing w:before="0" w:after="160" w:line="360" w:lineRule="auto"/>
        <w:ind w:firstLine="0"/>
        <w:jc w:val="both"/>
      </w:pPr>
      <w:r>
        <w:t xml:space="preserve">Under the bilateral sovereignty specification, trust deficits eliminate the cost advantage that developing countries hold under pure cost-recovery pricing. Compute exporting is constrained not by the price of electricity but by institutional credibility, including non-sanctioned status, credible long-term power contracts, stable network connectivity, and a regulatory environment conducive to capital-intensive investment. The absence of these conditions shifts most countries toward domestic production at a nontrivial welfare cost. The welfare loss, however, is small enough that governments with legitimate data-sovereignty objectives may prefer to rely on domestic supply. </w:t>
      </w:r>
    </w:p>
    <w:p>
      <w:pPr>
        <w:spacing w:before="0" w:after="160" w:line="360" w:lineRule="auto"/>
        <w:ind w:firstLine="0"/>
        <w:jc w:val="both"/>
      </w:pPr>
      <w:r>
        <w:t>The policy implications differ by workload type. Restricting training imports raises costs without offsetting proximity gains, while domestic inference production can be justified by the genuine quality-of-service advantage that low latency confers, though this rationale weakens for countries located near low-cost neighbors.</w:t>
      </w:r>
    </w:p>
    <w:p>
      <w:pPr>
        <w:spacing w:before="0" w:after="160" w:line="360" w:lineRule="auto"/>
        <w:ind w:firstLine="0"/>
        <w:jc w:val="both"/>
      </w:pPr>
      <w:r>
        <w:t>FLOP exporting resembles capital-intensive resource processing, in which imported equipment transforms local energy into an exportable product with minimal domestic labor. But unlike extractive commodities, the underlying energy can be renewable, and compute demand is growing faster than demand for any physical commodity. The resource-curse literature warns that concentrated export revenues can lead to exchange-rate appreciation, institutional degradation, and exposure to demand cycles; whether compute-exporting countries face these risks depends on the ownership and fiscal structures they adopt. As bilateral trade-flow data emerge, the framework we developed here can be extended to gravity-style estimation, enabling more precise quantification of the welfare costs of sovereignty.</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lvarezEtAl2026"/>
      <w:hyperlink w:anchor="AlvarezEtAl2026txt" w:history="1">
        <w:r>
          <w:rPr>
            <w:color w:val="1F3864"/>
            <w:u w:val="single"/>
          </w:rPr>
          <w:t xml:space="preserve">Alvarez, F., Argente, D., Chow, J., and D. Van Patten. (2026). </w:t>
        </w:r>
      </w:hyperlink>
      <w:r>
        <w:t xml:space="preserve">“Data Centers and Local Economies in the Age of AI: A Shift-Share Approach.” </w:t>
      </w:r>
      <w:r>
        <w:rPr>
          <w:i/>
        </w:rPr>
        <w:t>NBER Working Paper</w:t>
      </w:r>
      <w:r>
        <w:t xml:space="preserve"> No. 35194.</w:t>
      </w:r>
      <w:bookmarkEnd w:id="500"/>
    </w:p>
    <w:p>
      <w:pPr>
        <w:spacing w:before="0" w:after="80" w:line="240" w:lineRule="exact"/>
        <w:ind w:hanging="720" w:left="720"/>
        <w:jc w:val="both"/>
      </w:pPr>
      <w:bookmarkStart w:id="501" w:name="AndersonMarcouiller2002"/>
      <w:hyperlink w:anchor="AndersonMarcouiller2002txt" w:history="1">
        <w:r>
          <w:rPr>
            <w:color w:val="1F3864"/>
            <w:u w:val="single"/>
          </w:rPr>
          <w:t xml:space="preserve">Anderson, J. and D. Marcouiller. (2002). </w:t>
        </w:r>
      </w:hyperlink>
      <w:r>
        <w:t xml:space="preserve">“Insecure Trade: Reduced-Form Evidence.” </w:t>
      </w:r>
      <w:r>
        <w:rPr>
          <w:i/>
        </w:rPr>
        <w:t>Review of Economics and Statistics</w:t>
      </w:r>
      <w:r>
        <w:t>, 84(2): 342–352.</w:t>
      </w:r>
      <w:bookmarkEnd w:id="501"/>
    </w:p>
    <w:p>
      <w:pPr>
        <w:spacing w:before="0" w:after="80" w:line="240" w:lineRule="exact"/>
        <w:ind w:hanging="720" w:left="720"/>
        <w:jc w:val="both"/>
      </w:pPr>
      <w:bookmarkStart w:id="502" w:name="AndersonVanWincoop2003"/>
      <w:hyperlink w:anchor="AndersonVanWincoop2003txt" w:history="1">
        <w:r>
          <w:rPr>
            <w:color w:val="1F3864"/>
            <w:u w:val="single"/>
          </w:rPr>
          <w:t xml:space="preserve">Anderson, J. and E. van Wincoop. (2003). </w:t>
        </w:r>
      </w:hyperlink>
      <w:r>
        <w:t xml:space="preserve">“Gravity with Gravitas: A Solution to the Border Puzzle.” </w:t>
      </w:r>
      <w:r>
        <w:rPr>
          <w:i/>
        </w:rPr>
        <w:t>American Economic Review</w:t>
      </w:r>
      <w:r>
        <w:t>, 93(1): 170–192.</w:t>
      </w:r>
      <w:bookmarkEnd w:id="502"/>
    </w:p>
    <w:p>
      <w:pPr>
        <w:spacing w:before="0" w:after="80" w:line="240" w:lineRule="exact"/>
        <w:ind w:hanging="720" w:left="720"/>
        <w:jc w:val="both"/>
      </w:pPr>
      <w:bookmarkStart w:id="503" w:name="Antras2003"/>
      <w:hyperlink w:anchor="Antras2003txt" w:history="1">
        <w:r>
          <w:rPr>
            <w:color w:val="1F3864"/>
            <w:u w:val="single"/>
          </w:rPr>
          <w:t xml:space="preserve">Antràs, P. (2003). </w:t>
        </w:r>
      </w:hyperlink>
      <w:r>
        <w:t xml:space="preserve">“Firms, Contracts, and Trade Structure.” </w:t>
      </w:r>
      <w:r>
        <w:rPr>
          <w:i/>
        </w:rPr>
        <w:t>Quarterly Journal of Economics</w:t>
      </w:r>
      <w:r>
        <w:t>, 118(4): 1375–1418.</w:t>
      </w:r>
      <w:bookmarkEnd w:id="503"/>
    </w:p>
    <w:p>
      <w:pPr>
        <w:spacing w:before="0" w:after="80" w:line="240" w:lineRule="exact"/>
        <w:ind w:hanging="720" w:left="720"/>
        <w:jc w:val="both"/>
      </w:pPr>
      <w:bookmarkStart w:id="504" w:name="ACR2012"/>
      <w:hyperlink w:anchor="ACR2012txt" w:history="1">
        <w:r>
          <w:rPr>
            <w:color w:val="1F3864"/>
            <w:u w:val="single"/>
          </w:rPr>
          <w:t xml:space="preserve">Arkolakis, C., Costinot, A., and A. Rodríguez-Clare. (2012). </w:t>
        </w:r>
      </w:hyperlink>
      <w:r>
        <w:t xml:space="preserve">“New Trade Models, Same Old Gains?” </w:t>
      </w:r>
      <w:r>
        <w:rPr>
          <w:i/>
        </w:rPr>
        <w:t>American Economic Review</w:t>
      </w:r>
      <w:r>
        <w:t>, 102(1): 94–130.</w:t>
      </w:r>
      <w:bookmarkEnd w:id="504"/>
    </w:p>
    <w:p>
      <w:pPr>
        <w:spacing w:before="0" w:after="80" w:line="240" w:lineRule="exact"/>
        <w:ind w:hanging="720" w:left="720"/>
        <w:jc w:val="both"/>
      </w:pPr>
      <w:bookmarkStart w:id="505"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5"/>
    </w:p>
    <w:p>
      <w:pPr>
        <w:spacing w:before="0" w:after="80" w:line="240" w:lineRule="exact"/>
        <w:ind w:hanging="720" w:left="720"/>
        <w:jc w:val="both"/>
      </w:pPr>
      <w:bookmarkStart w:id="506" w:name="AykutEtAl2026"/>
      <w:hyperlink w:anchor="AykutEtAl2026txt" w:history="1">
        <w:r>
          <w:rPr>
            <w:color w:val="1F3864"/>
            <w:u w:val="single"/>
          </w:rPr>
          <w:t xml:space="preserve">Aykut, D., Ozyurt, S., Jung, K., and E. Vergara Cobos. (2026). </w:t>
        </w:r>
      </w:hyperlink>
      <w:r>
        <w:t xml:space="preserve">“Data Center and AI Investment in EMDEs: Risks and Opportunities.” </w:t>
      </w:r>
      <w:r>
        <w:rPr>
          <w:i/>
        </w:rPr>
        <w:t>Watch This Space</w:t>
      </w:r>
      <w:r>
        <w:t xml:space="preserve">. Washington, DC: </w:t>
      </w:r>
      <w:bookmarkStart w:id="237" w:name="WorldBank2024txt"/>
      <w:hyperlink w:anchor="WorldBank2024" w:history="1">
        <w:r>
          <w:rPr>
            <w:color w:val="1F3864"/>
            <w:u w:val="single"/>
          </w:rPr>
          <w:t xml:space="preserve">World Bank</w:t>
        </w:r>
      </w:hyperlink>
      <w:bookmarkEnd w:id="237"/>
      <w:r>
        <w:t xml:space="preserve"> Group.</w:t>
      </w:r>
      <w:bookmarkEnd w:id="506"/>
    </w:p>
    <w:p>
      <w:pPr>
        <w:spacing w:before="0" w:after="80" w:line="240" w:lineRule="exact"/>
        <w:ind w:hanging="720" w:left="720"/>
        <w:jc w:val="both"/>
      </w:pPr>
      <w:bookmarkStart w:id="507" w:name="BaileyEtAl2017"/>
      <w:hyperlink w:anchor="BaileyEtAl2017txt" w:history="1">
        <w:r>
          <w:rPr>
            <w:color w:val="1F3864"/>
            <w:u w:val="single"/>
          </w:rPr>
          <w:t xml:space="preserve">Bailey, M., Strezhnev, A., and E. Voeten. (2017). </w:t>
        </w:r>
      </w:hyperlink>
      <w:r>
        <w:t xml:space="preserve">“Estimating Dynamic State Preferences from United Nations Voting Data.” </w:t>
      </w:r>
      <w:r>
        <w:rPr>
          <w:i/>
        </w:rPr>
        <w:t>Journal of Conflict Resolution</w:t>
      </w:r>
      <w:r>
        <w:t>, 61(2): 430–456.</w:t>
      </w:r>
      <w:bookmarkEnd w:id="507"/>
    </w:p>
    <w:p>
      <w:pPr>
        <w:spacing w:before="0" w:after="80" w:line="240" w:lineRule="exact"/>
        <w:ind w:hanging="720" w:left="720"/>
        <w:jc w:val="both"/>
      </w:pPr>
      <w:bookmarkStart w:id="508"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8"/>
    </w:p>
    <w:p>
      <w:pPr>
        <w:spacing w:before="0" w:after="80" w:line="240" w:lineRule="exact"/>
        <w:ind w:hanging="720" w:left="720"/>
        <w:jc w:val="both"/>
      </w:pPr>
      <w:bookmarkStart w:id="509" w:name="BenzJaax2020"/>
      <w:hyperlink w:anchor="BenzJaax2020txt" w:history="1">
        <w:r>
          <w:rPr>
            <w:color w:val="1F3864"/>
            <w:u w:val="single"/>
          </w:rPr>
          <w:t xml:space="preserve">Benz, S. and A. Jaax. (2020). </w:t>
        </w:r>
      </w:hyperlink>
      <w:r>
        <w:t xml:space="preserve">“The Costs of Regulatory Barriers to Trade in Services: New Estimates of Ad Valorem Tariff Equivalents.” </w:t>
      </w:r>
      <w:r>
        <w:rPr>
          <w:i/>
        </w:rPr>
        <w:t>OECD Trade Policy Papers</w:t>
      </w:r>
      <w:r>
        <w:t>, No. 238. Paris: OECD Publishing.</w:t>
      </w:r>
      <w:bookmarkEnd w:id="509"/>
    </w:p>
    <w:p>
      <w:pPr>
        <w:spacing w:before="0" w:after="80" w:line="240" w:lineRule="exact"/>
        <w:ind w:hanging="720" w:left="720"/>
        <w:jc w:val="both"/>
      </w:pPr>
      <w:bookmarkStart w:id="510"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10"/>
    </w:p>
    <w:p>
      <w:pPr>
        <w:spacing w:before="0" w:after="80" w:line="240" w:lineRule="exact"/>
        <w:ind w:hanging="720" w:left="720"/>
        <w:jc w:val="both"/>
      </w:pPr>
      <w:bookmarkStart w:id="511"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11"/>
    </w:p>
    <w:p>
      <w:pPr>
        <w:spacing w:before="0" w:after="80" w:line="240" w:lineRule="exact"/>
        <w:ind w:hanging="720" w:left="720"/>
        <w:jc w:val="both"/>
      </w:pPr>
      <w:bookmarkStart w:id="512"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12"/>
    </w:p>
    <w:p>
      <w:pPr>
        <w:spacing w:before="0" w:after="80" w:line="240" w:lineRule="exact"/>
        <w:ind w:hanging="720" w:left="720"/>
        <w:jc w:val="both"/>
      </w:pPr>
      <w:bookmarkStart w:id="513"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13"/>
    </w:p>
    <w:p>
      <w:pPr>
        <w:spacing w:before="0" w:after="80" w:line="240" w:lineRule="exact"/>
        <w:ind w:hanging="720" w:left="720"/>
        <w:jc w:val="both"/>
      </w:pPr>
      <w:bookmarkStart w:id="514" w:name="CaouiSteck2025"/>
      <w:hyperlink w:anchor="CaouiSteck2025txt" w:history="1">
        <w:r>
          <w:rPr>
            <w:color w:val="1F3864"/>
            <w:u w:val="single"/>
          </w:rPr>
          <w:t xml:space="preserve">Caoui, E., and A. Steck. (2025). </w:t>
        </w:r>
      </w:hyperlink>
      <w:r>
        <w:t xml:space="preserve">“Content Providers and the Deployment of Internet Infrastructure.” </w:t>
      </w:r>
      <w:r>
        <w:rPr>
          <w:i/>
        </w:rPr>
        <w:t>Information Economics and Policy</w:t>
      </w:r>
      <w:r>
        <w:t>. doi:10.1016/j.infoecopol.2025.101134.</w:t>
      </w:r>
      <w:bookmarkEnd w:id="514"/>
    </w:p>
    <w:p>
      <w:pPr>
        <w:spacing w:before="0" w:after="80" w:line="240" w:lineRule="exact"/>
        <w:ind w:hanging="720" w:left="720"/>
        <w:jc w:val="both"/>
      </w:pPr>
      <w:bookmarkStart w:id="515" w:name="Chandramowli2024"/>
      <w:hyperlink w:anchor="Chandramowli2024txt" w:history="1">
        <w:r>
          <w:rPr>
            <w:color w:val="1F3864"/>
            <w:u w:val="single"/>
          </w:rPr>
          <w:t xml:space="preserve">Chandramowli, S., P. Cook, J. Mackovyak, H. Parmar, and M. Scheller. </w:t>
        </w:r>
      </w:hyperlink>
      <w:r>
        <w:t xml:space="preserve">(2024). </w:t>
      </w:r>
      <w:r>
        <w:rPr>
          <w:i/>
        </w:rPr>
        <w:t>Power Surge: Navigating US Electricity Demand Growth</w:t>
      </w:r>
      <w:r>
        <w:t>. ICF.</w:t>
      </w:r>
      <w:bookmarkEnd w:id="515"/>
    </w:p>
    <w:p>
      <w:pPr>
        <w:spacing w:before="0" w:after="80" w:line="240" w:lineRule="exact"/>
        <w:ind w:hanging="720" w:left="720"/>
        <w:jc w:val="both"/>
      </w:pPr>
      <w:bookmarkStart w:id="516"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6"/>
    </w:p>
    <w:p>
      <w:pPr>
        <w:spacing w:before="0" w:after="80" w:line="240" w:lineRule="exact"/>
        <w:ind w:hanging="720" w:left="720"/>
        <w:jc w:val="both"/>
      </w:pPr>
      <w:bookmarkStart w:id="517" w:name="Deloitte2020"/>
      <w:hyperlink w:anchor="Deloitte2020txt" w:history="1">
        <w:r>
          <w:rPr>
            <w:color w:val="1F3864"/>
            <w:u w:val="single"/>
          </w:rPr>
          <w:t xml:space="preserve">Deloitte and Google. (2020). </w:t>
        </w:r>
      </w:hyperlink>
      <w:r>
        <w:t>“Milliseconds Make Millions.” Deloitte Digital and Google.</w:t>
      </w:r>
      <w:bookmarkEnd w:id="517"/>
    </w:p>
    <w:p>
      <w:pPr>
        <w:spacing w:before="0" w:after="80" w:line="240" w:lineRule="exact"/>
        <w:ind w:hanging="720" w:left="720"/>
        <w:jc w:val="both"/>
      </w:pPr>
      <w:bookmarkStart w:id="518"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8"/>
    </w:p>
    <w:p>
      <w:pPr>
        <w:spacing w:before="0" w:after="80" w:line="240" w:lineRule="exact"/>
        <w:ind w:hanging="720" w:left="720"/>
        <w:jc w:val="both"/>
      </w:pPr>
      <w:bookmarkStart w:id="519"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9"/>
    </w:p>
    <w:p>
      <w:pPr>
        <w:spacing w:before="0" w:after="80" w:line="240" w:lineRule="exact"/>
        <w:ind w:hanging="720" w:left="720"/>
        <w:jc w:val="both"/>
      </w:pPr>
      <w:bookmarkStart w:id="520"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20"/>
    </w:p>
    <w:p>
      <w:pPr>
        <w:spacing w:before="0" w:after="80" w:line="240" w:lineRule="exact"/>
        <w:ind w:hanging="720" w:left="720"/>
        <w:jc w:val="both"/>
      </w:pPr>
      <w:bookmarkStart w:id="521" w:name="EpochAI2024"/>
      <w:r>
        <w:rPr>
          <w:color w:val="1F3864"/>
          <w:u w:val="single"/>
        </w:rPr>
        <w:t xml:space="preserve">Epoch AI. (2024). </w:t>
      </w:r>
      <w:r>
        <w:t>“The Training Compute of Notable AI Models.” epochai.org.</w:t>
      </w:r>
      <w:bookmarkEnd w:id="521"/>
    </w:p>
    <w:p>
      <w:pPr>
        <w:spacing w:before="0" w:after="80" w:line="240" w:lineRule="exact"/>
        <w:ind w:hanging="720" w:left="720"/>
        <w:jc w:val="both"/>
      </w:pPr>
      <w:bookmarkStart w:id="522"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22"/>
    </w:p>
    <w:p>
      <w:pPr>
        <w:spacing w:before="0" w:after="80" w:line="240" w:lineRule="exact"/>
        <w:ind w:hanging="720" w:left="720"/>
        <w:jc w:val="both"/>
      </w:pPr>
      <w:bookmarkStart w:id="523"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23"/>
    </w:p>
    <w:p>
      <w:pPr>
        <w:spacing w:before="0" w:after="80" w:line="240" w:lineRule="exact"/>
        <w:ind w:hanging="720" w:left="720"/>
        <w:jc w:val="both"/>
      </w:pPr>
      <w:bookmarkStart w:id="524"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24"/>
    </w:p>
    <w:p>
      <w:pPr>
        <w:spacing w:before="0" w:after="80" w:line="240" w:lineRule="exact"/>
        <w:ind w:hanging="720" w:left="720"/>
        <w:jc w:val="both"/>
      </w:pPr>
      <w:bookmarkStart w:id="525"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5"/>
    </w:p>
    <w:p>
      <w:pPr>
        <w:spacing w:before="0" w:after="80" w:line="240" w:lineRule="exact"/>
        <w:ind w:hanging="720" w:left="720"/>
        <w:jc w:val="both"/>
      </w:pPr>
      <w:bookmarkStart w:id="526"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6"/>
    </w:p>
    <w:p>
      <w:pPr>
        <w:spacing w:before="0" w:after="80" w:line="240" w:lineRule="exact"/>
        <w:ind w:hanging="720" w:left="720"/>
        <w:jc w:val="both"/>
      </w:pPr>
      <w:bookmarkStart w:id="527" w:name="Google2024"/>
      <w:hyperlink w:anchor="Google2024txt" w:history="1">
        <w:r>
          <w:rPr>
            <w:color w:val="1F3864"/>
            <w:u w:val="single"/>
          </w:rPr>
          <w:t xml:space="preserve">Google. </w:t>
        </w:r>
      </w:hyperlink>
      <w:r>
        <w:t xml:space="preserve">(2024). </w:t>
      </w:r>
      <w:r>
        <w:rPr>
          <w:i/>
        </w:rPr>
        <w:t>2024 Environmental Report</w:t>
      </w:r>
      <w:r>
        <w:t>. sustainability.google.</w:t>
      </w:r>
      <w:bookmarkEnd w:id="527"/>
    </w:p>
    <w:p>
      <w:pPr>
        <w:spacing w:before="0" w:after="80" w:line="240" w:lineRule="exact"/>
        <w:ind w:hanging="720" w:left="720"/>
        <w:jc w:val="both"/>
      </w:pPr>
      <w:bookmarkStart w:id="528"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8"/>
    </w:p>
    <w:p>
      <w:pPr>
        <w:spacing w:before="0" w:after="80" w:line="240" w:lineRule="exact"/>
        <w:ind w:hanging="720" w:left="720"/>
        <w:jc w:val="both"/>
      </w:pPr>
      <w:bookmarkStart w:id="529"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29"/>
    </w:p>
    <w:p>
      <w:pPr>
        <w:spacing w:before="0" w:after="80" w:line="240" w:lineRule="exact"/>
        <w:ind w:hanging="720" w:left="720"/>
        <w:jc w:val="both"/>
      </w:pPr>
      <w:bookmarkStart w:id="530"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30"/>
    </w:p>
    <w:p>
      <w:pPr>
        <w:spacing w:before="0" w:after="80" w:line="240" w:lineRule="exact"/>
        <w:ind w:hanging="720" w:left="720"/>
        <w:jc w:val="both"/>
      </w:pPr>
      <w:bookmarkStart w:id="531"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31"/>
    </w:p>
    <w:p>
      <w:pPr>
        <w:spacing w:before="0" w:after="80" w:line="240" w:lineRule="exact"/>
        <w:ind w:hanging="720" w:left="720"/>
        <w:jc w:val="both"/>
      </w:pPr>
      <w:bookmarkStart w:id="532" w:name="IEA2025"/>
      <w:hyperlink w:anchor="IEA2025txt" w:history="1">
        <w:r>
          <w:rPr>
            <w:color w:val="1F3864"/>
            <w:u w:val="single"/>
          </w:rPr>
          <w:t xml:space="preserve">IEA. (2025). </w:t>
        </w:r>
      </w:hyperlink>
      <w:r>
        <w:t>“Energy Demand from AI.” Published online at iea.org.</w:t>
      </w:r>
      <w:bookmarkEnd w:id="532"/>
    </w:p>
    <w:p>
      <w:pPr>
        <w:spacing w:before="0" w:after="80" w:line="240" w:lineRule="exact"/>
        <w:ind w:hanging="720" w:left="720"/>
        <w:jc w:val="both"/>
      </w:pPr>
      <w:bookmarkStart w:id="533"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33"/>
    </w:p>
    <w:p>
      <w:pPr>
        <w:spacing w:before="0" w:after="80" w:line="240" w:lineRule="exact"/>
        <w:ind w:hanging="720" w:left="720"/>
        <w:jc w:val="both"/>
      </w:pPr>
      <w:bookmarkStart w:id="534" w:name="KatzEtAl2025"/>
      <w:hyperlink w:anchor="KatzEtAl2025txt" w:history="1">
        <w:r>
          <w:rPr>
            <w:color w:val="1F3864"/>
            <w:u w:val="single"/>
          </w:rPr>
          <w:t xml:space="preserve">Katz, R., K. Jung, and F. Callorda. (2025). </w:t>
        </w:r>
      </w:hyperlink>
      <w:r>
        <w:t>“The Economic Impact of AI and Cloud Investment in Asia-Pacific.” Report prepared for the Asian Development Bank.</w:t>
      </w:r>
      <w:bookmarkEnd w:id="534"/>
    </w:p>
    <w:p>
      <w:pPr>
        <w:spacing w:before="0" w:after="80" w:line="240" w:lineRule="exact"/>
        <w:ind w:hanging="720" w:left="720"/>
        <w:jc w:val="both"/>
      </w:pPr>
      <w:bookmarkStart w:id="535" w:name="Korinek2021"/>
      <w:hyperlink w:anchor="Korinek2021txt" w:history="1">
        <w:r>
          <w:rPr>
            <w:color w:val="1F3864"/>
            <w:u w:val="single"/>
          </w:rPr>
          <w:t xml:space="preserve">Korinek, A., and J. Stiglitz. (2021). </w:t>
        </w:r>
      </w:hyperlink>
      <w:r>
        <w:t xml:space="preserve">“Artificial Intelligence, Globalization, and Strategies for Economic Development.” </w:t>
      </w:r>
      <w:r>
        <w:rPr>
          <w:i/>
        </w:rPr>
        <w:t>NBER Working Paper</w:t>
      </w:r>
      <w:r>
        <w:t xml:space="preserve"> No. 28453.</w:t>
      </w:r>
      <w:bookmarkEnd w:id="535"/>
    </w:p>
    <w:p>
      <w:pPr>
        <w:spacing w:before="0" w:after="80" w:line="240" w:lineRule="exact"/>
        <w:ind w:hanging="720" w:left="720"/>
        <w:jc w:val="both"/>
      </w:pPr>
      <w:bookmarkStart w:id="536"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6"/>
    </w:p>
    <w:p>
      <w:pPr>
        <w:spacing w:before="0" w:after="80" w:line="240" w:lineRule="exact"/>
        <w:ind w:hanging="720" w:left="720"/>
        <w:jc w:val="both"/>
      </w:pPr>
      <w:bookmarkStart w:id="537"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7"/>
    </w:p>
    <w:p>
      <w:pPr>
        <w:spacing w:before="0" w:after="80" w:line="240" w:lineRule="exact"/>
        <w:ind w:hanging="720" w:left="720"/>
        <w:jc w:val="both"/>
      </w:pPr>
      <w:bookmarkStart w:id="538"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8"/>
    </w:p>
    <w:p>
      <w:pPr>
        <w:spacing w:before="0" w:after="80" w:line="240" w:lineRule="exact"/>
        <w:ind w:hanging="720" w:left="720"/>
        <w:jc w:val="both"/>
      </w:pPr>
      <w:bookmarkStart w:id="539"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8" w:name="WorldBank2024txt"/>
      <w:hyperlink w:anchor="WorldBank2024" w:history="1">
        <w:r>
          <w:rPr>
            <w:i/>
            <w:color w:val="1F3864"/>
            <w:u w:val="single"/>
          </w:rPr>
          <w:t xml:space="preserve">World Bank</w:t>
        </w:r>
      </w:hyperlink>
      <w:bookmarkEnd w:id="238"/>
      <w:r>
        <w:rPr>
          <w:i/>
        </w:rPr>
        <w:t xml:space="preserve"> Economic Review</w:t>
      </w:r>
      <w:r>
        <w:t>, 15(3): 451–479.</w:t>
      </w:r>
      <w:bookmarkEnd w:id="539"/>
    </w:p>
    <w:p>
      <w:pPr>
        <w:spacing w:before="0" w:after="80" w:line="240" w:lineRule="exact"/>
        <w:ind w:hanging="720" w:left="720"/>
        <w:jc w:val="both"/>
      </w:pPr>
      <w:bookmarkStart w:id="540"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40"/>
    </w:p>
    <w:p>
      <w:pPr>
        <w:spacing w:before="0" w:after="80" w:line="240" w:lineRule="exact"/>
        <w:ind w:hanging="720" w:left="720"/>
        <w:jc w:val="both"/>
      </w:pPr>
      <w:bookmarkStart w:id="541" w:name="NVIDIA2024"/>
      <w:r>
        <w:rPr>
          <w:color w:val="1F3864"/>
          <w:u w:val="single"/>
        </w:rPr>
        <w:t xml:space="preserve">NVIDIA. </w:t>
      </w:r>
      <w:r>
        <w:t xml:space="preserve">(2024). </w:t>
      </w:r>
      <w:r>
        <w:rPr>
          <w:i/>
        </w:rPr>
        <w:t>NVIDIA H100 Tensor Core GPU Datasheet</w:t>
      </w:r>
      <w:r>
        <w:t>. nvidia.com.</w:t>
      </w:r>
      <w:bookmarkEnd w:id="541"/>
    </w:p>
    <w:p>
      <w:pPr>
        <w:spacing w:before="0" w:after="80" w:line="240" w:lineRule="exact"/>
        <w:ind w:hanging="720" w:left="720"/>
        <w:jc w:val="both"/>
      </w:pPr>
      <w:bookmarkStart w:id="542"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42"/>
    </w:p>
    <w:p>
      <w:pPr>
        <w:spacing w:before="0" w:after="80" w:line="240" w:lineRule="exact"/>
        <w:ind w:hanging="720" w:left="720"/>
        <w:jc w:val="both"/>
      </w:pPr>
      <w:bookmarkStart w:id="543"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43"/>
    </w:p>
    <w:p>
      <w:pPr>
        <w:spacing w:before="0" w:after="80" w:line="240" w:lineRule="exact"/>
        <w:ind w:hanging="720" w:left="720"/>
        <w:jc w:val="both"/>
      </w:pPr>
      <w:bookmarkStart w:id="544" w:name="Sastry2024"/>
      <w:hyperlink w:anchor="Sastry2024txt" w:history="1">
        <w:r>
          <w:rPr>
            <w:color w:val="1F3864"/>
            <w:u w:val="single"/>
          </w:rPr>
          <w:t xml:space="preserve">Sastry, G., L. Heim, H. Belfield, M. Anderljung, M. Brundage, J. Hazell, C. O’Keefe, G. K. Hadfield, R. Ngo, K. Pilz, G. Gor, E. Bluemke, S. Shoker, J. Egan, R. F. Trager, S. Avin, A. Weller, Y. Bengio, and D. Coyle. (2024). </w:t>
        </w:r>
      </w:hyperlink>
      <w:r>
        <w:t>“Computing Power and the Governance of Artificial Intelligence.” arXiv:2402.08797.</w:t>
      </w:r>
      <w:bookmarkEnd w:id="544"/>
    </w:p>
    <w:p>
      <w:pPr>
        <w:spacing w:before="0" w:after="80" w:line="240" w:lineRule="exact"/>
        <w:ind w:hanging="720" w:left="720"/>
        <w:jc w:val="both"/>
      </w:pPr>
      <w:bookmarkStart w:id="545" w:name="SevillaEtAl2022"/>
      <w:hyperlink w:anchor="SevillaEtAl2022txt" w:history="1">
        <w:r>
          <w:rPr>
            <w:color w:val="1F3864"/>
            <w:u w:val="single"/>
          </w:rPr>
          <w:t xml:space="preserve">Sevilla, J., L. Heim, A. Ho, T. Besiroglu, M. Hobbhahn, and P. Villalobos. (2022). </w:t>
        </w:r>
      </w:hyperlink>
      <w:r>
        <w:t>“Compute Trends across Three Eras of Machine Learning.” arXiv Working Paper No. 2202.05924. https://doi.org/10.48550/arXiv.2202.05924.</w:t>
      </w:r>
      <w:bookmarkEnd w:id="545"/>
    </w:p>
    <w:p>
      <w:pPr>
        <w:spacing w:before="0" w:after="80" w:line="240" w:lineRule="exact"/>
        <w:ind w:hanging="720" w:left="720"/>
        <w:jc w:val="both"/>
      </w:pPr>
      <w:bookmarkStart w:id="546"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46"/>
    </w:p>
    <w:p>
      <w:pPr>
        <w:spacing w:before="0" w:after="80" w:line="240" w:lineRule="exact"/>
        <w:ind w:hanging="720" w:left="720"/>
        <w:jc w:val="both"/>
      </w:pPr>
      <w:bookmarkStart w:id="547" w:name="StraubEtAl2026"/>
      <w:hyperlink w:anchor="StraubEtAl2026txt" w:history="1">
        <w:r>
          <w:rPr>
            <w:color w:val="1F3864"/>
            <w:u w:val="single"/>
          </w:rPr>
          <w:t xml:space="preserve">Straub, S., et al. </w:t>
        </w:r>
      </w:hyperlink>
      <w:r>
        <w:t xml:space="preserve">(2026). </w:t>
      </w:r>
      <w:r>
        <w:rPr>
          <w:i/>
        </w:rPr>
        <w:t>Infrastructure Foundations: From Current Assets to Future Growth</w:t>
      </w:r>
      <w:r>
        <w:t xml:space="preserve">. Sustainable Infrastructure Series. Washington, DC: </w:t>
      </w:r>
      <w:bookmarkStart w:id="239" w:name="WorldBank2024txt"/>
      <w:hyperlink w:anchor="WorldBank2024" w:history="1">
        <w:r>
          <w:rPr>
            <w:color w:val="1F3864"/>
            <w:u w:val="single"/>
          </w:rPr>
          <w:t xml:space="preserve">World Bank</w:t>
        </w:r>
      </w:hyperlink>
      <w:bookmarkEnd w:id="239"/>
      <w:r>
        <w:t xml:space="preserve">.</w:t>
      </w:r>
      <w:bookmarkEnd w:id="547"/>
    </w:p>
    <w:p>
      <w:pPr>
        <w:spacing w:before="0" w:after="80" w:line="240" w:lineRule="exact"/>
        <w:ind w:hanging="720" w:left="720"/>
        <w:jc w:val="both"/>
      </w:pPr>
      <w:bookmarkStart w:id="54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48"/>
    </w:p>
    <w:p>
      <w:pPr>
        <w:spacing w:before="0" w:after="80" w:line="240" w:lineRule="exact"/>
        <w:ind w:hanging="720" w:left="720"/>
        <w:jc w:val="both"/>
      </w:pPr>
      <w:bookmarkStart w:id="549"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9"/>
    </w:p>
    <w:p>
      <w:pPr>
        <w:spacing w:before="0" w:after="80" w:line="240" w:lineRule="exact"/>
        <w:ind w:hanging="720" w:left="720"/>
        <w:jc w:val="both"/>
      </w:pPr>
      <w:bookmarkStart w:id="550"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50"/>
    </w:p>
    <w:p>
      <w:pPr>
        <w:spacing w:before="0" w:after="80" w:line="240" w:lineRule="exact"/>
        <w:ind w:hanging="720" w:left="720"/>
        <w:jc w:val="both"/>
      </w:pPr>
      <w:bookmarkStart w:id="551"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51"/>
    </w:p>
    <w:p>
      <w:pPr>
        <w:spacing w:before="0" w:after="80" w:line="240" w:lineRule="exact"/>
        <w:ind w:hanging="720" w:left="720"/>
        <w:jc w:val="both"/>
      </w:pPr>
      <w:bookmarkStart w:id="552"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40" w:name="WorldBank2024txt"/>
      <w:hyperlink w:anchor="WorldBank2024" w:history="1">
        <w:r>
          <w:rPr>
            <w:color w:val="1F3864"/>
            <w:u w:val="single"/>
          </w:rPr>
          <w:t xml:space="preserve">World Bank</w:t>
        </w:r>
      </w:hyperlink>
      <w:bookmarkEnd w:id="240"/>
      <w:r>
        <w:t xml:space="preserve">.</w:t>
      </w:r>
      <w:bookmarkEnd w:id="552"/>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Model structure</w:t>
      </w:r>
    </w:p>
    <w:p>
      <w:pPr>
        <w:spacing w:before="80" w:after="80"/>
        <w:jc w:val="center"/>
      </w:pPr>
      <w:r>
        <w:drawing>
          <wp:inline xmlns:a="http://schemas.openxmlformats.org/drawingml/2006/main" xmlns:pic="http://schemas.openxmlformats.org/drawingml/2006/picture">
            <wp:extent cx="5943600" cy="4911511"/>
            <wp:docPr id="1" name="Picture 1"/>
            <wp:cNvGraphicFramePr>
              <a:graphicFrameLocks noChangeAspect="1"/>
            </wp:cNvGraphicFramePr>
            <a:graphic>
              <a:graphicData uri="http://schemas.openxmlformats.org/drawingml/2006/picture">
                <pic:pic>
                  <pic:nvPicPr>
                    <pic:cNvPr id="0" name="figure1_model_structure.png"/>
                    <pic:cNvPicPr/>
                  </pic:nvPicPr>
                  <pic:blipFill>
                    <a:blip r:embed="rId10"/>
                    <a:stretch>
                      <a:fillRect/>
                    </a:stretch>
                  </pic:blipFill>
                  <pic:spPr>
                    <a:xfrm>
                      <a:off x="0" y="0"/>
                      <a:ext cx="5943600" cy="4911511"/>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Country endowments (gray) determine production cost cⱼ, which together with capacity Kⱼ (purple) sets the world training price pₜ* and regional inference price pᵢ*(k). Regime conditions sort countries into five equilibrium regimes (coral) from Proposition 1.</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20"/>
        <w:gridCol w:w="720"/>
        <w:gridCol w:w="720"/>
        <w:gridCol w:w="720"/>
        <w:gridCol w:w="720"/>
        <w:gridCol w:w="720"/>
        <w:gridCol w:w="720"/>
        <w:gridCol w:w="720"/>
        <w:gridCol w:w="720"/>
        <w:gridCol w:w="720"/>
        <w:gridCol w:w="720"/>
        <w:gridCol w:w="72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(3) Bilateral</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(4) CR + host WACC</w:t>
            </w:r>
          </w:p>
        </w:tc>
      </w:tr>
      <w:tr>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r>
      <w:tr>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$1.56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$1.82</w:t>
            </w:r>
          </w:p>
        </w:tc>
        <w:tc>
          <w:tcPr>
            <w:tcW w:w="400" w:type="dxa"/>
          </w:tcPr>
          <w:p>
            <w:pPr>
              <w:jc w:val="center"/>
              <w:spacing w:before="10" w:after="10"/>
            </w:pPr>
            <w:r/>
            <w:r>
              <w:rPr>
                <w:rFonts w:ascii="Times New Roman" w:hAnsi="Times New Roman"/>
                <w:sz w:val="16"/>
              </w:rPr>
              <w:t>EE</w:t>
            </w:r>
          </w:p>
        </w:tc>
      </w:tr>
      <w:tr>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$1.57</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$1.85</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South Africa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UAE</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Chile</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Nigeria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Mexico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Israel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Portugal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France</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Latvia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Saudi Arabia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Luxembourg</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Spain</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India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Philippines</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Belgium</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Indonesia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Malta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Uzbekistan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Denmark</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Lithuania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$1.91</w:t>
            </w:r>
          </w:p>
        </w:tc>
        <w:tc>
          <w:tcPr>
            <w:tcW w:w="400" w:type="dxa"/>
          </w:tcPr>
          <w:p>
            <w:pPr>
              <w:jc w:val="center"/>
              <w:spacing w:before="10" w:after="10"/>
            </w:pPr>
            <w:r/>
            <w:r>
              <w:rPr>
                <w:rFonts w:ascii="Times New Roman" w:hAnsi="Times New Roman"/>
                <w:sz w:val="16"/>
              </w:rPr>
              <w:t>II</w:t>
            </w:r>
          </w:p>
        </w:tc>
      </w:tr>
      <w:tr>
        <w:tc>
          <w:tcPr>
            <w:tcBorders>
              <w:bottom w:val="double" w:sz="4" w:space="0" w:color="auto"/>
            </w:tcBorders>
            <w:tcW w:w="1100" w:type="dxa"/>
          </w:tcPr>
          <w:p>
            <w:pPr>
              <w:jc w:val="left"/>
              <w:spacing w:before="10" w:after="10"/>
            </w:pPr>
            <w:r/>
            <w:r>
              <w:rPr>
                <w:rFonts w:ascii="Times New Roman" w:hAnsi="Times New Roman"/>
                <w:sz w:val="16"/>
              </w:rPr>
              <w:t>Saudi Arabia</w:t>
            </w:r>
          </w:p>
        </w:tc>
        <w:tc>
          <w:tcPr>
            <w:tcBorders>
              <w:bottom w:val="double" w:sz="4" w:space="0" w:color="auto"/>
            </w:tcBorders>
            <w:tcW w:w="500" w:type="dxa"/>
          </w:tcPr>
          <w:p>
            <w:pPr>
              <w:jc w:val="center"/>
              <w:spacing w:before="10" w:after="10"/>
            </w:pPr>
            <w:r/>
            <w:r>
              <w:rPr>
                <w:rFonts w:ascii="Times New Roman" w:hAnsi="Times New Roman"/>
                <w:sz w:val="16"/>
              </w:rPr>
              <w:t>$1.62</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Georgia</w:t>
            </w:r>
          </w:p>
        </w:tc>
        <w:tc>
          <w:tcPr>
            <w:tcBorders>
              <w:bottom w:val="double" w:sz="4" w:space="0" w:color="auto"/>
            </w:tcBorders>
            <w:tcW w:w="500" w:type="dxa"/>
          </w:tcPr>
          <w:p>
            <w:pPr>
              <w:jc w:val="center"/>
              <w:spacing w:before="10" w:after="10"/>
            </w:pPr>
            <w:r/>
            <w:r>
              <w:rPr>
                <w:rFonts w:ascii="Times New Roman" w:hAnsi="Times New Roman"/>
                <w:sz w:val="16"/>
              </w:rPr>
              <w:t>$1.63</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Egypt</w:t>
            </w:r>
          </w:p>
        </w:tc>
        <w:tc>
          <w:tcPr>
            <w:tcBorders>
              <w:bottom w:val="double" w:sz="4" w:space="0" w:color="auto"/>
            </w:tcBorders>
            <w:tcW w:w="500" w:type="dxa"/>
          </w:tcPr>
          <w:p>
            <w:pPr>
              <w:jc w:val="center"/>
              <w:spacing w:before="10" w:after="10"/>
            </w:pPr>
            <w:r/>
            <w:r>
              <w:rPr>
                <w:rFonts w:ascii="Times New Roman" w:hAnsi="Times New Roman"/>
                <w:sz w:val="16"/>
              </w:rPr>
              <w:t>$1.70</w:t>
            </w:r>
          </w:p>
        </w:tc>
        <w:tc>
          <w:tcPr>
            <w:tcBorders>
              <w:bottom w:val="double" w:sz="4" w:space="0" w:color="auto"/>
            </w:tcBorders>
            <w:tcW w:w="400" w:type="dxa"/>
          </w:tcPr>
          <w:p>
            <w:pPr>
              <w:jc w:val="center"/>
              <w:spacing w:before="10" w:after="10"/>
            </w:pPr>
            <w:r/>
            <w:r>
              <w:rPr>
                <w:rFonts w:ascii="Times New Roman" w:hAnsi="Times New Roman"/>
                <w:sz w:val="16"/>
              </w:rPr>
              <w:t>DD</w:t>
            </w:r>
          </w:p>
        </w:tc>
        <w:tc>
          <w:tcPr>
            <w:tcBorders>
              <w:bottom w:val="double" w:sz="4" w:space="0" w:color="auto"/>
            </w:tcBorders>
            <w:tcW w:w="1100" w:type="dxa"/>
          </w:tcPr>
          <w:p>
            <w:pPr>
              <w:jc w:val="left"/>
              <w:spacing w:before="10" w:after="10"/>
            </w:pPr>
            <w:r/>
            <w:r>
              <w:rPr>
                <w:rFonts w:ascii="Times New Roman" w:hAnsi="Times New Roman"/>
                <w:sz w:val="16"/>
              </w:rPr>
              <w:t>Poland</w:t>
            </w:r>
          </w:p>
        </w:tc>
        <w:tc>
          <w:tcPr>
            <w:tcBorders>
              <w:bottom w:val="double" w:sz="4" w:space="0" w:color="auto"/>
            </w:tcBorders>
            <w:tcW w:w="500" w:type="dxa"/>
          </w:tcPr>
          <w:p>
            <w:pPr>
              <w:jc w:val="center"/>
              <w:spacing w:before="10" w:after="10"/>
            </w:pPr>
            <w:r/>
            <w:r>
              <w:rPr>
                <w:rFonts w:ascii="Times New Roman" w:hAnsi="Times New Roman"/>
                <w:sz w:val="16"/>
              </w:rPr>
              <w:t>$1.91</w:t>
            </w:r>
          </w:p>
        </w:tc>
        <w:tc>
          <w:tcPr>
            <w:tcBorders>
              <w:bottom w:val="double" w:sz="4" w:space="0" w:color="auto"/>
            </w:tcBorders>
            <w:tcW w:w="40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(4) CR + host WACC: cost-recovery prices with hardware amortization computed at the host country’s weighted average cost of capital (HIC 8%, UMIC 12%, LMIC 15%, LIC 18%; annuity formula applied over a three-year GPU life). This column isolates the cost-of-capital channel that is otherwise absorbed by the uniform ρ in columns (1)–(3).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$0.053</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$0.056</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$0.062</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$0.071</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$0.092</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$0.098</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$0.099</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$0.130</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$0.107</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$0.108</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$0.117</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$0.121</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$0.124</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$0.133</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$0.134</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$0.147</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$0.137</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$0.166</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Pr>
                <w:b/>
              </w:rPr>
            </w:r>
            <w:r>
              <w:rPr>
                <w:sz w:val="16"/>
                <w:b/>
              </w:rPr>
              <w:t>$0.161</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$0.164</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$0.169</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$0.174</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$0.135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$0.173</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$0.167</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$0.163</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$0.191</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$0.182</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$0.190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Pr>
                <w:b/>
              </w:rPr>
            </w:r>
            <w:r>
              <w:rPr>
                <w:sz w:val="16"/>
                <w:b/>
              </w:rPr>
              <w:t>$0.152</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$0.192</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$0.203</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$0.218</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$0.220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$0.249</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11</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11</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11</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Kosovo, Canada,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41" w:name="ADB2020txt"/>
      <w:hyperlink w:anchor="ADB2020" w:history="1">
        <w:r>
          <w:rPr>
            <w:color w:val="1F3864"/>
            <w:u w:val="single"/>
          </w:rPr>
          <w:t xml:space="preserve">ADB 2020</w:t>
        </w:r>
      </w:hyperlink>
      <w:bookmarkEnd w:id="241"/>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p>
      <w:pPr>
        <w:pStyle w:val="Heading1"/>
      </w:pPr>
      <w:r>
        <w:rPr>
          <w:rFonts w:ascii="Times New Roman" w:hAnsi="Times New Roman"/>
          <w:b/>
          <w:color w:val="2F5496"/>
          <w:sz w:val="28"/>
        </w:rPr>
        <w:t>Appendix G: Symmetric LRMC Construction</w:t>
      </w:r>
    </w:p>
    <w:p>
      <w:pPr>
        <w:spacing w:before="0" w:after="160" w:line="360" w:lineRule="auto"/>
        <w:ind w:firstLine="0"/>
        <w:jc w:val="both"/>
      </w:pPr>
      <w:r>
        <w:t xml:space="preserve">The cost-recovery specification in earlier versions of this paper adjusted electricity prices downward for thirteen developing countries whose observed industrial tariffs reflect explicit fossil-fuel subsidies (</w:t>
      </w:r>
      <w:bookmarkStart w:id="242" w:name="IMF2025txt"/>
      <w:hyperlink w:anchor="IMF2025" w:history="1">
        <w:r>
          <w:rPr>
            <w:color w:val="1F3864"/>
            <w:u w:val="single"/>
          </w:rPr>
          <w:t xml:space="preserve">IMF 2025</w:t>
        </w:r>
      </w:hyperlink>
      <w:bookmarkEnd w:id="242"/>
      <w:r>
        <w:t xml:space="preserve">), replacing subsidized tariffs with the estimated long-run marginal cost of the dominant generation technology at opportunity-cost fuel prices. No symmetric correction was applied to OECD and high-income tariffs, which also embed distortions: emissions externalities not priced at the retail meter, industrial cross-subsidies financed by residential and commercial rate classes, and regulated-access privileges for incumbents. The asymmetry biases the cross-country cost spread in favor of OECD economies. This appendix constructs a symmetric LRMC specification that corrects distortions on both sides.</w:t>
      </w:r>
    </w:p>
    <w:p>
      <w:pPr>
        <w:spacing w:before="0" w:after="160" w:line="360" w:lineRule="auto"/>
        <w:ind w:firstLine="0"/>
        <w:jc w:val="both"/>
      </w:pPr>
      <w:r>
        <w:t>Of the 85 calibrated countries, 13 retain the IMF-based LRMC replacement used throughout the paper (Iran, Turkmenistan, Algeria, Egypt, Qatar, Saudi Arabia, United Arab Emirates, Russia, Kazakhstan, Nigeria, South Africa, Ethiopia, and Uzbekistan). Forty-three OECD, EU non-OECD, and high-income non-OECD countries receive a symmetric adjustment. Twenty-nine middle-income developing economies whose observed industrial tariffs already approximate long-run marginal cost retain their observed prices. Three countries (Qatar, Saudi Arabia, United Arab Emirates) appear in both the developing-country subsidy set and the high-income non-OECD set; the IMF-based treatment dominates and no layering is applied.</w:t>
      </w:r>
    </w:p>
    <w:p>
      <w:pPr>
        <w:spacing w:before="0" w:after="160" w:line="360" w:lineRule="auto"/>
        <w:ind w:firstLine="0"/>
        <w:jc w:val="both"/>
      </w:pPr>
      <w:r>
        <w:t>The carbon-price adder equals the 2024 grid carbon intensity in grams of CO₂ per kilowatt-hour (EMBER Yearly Electricity Data 2025 release) multiplied by the 2024 annual-average price under the applicable emissions-trading or carbon-tax regime: EU ETS ($70.94 per tonne, applied to EU27 plus Norway, Iceland, and Switzerland via the linked Swiss ETS), UK ETS ($47.32), Canadian federal backstop ($58.48), California Cap-and-Trade plus RGGI coverage-weighted for the United States ($3.81 effective national average), New Zealand ETS ($39.50), and Singapore carbon tax ($18.60). Nominal instruments with effective prices below ten dollars per tonne (Korea K-ETS, Japanese carbon tax, Australian safeguard mechanism, Israel, Chile, Mexico, Turkey, Colombia) are set to zero.</w:t>
      </w:r>
    </w:p>
    <w:p>
      <w:pPr>
        <w:spacing w:before="0" w:after="160" w:line="360" w:lineRule="auto"/>
        <w:ind w:firstLine="0"/>
        <w:jc w:val="both"/>
      </w:pPr>
      <w:r>
        <w:t>Only well-documented, quantified industrial cross-subsidies exceeding $0.005 per kilowatt-hour are included. Germany receives the largest add-back ($0.038/kWh) reflecting the EEG renewables-surcharge exemption and grid-fee exemption for energy-intensive industry (Agora Energiewende; BDEW). France receives $0.015/kWh for post-ARENH regulated nuclear access. Spain, Italy, the Netherlands, and Belgium receive $0.010/kWh each from the Eurostat nrg_pc_205 subsidies column (industrial band IB6). The United States receives $0.015/kWh reflecting the industrial–residential rate differential in excess of cost-of-service documented by Borenstein (2012) and Davis and Hausman (2016). Korea receives $0.020/kWh reflecting KEPCO industrial tariffs below cost-of-service (OECD Energy Policy Review). All other countries receive zero.</w:t>
      </w:r>
    </w:p>
    <w:p>
      <w:pPr>
        <w:spacing w:before="0" w:after="160" w:line="360" w:lineRule="auto"/>
        <w:ind w:firstLine="0"/>
        <w:jc w:val="both"/>
      </w:pPr>
      <w:r>
        <w:t>Three choices warrant note. First, the carbon adder uses 2024 annual-average market prices, not the social cost of carbon; using US EPA (2023) social-cost values would widen the OECD adjustment further. Second, we use existing-asset variable cost rather than replacement-cost capital for OECD nuclear and hydro; a replacement-cost treatment would raise Norwegian and French LRMCs materially. Third, the largest ten changes in per-kWh prices occur in Germany, Poland, Cyprus, Estonia, Netherlands, Czechia, Italy, Bulgaria, Malta, and Greece; the corresponding rank shifts in Table A1 illustrate how the symmetric specification reallocates comparative advantage toward countries with cleaner grids or cost-reflective tariffs rather than toward those with below-marginal-cost industrial rates.</w:t>
      </w:r>
    </w:p>
    <w:p>
      <w:pPr>
        <w:spacing w:before="0" w:after="160" w:line="360" w:lineRule="auto"/>
        <w:ind w:firstLine="0"/>
        <w:jc w:val="both"/>
      </w:pPr>
      <w:r>
        <w:t>Under the symmetric LRMC specification, the five cheapest producers are Kyrgyzstan, Ethiopia, Kosovo, Canada, and Tajikistan. Canada drops from rank 2 to rank 4 on a small $0.008 per kilowatt-hour carbon adder. Poland falls 21 positions, Germany 10, the United States 10, and France 12. Nordic low-carbon grids and Switzerland move by two positions or fewer. The qualitative conclusion is strengthened, not overturned: countries with cheap, clean electricity retain their cost advantage once both sides of the distortion are corrected.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 I thank Ivan Torre, Christine Ann McDaniel, and Erhan Artuc for their constructive comments.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7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At the same time,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there exists some country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Ethiopia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