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Compute Exports as a New Industry for Developing Countries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v24  —  February 22, 2026  16:28</w:t>
      </w:r>
    </w:p>
    <w:p>
      <w:pPr>
        <w:spacing w:before="240" w:after="160" w:line="240" w:lineRule="auto"/>
        <w:ind w:firstLine="0" w:left="720" w:right="720"/>
        <w:jc w:val="both"/>
      </w:pPr>
      <w:r>
        <w:rPr>
          <w:b/>
        </w:rPr>
        <w:t>Abstract</w:t>
      </w:r>
      <w:r>
        <w:t>: This paper develops a trade model in which AI compute is produced and traded internationally. Latency-insensitive AI training can be offshored to the lowest-cost producers, while latency-sensitive inference favors proximity to users; a bilateral sovereignty premium captures governments’ preference for domestic data processing, varying with geopolitical alignment, regulatory compatibility, and sanctions. Calibration across 85 countries shows that energy-abundant economies have a comparative advantage in training compute, while regional inference hubs form around major demand centers. Because hardware costs are globally uniform, cross-country cost differences are small, making production efficiency, bilateral trade frictions, and policy constraints decisive for the location of compute facilities. For energy-rich developing countries with limited export diversification, compute exports offer a route to convert natural resources into high-value digital services and integrate into the global economy.</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4" w:name="EpochAI2024txt"/>
      <w:hyperlink w:anchor="EpochAI2024" w:history="1">
        <w:r>
          <w:rPr>
            <w:color w:val="1F3864"/>
            <w:u w:val="single"/>
          </w:rPr>
          <w:t xml:space="preserve">Epoch AI 2024</w:t>
        </w:r>
      </w:hyperlink>
      <w:bookmarkEnd w:id="234"/>
      <w:r>
        <w:t xml:space="preserve">). Data centers accounted for approximately 1.5% of global electricity demand in 2024—more than the electricity consumption of France—a share projected to more than double by 2030 (</w:t>
      </w:r>
      <w:bookmarkStart w:id="249" w:name="IEA2025txt"/>
      <w:hyperlink w:anchor="IEA2025" w:history="1">
        <w:r>
          <w:rPr>
            <w:color w:val="1F3864"/>
            <w:u w:val="single"/>
          </w:rPr>
          <w:t xml:space="preserve">IEA 2025</w:t>
        </w:r>
      </w:hyperlink>
      <w:bookmarkEnd w:id="249"/>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for compute creates a new type of export opportunity. This paper refers to the production of compute services in one country for consumption in another as </w:t>
      </w:r>
      <w:r>
        <w:rPr>
          <w:i/>
        </w:rPr>
        <w:t>FLOP exporting</w:t>
      </w:r>
      <w:r>
        <w:t xml:space="preserve">. FLOP exporting is a form of value chain upgrading. Rather than exporting raw energy resources as primary commodities, countries can convert electricity into a higher value-added digital service. For resource-rich developing countries, FLOP exporting could offer a route up the value chain without the heavy industrialization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The opportunity is particularly relevant for the Europe and Central Asia (ECA) region. Several ECA countries, including Turkmenistan, Kyrgyzstan, and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the development of digital infrastructure. Export-oriented capacity can also later serve the domestic market as local AI demand grows.</w:t>
      </w:r>
    </w:p>
    <w:p>
      <w:pPr>
        <w:spacing w:before="0" w:after="160"/>
        <w:ind w:firstLine="0"/>
        <w:jc w:val="both"/>
      </w:pPr>
      <w:r>
        <w:t xml:space="preserve">Recent megaprojects across Africa, the Middle East, and Central Asia suggest that FLOP exporting is technically and commercially feasible. Armenia is deploying 50,000 GPUs in a $4 billion investment (</w:t>
      </w:r>
      <w:bookmarkStart w:id="202" w:name="Firebird2026txt"/>
      <w:hyperlink w:anchor="Firebird2026" w:history="1">
        <w:r>
          <w:rPr>
            <w:color w:val="1F3864"/>
            <w:u w:val="single"/>
          </w:rPr>
          <w:t xml:space="preserve">Firebird 2026</w:t>
        </w:r>
      </w:hyperlink>
      <w:bookmarkEnd w:id="202"/>
      <w:r>
        <w:t xml:space="preserve">), while Kenya, Saudi Arabia, Morocco, Malaysia, and Indonesia have each attracted billion-dollar data center commitments.</w:t>
      </w:r>
      <w:r>
        <w:rPr>
          <w:rStyle w:val="FootnoteReference"/>
        </w:rPr>
        <w:footnoteReference w:id="4"/>
      </w:r>
      <w:r>
        <w:t xml:space="preserve"> Cloud computing exports already exceed $9 billion annually, with the United States accounting for 87% of the global total (</w:t>
      </w:r>
      <w:bookmarkStart w:id="203" w:name="WorldBank2025txt"/>
      <w:hyperlink w:anchor="WorldBank2025" w:history="1">
        <w:r>
          <w:rPr>
            <w:color w:val="1F3864"/>
            <w:u w:val="single"/>
          </w:rPr>
          <w:t xml:space="preserve">World Bank 2025</w:t>
        </w:r>
      </w:hyperlink>
      <w:bookmarkEnd w:id="203"/>
      <w:r>
        <w:t xml:space="preserve">). A 40 MW data center in Kyrgyzstan could generate annual revenue of $630–950 million at wholesale contract rates, equivalent to over 15% of Kyrgyzstan’s $3.8 billion in goods exports (</w:t>
      </w:r>
      <w:bookmarkStart w:id="235" w:name="WorldBank2024txt"/>
      <w:hyperlink w:anchor="WorldBank2024" w:history="1">
        <w:r>
          <w:rPr>
            <w:color w:val="1F3864"/>
            <w:u w:val="single"/>
          </w:rPr>
          <w:t xml:space="preserve">World Bank 2024</w:t>
        </w:r>
      </w:hyperlink>
      <w:bookmarkEnd w:id="235"/>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36" w:name="Sastry2024txt"/>
      <w:hyperlink w:anchor="Sastry2024" w:history="1">
        <w:r>
          <w:rPr>
            <w:color w:val="1F3864"/>
            <w:u w:val="single"/>
          </w:rPr>
          <w:t xml:space="preserve">Sastry et al. 2024</w:t>
        </w:r>
      </w:hyperlink>
      <w:bookmarkEnd w:id="236"/>
      <w:r>
        <w:t xml:space="preserve">, </w:t>
      </w:r>
      <w:bookmarkStart w:id="204" w:name="Lehdonvirta2024txt"/>
      <w:hyperlink w:anchor="Lehdonvirta2024" w:history="1">
        <w:r>
          <w:rPr>
            <w:color w:val="1F3864"/>
            <w:u w:val="single"/>
          </w:rPr>
          <w:t xml:space="preserve">Lehdonvirta et al. 2024</w:t>
        </w:r>
      </w:hyperlink>
      <w:bookmarkEnd w:id="204"/>
      <w:r>
        <w:t xml:space="preserve">, </w:t>
      </w:r>
      <w:bookmarkStart w:id="237" w:name="Pilz2025txt"/>
      <w:hyperlink w:anchor="Pilz2025" w:history="1">
        <w:r>
          <w:rPr>
            <w:color w:val="1F3864"/>
            <w:u w:val="single"/>
          </w:rPr>
          <w:t xml:space="preserve">Pilz et al. 2025</w:t>
        </w:r>
      </w:hyperlink>
      <w:bookmarkEnd w:id="237"/>
      <w:r>
        <w:t xml:space="preserve">), but no formal trade model of compute exists. This paper offers the first such model, treating FLOPs as commodities produced and exported according to Ricardian comparative advantage. The paper makes three contributions. First, it develops a capacity-constrained Ricardian model in which countries produce and export compute services, facing an iceberg trade cost that captures inference latency degradation and a sovereignty premium reflecting governments’ preference for domestic data processing, varying with geopolitical alignment, regulatory compatibility, and sanctions exposure. Capacity ceilings generate market-clearing prices and scarcity rents, yielding predictions about market concentration, export patterns, and the value of grid expansion.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spacing w:before="0" w:after="160"/>
        <w:ind w:firstLine="0"/>
        <w:jc w:val="both"/>
      </w:pPr>
      <w:r>
        <w:t>The calibration reveals that cheap electricity and favorable cooling conditions are necessary but not sufficient for competitive compute exporting. Hardware amortization accounts for over 80 percent of the compute unit cost and is identical across countries, compressing the total cost spread to roughly 12 percent across 85 countries. Since electricity and construction account for only a small share of total cost, cross-country cost differences are narrow. Once production-efficiency penalties for grid outages and weak governance are applied, the cost ranking changes substantially. Bilateral trade frictions—geopolitical distance, regulatory incompatibility, and sanctions—further reshape trade patterns. Several energy-abundant but institutionally fragile economies fall out of the top tier, replaced by countries with more reliable grids and stronger institutions at moderately higher energy costs. Durable comparative advantage requires credible production efficiency alongside low energy costs, while market access depends on bilateral trust and regulatory alignment.</w:t>
      </w:r>
    </w:p>
    <w:p>
      <w:pPr>
        <w:spacing w:before="0" w:after="160"/>
        <w:ind w:firstLine="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and discusses the results. Section 7 concludes.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6" w:name="Korinek2021txt"/>
      <w:hyperlink w:anchor="Korinek2021" w:history="1">
        <w:r>
          <w:rPr>
            <w:color w:val="1F3864"/>
            <w:u w:val="single"/>
          </w:rPr>
          <w:t xml:space="preserve">Korinek and Stiglitz (2021)</w:t>
        </w:r>
      </w:hyperlink>
      <w:bookmarkEnd w:id="206"/>
      <w:r>
        <w:t xml:space="preserve"> suggest that developing countries could be left behind in the AI revolution. FLOP exporting offers a route for energy-rich developing countries to participate in that revolution. The concept of FLOP exporting as value chain upgrading connects to </w:t>
      </w:r>
      <w:bookmarkStart w:id="250" w:name="Hausmann2007txt"/>
      <w:hyperlink w:anchor="Hausmann2007" w:history="1">
        <w:r>
          <w:rPr>
            <w:color w:val="1F3864"/>
            <w:u w:val="single"/>
          </w:rPr>
          <w:t xml:space="preserve">Hausmann et al. (2007)</w:t>
        </w:r>
      </w:hyperlink>
      <w:bookmarkEnd w:id="250"/>
      <w:r>
        <w:t xml:space="preserve">, who show that what a country exports matters for growth. </w:t>
      </w:r>
      <w:bookmarkStart w:id="238" w:name="Limao2001txt"/>
      <w:hyperlink w:anchor="Limao2001" w:history="1">
        <w:r>
          <w:rPr>
            <w:color w:val="1F3864"/>
            <w:u w:val="single"/>
          </w:rPr>
          <w:t xml:space="preserve">Limão and Venables (2001)</w:t>
        </w:r>
      </w:hyperlink>
      <w:bookmarkEnd w:id="238"/>
      <w:r>
        <w:t xml:space="preserve"> demonstrate that infrastructure quality determines trade costs. In our model, network infrastructure plays the analogous role for digital trade.</w:t>
      </w:r>
    </w:p>
    <w:p>
      <w:pPr>
        <w:spacing w:before="0" w:after="160"/>
        <w:ind w:firstLine="0"/>
        <w:jc w:val="both"/>
      </w:pPr>
      <w:r>
        <w:t xml:space="preserve">Several studies examine the determinants of data center location.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51" w:name="Liu2023txt"/>
      <w:hyperlink w:anchor="Liu2023" w:history="1">
        <w:r>
          <w:rPr>
            <w:color w:val="1F3864"/>
            <w:u w:val="single"/>
          </w:rPr>
          <w:t xml:space="preserve">Liu et al. (2023)</w:t>
        </w:r>
      </w:hyperlink>
      <w:bookmarkEnd w:id="251"/>
      <w:r>
        <w:t xml:space="preserve"> study data center placement under renewable energy constraints. These studies focus on where firms should build data centers. In international trade theory, </w:t>
      </w:r>
      <w:bookmarkStart w:id="256" w:name="Brainard1997txt"/>
      <w:hyperlink w:anchor="Brainard1997" w:history="1">
        <w:r>
          <w:rPr>
            <w:color w:val="1F3864"/>
            <w:u w:val="single"/>
          </w:rPr>
          <w:t xml:space="preserve">Brainard (1997)</w:t>
        </w:r>
      </w:hyperlink>
      <w:bookmarkEnd w:id="256"/>
      <w:r>
        <w:t xml:space="preserve"> formalizes the proximity-concentration trade-off between serving a market locally and concentrating production abroad, and </w:t>
      </w:r>
      <w:bookmarkStart w:id="239" w:name="HMY2004txt"/>
      <w:hyperlink w:anchor="HMY2004" w:history="1">
        <w:r>
          <w:rPr>
            <w:color w:val="1F3864"/>
            <w:u w:val="single"/>
          </w:rPr>
          <w:t xml:space="preserve">Helpman et al. (2004)</w:t>
        </w:r>
      </w:hyperlink>
      <w:bookmarkEnd w:id="239"/>
      <w:r>
        <w:t xml:space="preserve"> extend this to heterogeneous firms choosing between exporting and FDI.</w:t>
      </w:r>
    </w:p>
    <w:p>
      <w:pPr>
        <w:spacing w:before="0" w:after="160"/>
        <w:ind w:firstLine="0"/>
        <w:jc w:val="both"/>
      </w:pPr>
      <w:r>
        <w:t xml:space="preserve">On the governance side, </w:t>
      </w:r>
      <w:bookmarkStart w:id="240" w:name="Sastry2024txt"/>
      <w:hyperlink w:anchor="Sastry2024" w:history="1">
        <w:r>
          <w:rPr>
            <w:color w:val="1F3864"/>
            <w:u w:val="single"/>
          </w:rPr>
          <w:t xml:space="preserve">Sastry et al. (2024)</w:t>
        </w:r>
      </w:hyperlink>
      <w:bookmarkEnd w:id="240"/>
      <w:r>
        <w:t xml:space="preserve"> argue that compute is well-suited for regulation because governments can track the number of chips in circulation, restrict who can buy them, and measure how much computation they perform. </w:t>
      </w:r>
      <w:bookmarkStart w:id="208" w:name="Lehdonvirta2024txt"/>
      <w:hyperlink w:anchor="Lehdonvirta2024" w:history="1">
        <w:r>
          <w:rPr>
            <w:color w:val="1F3864"/>
            <w:u w:val="single"/>
          </w:rPr>
          <w:t xml:space="preserve">Lehdonvirta et al. (2024)</w:t>
        </w:r>
      </w:hyperlink>
      <w:bookmarkEnd w:id="208"/>
      <w:r>
        <w:t xml:space="preserve"> map the global geography of cloud GPU infrastructure, distinguishing a “Compute North” with training-capable hardware from a “Compute South” limited to inference-grade chips. </w:t>
      </w:r>
      <w:bookmarkStart w:id="257" w:name="Pilz2025txt"/>
      <w:hyperlink w:anchor="Pilz2025" w:history="1">
        <w:r>
          <w:rPr>
            <w:color w:val="1F3864"/>
            <w:u w:val="single"/>
          </w:rPr>
          <w:t xml:space="preserve">Pilz et al. (2025)</w:t>
        </w:r>
      </w:hyperlink>
      <w:bookmarkEnd w:id="257"/>
      <w:r>
        <w:t xml:space="preserve"> project that AI data center power demand could reach 327 GW by 2030 and that domestic power shortages may push compute infrastructure abroad. The </w:t>
      </w:r>
      <w:bookmarkStart w:id="258" w:name="WorldBank2025txt"/>
      <w:hyperlink w:anchor="WorldBank2025" w:history="1">
        <w:r>
          <w:rPr>
            <w:color w:val="1F3864"/>
            <w:u w:val="single"/>
          </w:rPr>
          <w:t xml:space="preserve">World Bank (2025)</w:t>
        </w:r>
      </w:hyperlink>
      <w:bookmarkEnd w:id="258"/>
      <w:r>
        <w:t xml:space="preserve"> documents the resulting global compute divide: high-income countries hold 77% of colocation data center capacity and account for 87% of cloud computing exports (</w:t>
      </w:r>
      <w:bookmarkStart w:id="252" w:name="Stojkoski2024txt"/>
      <w:hyperlink w:anchor="Stojkoski2024" w:history="1">
        <w:r>
          <w:rPr>
            <w:color w:val="1F3864"/>
            <w:u w:val="single"/>
          </w:rPr>
          <w:t xml:space="preserve">Stojkoski et al. 2024</w:t>
        </w:r>
      </w:hyperlink>
      <w:bookmarkEnd w:id="252"/>
      <w:r>
        <w:t xml:space="preserve">), but the report offers descriptive evidence without a formal framework linking production costs to trade patterns. On the industrial organization side, </w:t>
      </w:r>
      <w:bookmarkStart w:id="241" w:name="Biglaiser2024txt"/>
      <w:hyperlink w:anchor="Biglaiser2024" w:history="1">
        <w:r>
          <w:rPr>
            <w:color w:val="1F3864"/>
            <w:u w:val="single"/>
          </w:rPr>
          <w:t xml:space="preserve">Biglaiser et al. (2024)</w:t>
        </w:r>
      </w:hyperlink>
      <w:bookmarkEnd w:id="241"/>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w:t>
      </w:r>
    </w:p>
    <w:p>
      <w:pPr>
        <w:pStyle w:val="Heading1"/>
      </w:pPr>
      <w:r>
        <w:rPr>
          <w:rFonts w:ascii="Times New Roman" w:hAnsi="Times New Roman"/>
          <w:b/>
          <w:color w:val="2F5496"/>
          <w:sz w:val="28"/>
        </w:rPr>
        <w:t>3. Model Setup</w:t>
      </w:r>
    </w:p>
    <w:p>
      <w:pPr>
        <w:spacing w:before="0" w:after="160"/>
        <w:ind w:firstLine="0"/>
        <w:jc w:val="both"/>
      </w:pPr>
      <w:r>
        <w:t>The existing literature documents where compute infrastructure is located and who controls it, but no formal framework links production costs to trade patterns. 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r>
        <w:rPr>
          <w:rStyle w:val="FootnoteReference"/>
        </w:rPr>
        <w:footnoteReference w:id="6"/>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9" w:name="Ohlin1933txt"/>
      <w:hyperlink w:anchor="Ohlin1933" w:history="1">
        <w:r>
          <w:rPr>
            <w:color w:val="1F3864"/>
            <w:u w:val="single"/>
          </w:rPr>
          <w:t xml:space="preserve">Ohlin 1933</w:t>
        </w:r>
      </w:hyperlink>
      <w:bookmarkEnd w:id="209"/>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proportional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three observables: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10" w:name="BaileyEtAl2017txt"/>
      <w:hyperlink w:anchor="BaileyEtAl2017" w:history="1">
        <w:r>
          <w:rPr>
            <w:color w:val="1F3864"/>
            <w:u w:val="single"/>
          </w:rPr>
          <w:t xml:space="preserve">Bailey, Strezhnev, and Voeten 2017</w:t>
        </w:r>
      </w:hyperlink>
      <w:bookmarkEnd w:id="210"/>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 xml:space="preserve">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0.05–0.10. The coefficients are calibrated in Section 6.1.</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(0, 1]</m:t>
        </m:r>
      </m:oMath>
      <w:r>
        <w:t xml:space="preserve"> is a production-efficiency index that captures factors reducing the real output of a GPU-hour in country </w:t>
      </w:r>
      <m:oMath>
        <m:r>
          <m:rPr>
            <m:sty m:val="i"/>
          </m:rPr>
          <w:rPr>
            <w:rFonts w:ascii="Cambria Math" w:hAnsi="Cambria Math"/>
          </w:rPr>
          <m:t xml:space="preserve">j</m:t>
        </m:r>
      </m:oMath>
      <w:r>
        <w:t xml:space="preserve">. It is constructed as the product of two normalized scores: grid reliability (inverse of hours without electricity per firm per year) and operational risk (a composite of contract enforcement, expropriation risk, and regulatory predictability). It approaches one for countries with reliable power and sound institutions, and falls below one where outages or operational risk reduce effective delivery. Sanctions, data-protection trust, and regulatory compatibility do not enter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because they affect trade willingness between specific country pairs, not the physical cost of producing a GPU-hour; these frictions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This iceberg formulation parallels </w:t>
      </w:r>
      <w:bookmarkStart w:id="211" w:name="Hummels2013txt"/>
      <w:hyperlink w:anchor="Hummels2013" w:history="1">
        <w:r>
          <w:rPr>
            <w:color w:val="1F3864"/>
            <w:u w:val="single"/>
          </w:rPr>
          <w:t xml:space="preserve">Hummels and Schaur (2013)</w:t>
        </w:r>
      </w:hyperlink>
      <w:bookmarkEnd w:id="211"/>
      <w:r>
        <w:t xml:space="preserve">, who estimate that each day of shipping time is equivalent to a tariff; here, milliseconds replace days.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reduces to the production cost plus the sovereignty markup, and distance plays no role.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The paper measures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can be considered to be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xml:space="preserve">) and three possible statuses (export, domestic production, import), there are nine potential regime combinations. In equilibrium, only five are realized.(i)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 By Proposition 4, every training exporter also exports inference within its latency neighborhood.</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also justifies domestic inference, which additionally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Define the Herfindahl–Hirschman Index (HHI), a standard measure of market concentration equal to the sum of squared market shares</w:t>
      </w:r>
      <w:r>
        <w:rPr>
          <w:rStyle w:val="FootnoteReference"/>
        </w:rPr>
        <w:footnoteReference w:id="11"/>
      </w:r>
      <w:r>
        <w:t xml:space="preserve">,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the paper uses prices from Eurostat (industrial band, 20,000–69,999) (</w:t>
      </w:r>
      <w:bookmarkStart w:id="242" w:name="Eurostat2025txt"/>
      <w:hyperlink w:anchor="Eurostat2025" w:history="1">
        <w:r>
          <w:rPr>
            <w:color w:val="1F3864"/>
            <w:u w:val="single"/>
          </w:rPr>
          <w:t xml:space="preserve">Eurostat 2025</w:t>
        </w:r>
      </w:hyperlink>
      <w:bookmarkEnd w:id="242"/>
      <w:r>
        <w:t xml:space="preserve">). For non-European countries, the prices are obtained from national regulator tariff sheets and secondary sources, including the U.S. Energy Information Administration (</w:t>
      </w:r>
      <w:bookmarkStart w:id="253" w:name="EIA2025txt"/>
      <w:hyperlink w:anchor="EIA2025" w:history="1">
        <w:r>
          <w:rPr>
            <w:color w:val="1F3864"/>
            <w:u w:val="single"/>
          </w:rPr>
          <w:t xml:space="preserve">EIA 2025</w:t>
        </w:r>
      </w:hyperlink>
      <w:bookmarkEnd w:id="253"/>
      <w:r>
        <w:t xml:space="preserve">) for the United States, KEPCO for South Korea, national utility tariffs for Central Asian countries, and </w:t>
      </w:r>
      <w:bookmarkStart w:id="212" w:name="GlobalPetrolPrices2025txt"/>
      <w:hyperlink w:anchor="GlobalPetrolPrices2025" w:history="1">
        <w:r>
          <w:rPr>
            <w:color w:val="1F3864"/>
            <w:u w:val="single"/>
          </w:rPr>
          <w:t xml:space="preserve">GlobalPetrolPrices (2025)</w:t>
        </w:r>
      </w:hyperlink>
      <w:bookmarkEnd w:id="212"/>
      <w:r>
        <w:t xml:space="preserve"> for the remaining countries. All prices are converted to $/kWh at 2024 average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computed from ERA5 reanalysis data (</w:t>
      </w:r>
      <w:bookmarkStart w:id="213" w:name="Hersbach2020txt"/>
      <w:hyperlink w:anchor="Hersbach2020" w:history="1">
        <w:r>
          <w:rPr>
            <w:color w:val="1F3864"/>
            <w:u w:val="single"/>
          </w:rPr>
          <w:t xml:space="preserve">Hersbach et al. 2020</w:t>
        </w:r>
      </w:hyperlink>
      <w:bookmarkEnd w:id="213"/>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4" w:name="TurnerTownsend2025txt"/>
      <w:hyperlink w:anchor="TurnerTownsend2025" w:history="1">
        <w:r>
          <w:rPr>
            <w:color w:val="1F3864"/>
            <w:u w:val="single"/>
          </w:rPr>
          <w:t xml:space="preserve">Turner &amp; Townsend 2025</w:t>
        </w:r>
      </w:hyperlink>
      <w:bookmarkEnd w:id="214"/>
      <w:r>
        <w:t xml:space="preserve">), for 37 countries. For the remaining countries, costs are predicted (Appendix E). Since construction is only 3–6% of total per-GPU-hour costs, imputation error has a limited impact on cost rankings.</w:t>
      </w:r>
      <w:r>
        <w:rPr>
          <w:rStyle w:val="FootnoteReference"/>
        </w:rPr>
        <w:footnoteReference w:id="12"/>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5" w:name="WonderNetwork2024txt"/>
      <w:hyperlink w:anchor="WonderNetwork2024" w:history="1">
        <w:r>
          <w:rPr>
            <w:color w:val="1F3864"/>
            <w:u w:val="single"/>
          </w:rPr>
          <w:t xml:space="preserve">WonderNetwork 2024</w:t>
        </w:r>
      </w:hyperlink>
      <w:bookmarkEnd w:id="215"/>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come from industry reports (Synergy Research, Cushman &amp; Wakefield, CBRE, Mordor Intelligence). For smaller markets, capacity is estimated from facility counts (</w:t>
      </w:r>
      <w:bookmarkStart w:id="216" w:name="Cloudscene2025txt"/>
      <w:hyperlink w:anchor="Cloudscene2025" w:history="1">
        <w:r>
          <w:rPr>
            <w:color w:val="1F3864"/>
            <w:u w:val="single"/>
          </w:rPr>
          <w:t xml:space="preserve">Cloudscene 2025</w:t>
        </w:r>
      </w:hyperlink>
      <w:bookmarkEnd w:id="216"/>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pStyle w:val="Heading1"/>
      </w:pPr>
      <w:r>
        <w:rPr>
          <w:rFonts w:ascii="Times New Roman" w:hAnsi="Times New Roman"/>
          <w:b/>
          <w:color w:val="2F5496"/>
          <w:sz w:val="28"/>
        </w:rPr>
        <w:t>6. Calibration and Discussion</w:t>
      </w:r>
    </w:p>
    <w:p>
      <w:pPr>
        <w:spacing w:before="0" w:after="160"/>
        <w:ind w:firstLine="0"/>
        <w:jc w:val="both"/>
      </w:pPr>
      <w:r>
        <w:t xml:space="preserve">The model is calibrated for </w:t>
      </w:r>
      <m:oMath>
        <m:r>
          <m:rPr>
            <m:sty m:val="i"/>
          </m:rPr>
          <w:rPr>
            <w:rFonts w:ascii="Cambria Math" w:hAnsi="Cambria Math"/>
          </w:rPr>
          <m:t xml:space="preserve">N</m:t>
        </m:r>
        <m:r>
          <m:rPr>
            <m:sty m:val="p"/>
          </m:rPr>
          <w:rPr>
            <w:rFonts w:ascii="Cambria Math" w:hAnsi="Cambria Math"/>
          </w:rPr>
          <m:t xml:space="preserve"> = 85</m:t>
        </m:r>
      </m:oMath>
      <w:r>
        <w:t xml:space="preserve"> countries (30 in ECA, 55 non-ECA comparators). </w:t>
      </w:r>
      <w:r>
        <w:t xml:space="preserve">The unit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represents the total hourly cost of operating one GPU in country </w:t>
      </w:r>
      <m:oMath>
        <m:r>
          <m:rPr>
            <m:sty m:val="i"/>
          </m:rPr>
          <w:rPr>
            <w:rFonts w:ascii="Cambria Math" w:hAnsi="Cambria Math"/>
          </w:rPr>
          <m:t xml:space="preserve">j</m:t>
        </m:r>
      </m:oMath>
      <w:r>
        <w:t>, measured in dollars per GPU-hour ($/hr).</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fleet-wide PUE for facilities with free-air cooling in cold climates (</w:t>
      </w:r>
      <w:bookmarkStart w:id="217" w:name="UptimeInstitute2024txt"/>
      <w:hyperlink w:anchor="UptimeInstitute2024" w:history="1">
        <w:r>
          <w:rPr>
            <w:color w:val="1F3864"/>
            <w:u w:val="single"/>
          </w:rPr>
          <w:t xml:space="preserve">Uptime Institute 2024</w:t>
        </w:r>
      </w:hyperlink>
      <w:bookmarkEnd w:id="217"/>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8" w:name="Liu2023txt"/>
      <w:hyperlink w:anchor="Liu2023" w:history="1">
        <w:r>
          <w:rPr>
            <w:color w:val="1F3864"/>
            <w:u w:val="single"/>
          </w:rPr>
          <w:t xml:space="preserve">Liu et al. 2023</w:t>
        </w:r>
      </w:hyperlink>
      <w:bookmarkEnd w:id="218"/>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9" w:name="UptimeInstitute2024txt"/>
      <w:hyperlink w:anchor="UptimeInstitute2024" w:history="1">
        <w:r>
          <w:rPr>
            <w:color w:val="1F3864"/>
            <w:u w:val="single"/>
          </w:rPr>
          <w:t xml:space="preserve">Uptime Institute 2024</w:t>
        </w:r>
      </w:hyperlink>
      <w:bookmarkEnd w:id="219"/>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20" w:name="Barroso2018txt"/>
      <w:hyperlink w:anchor="Barroso2018" w:history="1">
        <w:r>
          <w:rPr>
            <w:color w:val="1F3864"/>
            <w:u w:val="single"/>
          </w:rPr>
          <w:t xml:space="preserve">Barroso et al. 2018</w:t>
        </w:r>
      </w:hyperlink>
      <w:bookmarkEnd w:id="220"/>
      <w:r>
        <w:t xml:space="preserve">; </w:t>
      </w:r>
      <w:bookmarkStart w:id="254" w:name="NVIDIA2024txt"/>
      <w:hyperlink w:anchor="NVIDIA2024" w:history="1">
        <w:r>
          <w:rPr>
            <w:color w:val="1F3864"/>
            <w:u w:val="single"/>
          </w:rPr>
          <w:t xml:space="preserve">NVIDIA 2024</w:t>
        </w:r>
      </w:hyperlink>
      <w:bookmarkEnd w:id="254"/>
      <w:r>
        <w:t xml:space="preserve">). Google’s fleet-wide GPU utilization, after years of optimization, runs in the 60–75% range (</w:t>
      </w:r>
      <w:bookmarkStart w:id="243" w:name="Barroso2018txt"/>
      <w:hyperlink w:anchor="Barroso2018" w:history="1">
        <w:r>
          <w:rPr>
            <w:color w:val="1F3864"/>
            <w:u w:val="single"/>
          </w:rPr>
          <w:t xml:space="preserve">Barroso et al. 2018</w:t>
        </w:r>
      </w:hyperlink>
      <w:bookmarkEnd w:id="243"/>
      <w:r>
        <w:t xml:space="preserve">). A new entrant would likely achieve 40–60% utilization in the early years, doubling the effective hardware cost per GPU-hour.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1" w:name="Barroso2018txt"/>
      <w:hyperlink w:anchor="Barroso2018" w:history="1">
        <w:r>
          <w:rPr>
            <w:color w:val="1F3864"/>
            <w:u w:val="single"/>
          </w:rPr>
          <w:t xml:space="preserve">Barroso et al. 2018</w:t>
        </w:r>
      </w:hyperlink>
      <w:bookmarkEnd w:id="221"/>
      <w:r>
        <w:t xml:space="preserve">). GPU and networking equipment prices are assumed to be uniform across countries. In practice, export controls, logistics costs, insurance, and local distribution markups can raise effective GPU prices by 5–15% in developing countries. A 10% GPU price premium would add roughly $0.10/hr to unit costs, substantially eroding the thin cost advantages documented in </w:t>
      </w:r>
      <w:hyperlink w:anchor="TableA1" w:history="1">
        <w:r>
          <w:rPr>
            <w:color w:val="1F3864"/>
            <w:u w:val="single"/>
          </w:rPr>
          <w:t xml:space="preserve">Table A1</w:t>
        </w:r>
      </w:hyperlink>
      <w:r>
        <w:t>. This assumption thus favors developing-country exporters and should be kept in mind when interpreting the calibration results.</w:t>
      </w:r>
    </w:p>
    <w:p>
      <w:pPr>
        <w:spacing w:before="0" w:after="160"/>
        <w:ind w:firstLine="0"/>
        <w:jc w:val="both"/>
      </w:pPr>
      <w:r>
        <w:rPr>
          <w:rFonts w:ascii="Times New Roman" w:hAnsi="Times New Roman"/>
          <w:b w:val="0"/>
          <w:i/>
          <w:sz w:val="24"/>
        </w:rPr>
        <w:t xml:space="preserve">GPU vintage. </w:t>
      </w:r>
      <w:r>
        <w:t>The calibration uses the NVIDIA H100, but successor GPUs (B200, shipping 2025) draw approximately 1,000W versus 700W and deliver roughly four times the training throughput. Higher power draw widens the absolute electricity cost gap across countries, modestly strengthening developing-country comparative advantage. However, late entrants selling older-generation GPU-hours must discount to compete with competitors using newer hardware, potentially eroding their cost advantage. Since hardware amortization remains 80–85 percent of total cost across GPU generations, our qualitative findings are robust to hardware choice.</w:t>
      </w:r>
    </w:p>
    <w:p>
      <w:pPr>
        <w:spacing w:before="0" w:after="160"/>
        <w:ind w:firstLine="0"/>
        <w:jc w:val="both"/>
      </w:pPr>
      <w:r>
        <w:rPr>
          <w:rFonts w:ascii="Times New Roman" w:hAnsi="Times New Roman"/>
          <w:b w:val="0"/>
          <w:i/>
          <w:sz w:val="24"/>
        </w:rPr>
        <w:t xml:space="preserve">Other parameters. </w:t>
      </w:r>
      <w:r>
        <w:t xml:space="preserve">The latency degradation parameter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latency inflates inference cost by 8%. This value is calibrated to match the observed willingness of cloud providers to invest in regional points of presence.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a latency difference of 100 ms (roughly the intercontinental round-trip between Europe and East Asia) imposes an 8% cost penalty, broadly consistent with the finding in </w:t>
      </w:r>
      <w:bookmarkStart w:id="222" w:name="Deloitte2020txt"/>
      <w:hyperlink w:anchor="Deloitte2020" w:history="1">
        <w:r>
          <w:rPr>
            <w:color w:val="1F3864"/>
            <w:u w:val="single"/>
          </w:rPr>
          <w:t xml:space="preserve">Deloitte (2020)</w:t>
        </w:r>
      </w:hyperlink>
      <w:bookmarkEnd w:id="222"/>
      <w:r>
        <w:t xml:space="preserve"> that a 0.1-second improvement in page load time raises e-commerce conversion rates by 8.4%.</w:t>
      </w:r>
      <w:r>
        <w:rPr>
          <w:rStyle w:val="FootnoteReference"/>
        </w:rPr>
        <w:footnoteReference w:id="14"/>
      </w:r>
      <w:r>
        <w:t xml:space="preserv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as specified in </w:t>
      </w:r>
      <w:bookmarkStart w:id="902" w:name="Eq2txt902"/>
      <w:hyperlink w:anchor="Eq2" w:history="1">
        <w:r>
          <w:rPr>
            <w:color w:val="1F3864"/>
            <w:u w:val="single"/>
          </w:rPr>
          <w:t xml:space="preserve">equation (2)</w:t>
        </w:r>
      </w:hyperlink>
      <w:bookmarkEnd w:id="902"/>
      <w:r>
        <w:t xml:space="preserve">. The coefficient weights are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0.08</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0.04</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3" w:name="Deloitte2025txt"/>
      <w:hyperlink w:anchor="Deloitte2025" w:history="1">
        <w:r>
          <w:rPr>
            <w:color w:val="1F3864"/>
            <w:u w:val="single"/>
          </w:rPr>
          <w:t xml:space="preserve">Deloitte 2025</w:t>
        </w:r>
      </w:hyperlink>
      <w:bookmarkEnd w:id="223"/>
      <w:r>
        <w:t xml:space="preserve">).</w:t>
      </w:r>
      <w:r>
        <w:rPr>
          <w:rStyle w:val="FootnoteReference"/>
        </w:rPr>
        <w:footnoteReference w:id="15"/>
      </w:r>
      <w:r>
        <w:t xml:space="preserve"> Construction costs are amortized over 15 years.</w:t>
      </w:r>
    </w:p>
    <w:p>
      <w:pPr>
        <w:spacing w:before="0" w:after="160"/>
        <w:ind w:firstLine="0"/>
        <w:jc w:val="both"/>
      </w:pPr>
      <w:r>
        <w:rPr>
          <w:rFonts w:ascii="Times New Roman" w:hAnsi="Times New Roman"/>
          <w:b w:val="0"/>
          <w:i/>
          <w:sz w:val="24"/>
        </w:rPr>
        <w:t xml:space="preserve">Production efficiency. </w:t>
      </w:r>
      <w:r>
        <w:t xml:space="preserve">The production-efficiency index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from </w:t>
      </w:r>
      <w:bookmarkStart w:id="903" w:name="Eq3txt903"/>
      <w:hyperlink w:anchor="Eq3" w:history="1">
        <w:r>
          <w:rPr>
            <w:color w:val="1F3864"/>
            <w:u w:val="single"/>
          </w:rPr>
          <w:t xml:space="preserve">equation (3)</w:t>
        </w:r>
      </w:hyperlink>
      <w:bookmarkEnd w:id="903"/>
      <w:r>
        <w:t xml:space="preserve"> is constructed as the geometric mean of two normalized scores: governance quality (</w:t>
      </w:r>
      <w:bookmarkStart w:id="224" w:name="WorldBank2024txt"/>
      <w:hyperlink w:anchor="WorldBank2024" w:history="1">
        <w:r>
          <w:rPr>
            <w:color w:val="1F3864"/>
            <w:u w:val="single"/>
          </w:rPr>
          <w:t xml:space="preserve">World Bank</w:t>
        </w:r>
      </w:hyperlink>
      <w:bookmarkEnd w:id="224"/>
      <w:r>
        <w:t xml:space="preserve"> Worldwide Governance Indicators, Rule of Law percentile, rescaled to [0, 1]) and grid reliability (inverse of hours without electricity per firm per year, from the </w:t>
      </w:r>
      <w:bookmarkStart w:id="244" w:name="WorldBank2024txt"/>
      <w:hyperlink w:anchor="WorldBank2024" w:history="1">
        <w:r>
          <w:rPr>
            <w:color w:val="1F3864"/>
            <w:u w:val="single"/>
          </w:rPr>
          <w:t xml:space="preserve">World Bank</w:t>
        </w:r>
      </w:hyperlink>
      <w:bookmarkEnd w:id="244"/>
      <w:r>
        <w:t xml:space="preserve"> Enterprise Surveys). Sanctions exposure, previously part of ξ, is now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in </w:t>
      </w:r>
      <w:bookmarkStart w:id="904" w:name="Eq2txt904"/>
      <w:hyperlink w:anchor="Eq2" w:history="1">
        <w:r>
          <w:rPr>
            <w:color w:val="1F3864"/>
            <w:u w:val="single"/>
          </w:rPr>
          <w:t xml:space="preserve">equation (2)</w:t>
        </w:r>
      </w:hyperlink>
      <w:bookmarkEnd w:id="904"/>
      <w:r>
        <w:t xml:space="preserve">. For OECD countries with negligible outages,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Developing countries with weak grids and governance fall in between (e.g., Kyrgyzstan: 0.57, Iran: 0.51). Note that even countries with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can shift in rank after efficiency adjustment: penalizing low-ξ competitors pushes them down, mechanically raising higher-ξ countries. Moreover, ξ ranges from 0.95 to 1.00 even within the OECD, and the tight cross-country cost spread (≈20%) means small efficiency differences reshuffle adjacent ranks.</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00" w:name="TableA1txt"/>
      <w:hyperlink w:anchor="TableA1" w:history="1">
        <w:r>
          <w:rPr>
            <w:color w:val="1F3864"/>
            <w:u w:val="single"/>
          </w:rPr>
          <w:t xml:space="preserve">Table A1</w:t>
        </w:r>
      </w:hyperlink>
      <w:bookmarkEnd w:id="100"/>
      <w:r>
        <w:t xml:space="preserve"> in the Appendix reports the full calibration parameters for all </w:t>
      </w:r>
      <m:oMath>
        <m:r>
          <m:rPr>
            <m:sty m:val="i"/>
          </m:rPr>
          <w:rPr>
            <w:rFonts w:ascii="Cambria Math" w:hAnsi="Cambria Math"/>
          </w:rPr>
          <m:t xml:space="preserve">N</m:t>
        </m:r>
        <m:r>
          <m:rPr>
            <m:sty m:val="p"/>
          </m:rPr>
          <w:rPr>
            <w:rFonts w:ascii="Cambria Math" w:hAnsi="Cambria Math"/>
          </w:rPr>
          <m:t xml:space="preserve"> = 85</m:t>
        </m:r>
      </m:oMath>
      <w:r>
        <w:t xml:space="preserve"> countries.</w:t>
      </w:r>
    </w:p>
    <w:p>
      <w:pPr>
        <w:spacing w:before="0" w:after="160"/>
        <w:ind w:firstLine="0"/>
        <w:jc w:val="both"/>
      </w:pPr>
      <w:r>
        <w:t xml:space="preserve">For comparison, under observed electricity tariffs and without efficiency adjustment, the cheapest producer is Iran ($1.41/hr), followed by Turkmenistan ($1.42/hr) and Ethiopia ($1.43/hr),as shown in column (1) of </w:t>
      </w:r>
      <w:bookmarkStart w:id="112" w:name="Table3txt"/>
      <w:hyperlink w:anchor="Table3" w:history="1">
        <w:r>
          <w:rPr>
            <w:color w:val="1F3864"/>
            <w:u w:val="single"/>
          </w:rPr>
          <w:t xml:space="preserve">Table 3a</w:t>
        </w:r>
      </w:hyperlink>
      <w:bookmarkEnd w:id="112"/>
      <w:r>
        <w:t xml:space="preserve">. But this ranking is misleading. Iran’s headline cost rests on electricity priced at $0.005/kWh, a figure sustained by one of the world’s largest fossil fuel subsidies. Turkmenistan, Algeria, Qatar, and several other low-cost producers face similar distortions. </w:t>
      </w:r>
    </w:p>
    <w:p>
      <w:pPr>
        <w:spacing w:before="0" w:after="160"/>
        <w:ind w:firstLine="0"/>
        <w:jc w:val="both"/>
      </w:pPr>
      <w:r>
        <w:t xml:space="preserve">To distinguish genuine comparative advantage from fiscal artifact, we replace subsidized tariffs with cost-recovery prices. These are defined as the long-run marginal cost (LRMC) of the dominant generation technology at opportunity-cost fuel prices (</w:t>
      </w:r>
      <w:bookmarkStart w:id="245" w:name="IMF2025txt"/>
      <w:hyperlink w:anchor="IMF2025" w:history="1">
        <w:r>
          <w:rPr>
            <w:color w:val="1F3864"/>
            <w:u w:val="single"/>
          </w:rPr>
          <w:t xml:space="preserve">IMF 2025</w:t>
        </w:r>
      </w:hyperlink>
      <w:bookmarkEnd w:id="245"/>
      <w:r>
        <w:t xml:space="preserve">, </w:t>
      </w:r>
      <w:bookmarkStart w:id="225" w:name="Lazard2025txt"/>
      <w:hyperlink w:anchor="Lazard2025" w:history="1">
        <w:r>
          <w:rPr>
            <w:color w:val="1F3864"/>
            <w:u w:val="single"/>
          </w:rPr>
          <w:t xml:space="preserve">Lazard 2025</w:t>
        </w:r>
      </w:hyperlink>
      <w:bookmarkEnd w:id="225"/>
      <w:r>
        <w:t xml:space="preserve">). This adjustment is applied to 13 countries whose retail electricity prices fall below the estimated LRMC.  The resulting cost-recovery ranking—column (2) of </w:t>
      </w:r>
      <w:hyperlink w:anchor="Table3" w:history="1">
        <w:r>
          <w:rPr>
            <w:color w:val="1F3864"/>
            <w:u w:val="single"/>
          </w:rPr>
          <w:t xml:space="preserve">Table 3a</w:t>
        </w:r>
      </w:hyperlink>
      <w:r>
        <w:t>—shifts the top of the ranking toward hydropower-rich countries: Kyrgyzstan ($1.58/hr), Canada ($1.59/hr), Ethiopia ($1.59/hr), Kosovo ($1.60/hr), and Tajikistan ($1.60/hr).</w:t>
      </w:r>
    </w:p>
    <w:p>
      <w:pPr>
        <w:spacing w:before="0" w:after="160"/>
        <w:ind w:firstLine="0"/>
        <w:jc w:val="both"/>
      </w:pPr>
      <w:r>
        <w:t>The cost-recovery prices are derived from country-specific LRMC estimates.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w:t>
      </w:r>
      <w:r>
        <w:rPr>
          <w:rStyle w:val="FootnoteReference"/>
        </w:rPr>
        <w:footnoteReference w:id="16"/>
      </w:r>
      <w:r>
        <w:t xml:space="preserve"> The subsidy gap ranges from $0.019 to $0.080/kWh. For Iran, a 100 MW IT-load data center would receive roughly $93 million per year in implicit fiscal transfer. At the export scale, this fiscal arithmetic becomes unsustainable. Iran drops from first to 24th. 42 countries change their trade regimes.</w:t>
      </w:r>
    </w:p>
    <w:p>
      <w:pPr>
        <w:spacing w:before="0" w:after="160"/>
        <w:ind w:firstLine="0"/>
        <w:jc w:val="both"/>
      </w:pPr>
      <w:r>
        <w:t xml:space="preserve">Dividing the cost-recovery costs by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penalizes countries with weak governance and unreliable grids. Column (3) of </w:t>
      </w:r>
      <w:hyperlink w:anchor="Table3" w:history="1">
        <w:r>
          <w:rPr>
            <w:color w:val="1F3864"/>
            <w:u w:val="single"/>
          </w:rPr>
          <w:t xml:space="preserve">Table 3a</w:t>
        </w:r>
      </w:hyperlink>
      <w:r>
        <w:t xml:space="preserve"> reports the preferred efficiency-adjusted ranking; </w:t>
      </w:r>
      <w:bookmarkStart w:id="141" w:name="TableA2txt"/>
      <w:hyperlink w:anchor="TableA2" w:history="1">
        <w:r>
          <w:rPr>
            <w:color w:val="1F3864"/>
            <w:u w:val="single"/>
          </w:rPr>
          <w:t xml:space="preserve">Table A2</w:t>
        </w:r>
      </w:hyperlink>
      <w:bookmarkEnd w:id="141"/>
      <w:r>
        <w:t xml:space="preserve"> extends it to all countries. Under cost-recovery pricing with efficiency adjustment, the five cheapest producers are </w:t>
      </w:r>
      <w:r>
        <w:t xml:space="preserve">Canada ($1.46/hr), Norway ($1.47/hr), Finland ($1.47/hr), Sweden ($1.49/hr), and South Africa ($1.49/hr). </w:t>
      </w:r>
      <w:r>
        <w:t>The Δ column records the rank change from raw tariffs to the preferred specification: Iran drops 80 places</w:t>
      </w:r>
      <w:r>
        <w:t>, Kyrgyzstan drops 70</w:t>
      </w:r>
      <w:r>
        <w:t xml:space="preserve">, while Switzerland rises 63 places, </w:t>
      </w:r>
      <w:r>
        <w:t>and Singapore rises 62</w:t>
      </w:r>
      <w:r>
        <w:t xml:space="preserve">. Nine of the ten cheapest countries under the pure engineering cost ranking fall out of the top ten after efficiency adjustment, replaced by countries with stronger institutions and more reliable grids. Because hardware and networking costs account for roughly 94% of engineering costs and are identical everywhere, the cross-country cost spread is narrow (about 20%). Even modest institutional penalties are large relative to this thin margin, so governance quality can easily dominate the cost ranking. An engineering cost advantage is therefore necessary but not sufficient for FLOP exporting. </w:t>
      </w:r>
      <w:bookmarkStart w:id="121" w:name="Figure1txt"/>
      <w:hyperlink w:anchor="Figure1" w:history="1">
        <w:r>
          <w:rPr>
            <w:color w:val="1F3864"/>
            <w:u w:val="single"/>
          </w:rPr>
          <w:t xml:space="preserve">Figure 1</w:t>
        </w:r>
      </w:hyperlink>
      <w:bookmarkEnd w:id="121"/>
      <w:r>
        <w:t xml:space="preserve"> illustrates the resulting rank reshuffling. </w:t>
      </w:r>
    </w:p>
    <w:p>
      <w:pPr>
        <w:spacing w:before="0" w:after="160"/>
        <w:ind w:firstLine="0"/>
        <w:jc w:val="both"/>
      </w:pPr>
      <w:r>
        <w:t xml:space="preserve">The efficiency-adjusted ranking captures governance quality and grid stability, while the bilateral sovereignty premium captures sanctions, geopolitical distance, and regulatory incompatibility. In practice, GPU export controls raise effective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for Iran, Russia, and Belarus, and grid reliability varies widely. Data center investments are large, long-lived, and immobile, so the viability of a country as a compute exporter depends on institutional factors not fully captured by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alone. Several of the cheapest producers in the calibration (Iran, Turkmenistan, Uzbekistan) rank poorly on property rights and rule of law indices, and subsidized electricity prices may be politically fragile. Effective entry barriers are therefore higher than production costs alone suggest. GPU export controls (Section 6.1) and water scarcity in Iran, Turkmenistan, Egypt, and Saudi Arabia further constrain several low-cost producers.</w:t>
      </w:r>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from </w:t>
      </w:r>
      <w:bookmarkStart w:id="905" w:name="Eq2txt905"/>
      <w:hyperlink w:anchor="Eq2" w:history="1">
        <w:r>
          <w:rPr>
            <w:color w:val="1F3864"/>
            <w:u w:val="single"/>
          </w:rPr>
          <w:t xml:space="preserve">equation (2)</w:t>
        </w:r>
      </w:hyperlink>
      <w:bookmarkEnd w:id="905"/>
      <w:r>
        <w:t xml:space="preserve"> reshapes trade patterns along geopolitical lines. Between allies with mutual data adequacy agreements (e.g., EU member states), the effective premium is near zero; between geopolitical adversaries, it is effectively infinite—the United States would not source training from Iran regardless of cost, and current sanctions make such transactions illegal. Column (4) of </w:t>
      </w:r>
      <w:hyperlink w:anchor="Table3b" w:history="1">
        <w:r>
          <w:rPr>
            <w:color w:val="1F3864"/>
            <w:u w:val="single"/>
          </w:rPr>
          <w:t xml:space="preserve">Table 3b</w:t>
        </w:r>
      </w:hyperlink>
      <w:r>
        <w:t xml:space="preserve"> reports the bilateral specification. The frontier price is </w:t>
      </w:r>
      <m:oMath>
        <m:sSup>
          <m:sSupPr/>
          <m:e>
            <m:r>
              <m:rPr>
                <m:sty m:val="i"/>
              </m:rPr>
              <w:rPr>
                <w:rFonts w:ascii="Cambria Math" w:hAnsi="Cambria Math"/>
              </w:rPr>
              <m:t xml:space="preserve">p</m:t>
            </m:r>
          </m:e>
          <m:sup>
            <m:r>
              <m:rPr>
                <m:sty m:val="i"/>
              </m:rPr>
              <w:rPr>
                <w:rFonts w:ascii="Cambria Math" w:hAnsi="Cambria Math"/>
              </w:rPr>
              <m:t xml:space="preserve">*</m:t>
            </m:r>
          </m:sup>
        </m:sSup>
        <m:r>
          <m:rPr>
            <m:sty m:val="p"/>
          </m:rPr>
          <w:rPr>
            <w:rFonts w:ascii="Cambria Math" w:hAnsi="Cambria Math"/>
          </w:rPr>
          <m:t xml:space="preserve"> = $1.49</m:t>
        </m:r>
      </m:oMath>
      <w:r>
        <w:t xml:space="preserve">/hr. The country-specific switching threshold </w:t>
      </w:r>
      <m:oMath>
        <m:sSup>
          <m:sSupPr/>
          <m:e>
            <m:r>
              <m:rPr>
                <m:sty m:val="i"/>
              </m:rPr>
              <w:rPr>
                <w:rFonts w:ascii="Cambria Math" w:hAnsi="Cambria Math"/>
              </w:rPr>
              <m:t xml:space="preserve">λ</m:t>
            </m:r>
          </m:e>
          <m:sup>
            <m:r>
              <m:rPr>
                <m:sty m:val="i"/>
              </m:rPr>
              <w:rPr>
                <w:rFonts w:ascii="Cambria Math" w:hAnsi="Cambria Math"/>
              </w:rPr>
              <m:t xml:space="preserve">*</m:t>
            </m:r>
          </m:sup>
        </m:sSup>
      </m:oMath>
      <w:r>
        <w:t xml:space="preserve"> from Proposition 3 varies widely: Kyrgyzstan requires only </w:t>
      </w:r>
      <m:oMath>
        <m:sSup>
          <m:sSupPr/>
          <m:e>
            <m:r>
              <m:rPr>
                <m:sty m:val="i"/>
              </m:rPr>
              <w:rPr>
                <w:rFonts w:ascii="Cambria Math" w:hAnsi="Cambria Math"/>
              </w:rPr>
              <m:t xml:space="preserve">λ</m:t>
            </m:r>
          </m:e>
          <m:sup>
            <m:r>
              <m:rPr>
                <m:sty m:val="i"/>
              </m:rPr>
              <w:rPr>
                <w:rFonts w:ascii="Cambria Math" w:hAnsi="Cambria Math"/>
              </w:rPr>
              <m:t xml:space="preserve">*</m:t>
            </m:r>
          </m:sup>
        </m:sSup>
        <m:r>
          <m:rPr>
            <m:sty m:val="p"/>
          </m:rPr>
          <w:rPr>
            <w:rFonts w:ascii="Cambria Math" w:hAnsi="Cambria Math"/>
          </w:rPr>
          <m:t xml:space="preserve"> = -0.9%</m:t>
        </m:r>
      </m:oMath>
      <w:r>
        <w:t xml:space="preserve">, China 0.8%, and the United States 2.6%. High-cost countries require much larger premia: Germany needs </w:t>
      </w:r>
      <m:oMath>
        <m:sSup>
          <m:sSupPr/>
          <m:e>
            <m:r>
              <m:rPr>
                <m:sty m:val="i"/>
              </m:rPr>
              <w:rPr>
                <w:rFonts w:ascii="Cambria Math" w:hAnsi="Cambria Math"/>
              </w:rPr>
              <m:t xml:space="preserve">λ</m:t>
            </m:r>
          </m:e>
          <m:sup>
            <m:r>
              <m:rPr>
                <m:sty m:val="i"/>
              </m:rPr>
              <w:rPr>
                <w:rFonts w:ascii="Cambria Math" w:hAnsi="Cambria Math"/>
              </w:rPr>
              <m:t xml:space="preserve">*</m:t>
            </m:r>
          </m:sup>
        </m:sSup>
        <m:r>
          <m:rPr>
            <m:sty m:val="p"/>
          </m:rPr>
          <w:rPr>
            <w:rFonts w:ascii="Cambria Math" w:hAnsi="Cambria Math"/>
          </w:rPr>
          <m:t xml:space="preserve"> = 6.4%</m:t>
        </m:r>
      </m:oMath>
      <w:r>
        <w:t xml:space="preserve"> and Japan 6.9%.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t xml:space="preserve">Column (5) of </w:t>
      </w:r>
      <w:hyperlink w:anchor="Table3b" w:history="1">
        <w:r>
          <w:rPr>
            <w:color w:val="1F3864"/>
            <w:u w:val="single"/>
          </w:rPr>
          <w:t xml:space="preserve">Table 3b</w:t>
        </w:r>
      </w:hyperlink>
      <w:r>
        <w:t xml:space="preserve"> introduces demand tiering, segmenting each country’s compute demand into three tiers: sovereign workloads (10% of demand, domestic only), regulated workloads (20%, higher regulatory compatibility weight), and commercial workloads (70%, geopolitical alignment only). Tiering has a modest effect on aggregate trade patterns because the sovereign tier is small and most countries already produce domestically under the bilateral specification. The main impact is on inference sourcing: regulated workloads shift toward suppliers with strong data governance frameworks, favoring EU member states and APEC CBPR participants over geographically closer but less regulated alternatives.</w:t>
      </w:r>
      <w:r>
        <w:rPr>
          <w:rStyle w:val="FootnoteReference"/>
        </w:rPr>
        <w:footnoteReference w:id="17"/>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6" w:name="Eq4txt906"/>
      <w:hyperlink w:anchor="Eq4" w:history="1">
        <w:r>
          <w:rPr>
            <w:color w:val="1F3864"/>
            <w:u w:val="single"/>
          </w:rPr>
          <w:t xml:space="preserve">equation (4)</w:t>
        </w:r>
      </w:hyperlink>
      <w:bookmarkEnd w:id="906"/>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2 exporters (HHI = 0.93), confirming Proposition 2. </w:t>
      </w:r>
      <w:r>
        <w:t xml:space="preserve">The largest shadow values of grid capacity are in Kyrgyzstan ($0.014/hr), indicating modest returns to capacity expansion. </w:t>
      </w:r>
      <w:r>
        <w:t>Inference is more dispersed, with the top five suppliers being Canada (48%), Finland (34%), Norway (7%), Singapore (5%), and Australia (2%), collectively accounting for 96% of global inference demand (HHI = 0.35). Under the bilateral sovereignty premium, most training demand is served domestically, and the smaller export market is served by 1 exporter (HHI = 1.00) at $1.58/hr.</w:t>
      </w:r>
    </w:p>
    <w:p>
      <w:pPr>
        <w:spacing w:before="0" w:after="160"/>
        <w:ind w:firstLine="0"/>
        <w:jc w:val="both"/>
      </w:pPr>
      <w:r>
        <w:t>These results are illustrative, not forecasts. They show the cost structure that would make FLOP exporting viable, not that specific countries will necessarily capture these market shares. Cheap-energy developing countries can, in principle, earn export revenue from much larger economies.</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w:t>
      </w: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4.7% of average compute spending, comparable to the 0.2–10% welfare losses from trade barriers estimated for goods trade (</w:t>
      </w:r>
      <w:bookmarkStart w:id="226" w:name="EatonKortum2002txt"/>
      <w:hyperlink w:anchor="EatonKortum2002" w:history="1">
        <w:r>
          <w:rPr>
            <w:color w:val="1F3864"/>
            <w:u w:val="single"/>
          </w:rPr>
          <w:t xml:space="preserve">Eaton and Kortum 2002</w:t>
        </w:r>
      </w:hyperlink>
      <w:bookmarkEnd w:id="226"/>
      <w:r>
        <w:t xml:space="preserve">, </w:t>
      </w:r>
      <w:bookmarkStart w:id="246" w:name="ACR2012txt"/>
      <w:hyperlink w:anchor="ACR2012" w:history="1">
        <w:r>
          <w:rPr>
            <w:color w:val="1F3864"/>
            <w:u w:val="single"/>
          </w:rPr>
          <w:t xml:space="preserve">Arkolakis et al. 2012</w:t>
        </w:r>
      </w:hyperlink>
      <w:bookmarkEnd w:id="246"/>
      <w:r>
        <w:t xml:space="preserve">).</w:t>
      </w:r>
    </w:p>
    <w:p>
      <w:pPr>
        <w:spacing w:before="0" w:after="160"/>
        <w:ind w:firstLine="0"/>
        <w:jc w:val="both"/>
      </w:pPr>
      <w:r>
        <w:t xml:space="preserve">The sovereignty premium deserves scrutiny. Some domestic processing preference is justified for genuinely confidential data (e.g., military intelligence, health records, and national statistical systems). But much of the current policy push, particularly in the EU, extends the sovereignty logic far beyond these cases to cover routine commercial computation that carries no security risk. The welfare cost is not trivial. As shown above, the bilateral premium already shifts most countries toward domestic production, forgoing the cost savings from specialization. Developing countries in Central Asia and Africa are likely to follow the EU template, imposing data localization requirements that their small markets cannot efficiently serve. A policy tension arises: the same countries whose cost advantages position them as natural FLOP exporters may simultaneously erect sovereignty barriers against importing compute from their neighbors, reducing the welfare gains from regional specialization that the model predicts. The EU’s GDPR and AI Act already segment the compute market along regulatory lines, reinforcing the sovereignty premium as a structural feature. The </w:t>
      </w:r>
      <w:bookmarkStart w:id="227" w:name="WorldBank2025txt"/>
      <w:hyperlink w:anchor="WorldBank2025" w:history="1">
        <w:r>
          <w:rPr>
            <w:color w:val="1F3864"/>
            <w:u w:val="single"/>
          </w:rPr>
          <w:t xml:space="preserve">World Bank (2025)</w:t>
        </w:r>
      </w:hyperlink>
      <w:bookmarkEnd w:id="227"/>
      <w:r>
        <w:t xml:space="preserve"> frames the resulting tension as the central policy choice for developing countries: whether to build domestic compute capacity or secure affordable access to international cloud services—a trade-off the present model formalizes through the bilateral sovereignty premium and capacity constraints.</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($1.69/hr). For Germany, inference is sourced from Norway ($1.66/hr), for the United Kingdom from Finland ($1.67/hr), and for France from Finland ($1.67/hr). For China, the cheapest source of inference is Finland ($1.92/hr), a neighboring country with hydropower-based electricity. These patterns illustrate the model’s core prediction that inference organizes around latency-bounded regional hubs, and each major market has a distinct optimal supplier determined by geography. With the bilateral sovereignty premium, most large economies shift to full domestic production.</w:t>
      </w:r>
    </w:p>
    <w:p>
      <w:pPr>
        <w:pStyle w:val="Heading2"/>
      </w:pPr>
      <w:r>
        <w:rPr>
          <w:rFonts w:ascii="Times New Roman" w:hAnsi="Times New Roman"/>
          <w:b w:val="0"/>
          <w:i/>
          <w:color w:val="2F5496"/>
          <w:sz w:val="24"/>
        </w:rPr>
        <w:t>6.3 Robustness and Caveats</w:t>
      </w:r>
    </w:p>
    <w:p>
      <w:pPr>
        <w:spacing w:before="0" w:after="160"/>
        <w:ind w:firstLine="0"/>
        <w:jc w:val="both"/>
      </w:pPr>
      <w:r>
        <w:t>Even after adjusting for cost-recovery pricing, fiscal sustainability remains a concern. Regulated tariffs in many developing countries cover operating expenses but not the full capital cost of generation, transmission, and distribution infrastructure. State-owned enterprises (SOEs) accumulate quasi-fiscal deficits that are eventually borne by taxpayers or future consumers. Allowing large-scale FLOP exports at these prices would accelerate infrastructure depreciation while the SOE cannot finance replacement, raising a fundamental question—is it politically sustainable to export compute while the domestic energy sector cannot maintain its capital stock? Governments ultimately face a choice between raising data center tariffs (eroding the cost advantage), maintaining subsidies at growing fiscal cost, or capping capacity.</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parameters. For large economies, this is innocuous, but for the small, cheap-energy countries that rank highest in </w:t>
      </w:r>
      <w:hyperlink w:anchor="TableA1" w:history="1">
        <w:r>
          <w:rPr>
            <w:color w:val="1F3864"/>
            <w:u w:val="single"/>
          </w:rPr>
          <w:t xml:space="preserve">Table A1</w:t>
        </w:r>
      </w:hyperlink>
      <w:r>
        <w:t xml:space="preserve">, a hyperscale data center can be large relative to the host grid. Kyrgyzstan’s installed generation capacity is approximately 3,800 MW (</w:t>
      </w:r>
      <w:bookmarkStart w:id="228" w:name="ABD2020txt"/>
      <w:hyperlink w:anchor="ABD2020" w:history="1">
        <w:r>
          <w:rPr>
            <w:color w:val="1F3864"/>
            <w:u w:val="single"/>
          </w:rPr>
          <w:t xml:space="preserve">ABD 2020</w:t>
        </w:r>
      </w:hyperlink>
      <w:bookmarkEnd w:id="228"/>
      <w:r>
        <w:t xml:space="preserve">), and a single 100 MW facility would consume roughly 3% of national electricity output. At the multi-facility scale implied by the model’s export predictions, data centers would become the dominant industrial load. At that scale, the assumption of price-taking behaviour breaks down. Increased demand would bid up wholesale electricity prices, competing with residential heating in winter (when Kyrgyz hydropower output drops), and likely triggering regulatory intervention. The cheap electricity that attracts investment would be partially eroded by the investment itself.</w:t>
      </w:r>
      <w:r>
        <w:rPr>
          <w:rStyle w:val="FootnoteReference"/>
        </w:rPr>
        <w:footnoteReference w:id="18"/>
      </w:r>
      <w:r>
        <w:t xml:space="preserve">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concern by capping each country’s compute output within a feasible range, but the model’s fixed-price assumption means the cost advantages in </w:t>
      </w:r>
      <w:hyperlink w:anchor="TableA1" w:history="1">
        <w:r>
          <w:rPr>
            <w:color w:val="1F3864"/>
            <w:u w:val="single"/>
          </w:rPr>
          <w:t xml:space="preserve">Table A1</w:t>
        </w:r>
      </w:hyperlink>
      <w:r>
        <w:t xml:space="preserve"> are upper bounds. A general equilibrium extension with upward-sloping electricity supply curves would compress these advantages further and narrow the set of viable exporters.</w:t>
      </w:r>
    </w:p>
    <w:p>
      <w:pPr>
        <w:spacing w:before="0" w:after="160"/>
        <w:ind w:firstLine="0"/>
        <w:jc w:val="both"/>
      </w:pPr>
      <w:r>
        <w:rPr>
          <w:rFonts w:ascii="Times New Roman" w:hAnsi="Times New Roman"/>
          <w:b w:val="0"/>
          <w:i/>
          <w:sz w:val="24"/>
        </w:rPr>
        <w:t xml:space="preserve">Cost of capital. </w:t>
      </w:r>
      <w:r>
        <w:t xml:space="preserve">The calibration assumes uniform financing costs via straight-line depreciation. In practice, the financing gap is large (</w:t>
      </w:r>
      <w:bookmarkStart w:id="229" w:name="Calcaterra2024txt"/>
      <w:hyperlink w:anchor="Calcaterra2024" w:history="1">
        <w:r>
          <w:rPr>
            <w:color w:val="1F3864"/>
            <w:u w:val="single"/>
          </w:rPr>
          <w:t xml:space="preserve">Calcaterra et al. 2024</w:t>
        </w:r>
      </w:hyperlink>
      <w:bookmarkEnd w:id="229"/>
      <w:r>
        <w:t xml:space="preserve">). An OECD hyperscaler at a WACC of 8% faces hardware costs of $1.58 per GPU-hour, while a developing-country operator at 18% pays $1.87—a $0.29 gap on hardware alone, widening to $0.37 including construction, about four times the electricity cost spread across the top 20 countries. If hyperscalers finance at their own WACC regardless of host country, the baseline rankings hold. If facilities are locally financed, the cost-of-capital channel reinforces the efficiency adjustment: the same institutional weaknesses that lower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also raise the country risk premium. The uniform-financing assumption therefore overstates developing-country competitiveness.</w:t>
      </w:r>
    </w:p>
    <w:p>
      <w:pPr>
        <w:spacing w:before="0" w:after="160"/>
        <w:ind w:firstLine="0"/>
        <w:jc w:val="both"/>
      </w:pPr>
      <w:r>
        <w:rPr>
          <w:rFonts w:ascii="Times New Roman" w:hAnsi="Times New Roman"/>
          <w:b w:val="0"/>
          <w:i/>
          <w:sz w:val="24"/>
        </w:rPr>
        <w:t xml:space="preserve">Sensitivity analysis. </w:t>
      </w:r>
      <w:r>
        <w:t xml:space="preserve">The cost rankings in </w:t>
      </w:r>
      <w:hyperlink w:anchor="TableA1" w:history="1">
        <w:r>
          <w:rPr>
            <w:color w:val="1F3864"/>
            <w:u w:val="single"/>
          </w:rPr>
          <w:t xml:space="preserve">Table A1</w:t>
        </w:r>
      </w:hyperlink>
      <w:r>
        <w:t xml:space="preserve"> are robust to substantial parameter variation. Across five scenarios—electricity prices ±$0.01/kWh, GPU price ±20%, and PUE capped at 1.20—the Spearman rank correlation with the baseline never falls below 0.992, the top five cheapest countries are unchanged in four of five scenarios, and the training price shifts by at most $0.272/hr. </w:t>
      </w:r>
      <w:bookmarkStart w:id="143" w:name="TableA3txt"/>
      <w:hyperlink w:anchor="TableA3" w:history="1">
        <w:r>
          <w:rPr>
            <w:color w:val="1F3864"/>
            <w:u w:val="single"/>
          </w:rPr>
          <w:t xml:space="preserve">Table A3</w:t>
        </w:r>
      </w:hyperlink>
      <w:bookmarkEnd w:id="143"/>
      <w:r>
        <w:t xml:space="preserve"> in Appendix C reports the full results.</w:t>
      </w:r>
    </w:p>
    <w:p>
      <w:pPr>
        <w:spacing w:before="0" w:after="160"/>
        <w:ind w:firstLine="0"/>
        <w:jc w:val="both"/>
      </w:pPr>
      <w:r>
        <w:rPr>
          <w:rFonts w:ascii="Times New Roman" w:hAnsi="Times New Roman"/>
          <w:b w:val="0"/>
          <w:i/>
          <w:sz w:val="24"/>
        </w:rPr>
        <w:t xml:space="preserve">Uniform sovereignty premium. </w:t>
      </w:r>
      <w:r>
        <w:t xml:space="preserve">As a robustness check, column (6) of </w:t>
      </w:r>
      <w:hyperlink w:anchor="Table3b" w:history="1">
        <w:r>
          <w:rPr>
            <w:color w:val="1F3864"/>
            <w:u w:val="single"/>
          </w:rPr>
          <w:t xml:space="preserve">Table 3b</w:t>
        </w:r>
      </w:hyperlink>
      <w:r>
        <w:t xml:space="preserve"> reports results under a uniform sovereignty premium </w:t>
      </w:r>
      <m:oMath>
        <m:r>
          <m:rPr>
            <m:sty m:val="i"/>
          </m:rPr>
          <w:rPr>
            <w:rFonts w:ascii="Cambria Math" w:hAnsi="Cambria Math"/>
          </w:rPr>
          <m:t xml:space="preserve">λ</m:t>
        </m:r>
        <m:r>
          <m:rPr>
            <m:sty m:val="p"/>
          </m:rPr>
          <w:rPr>
            <w:rFonts w:ascii="Cambria Math" w:hAnsi="Cambria Math"/>
          </w:rPr>
          <m:t xml:space="preserve"> = 10%</m:t>
        </m:r>
      </m:oMath>
      <w:r>
        <w:t>, the specification used in earlier versions of the model. The uniform premium produces broadly similar regime assignments: most countries produce domestically under either specification. The main difference is that the bilateral premium excludes sanctioned countries from serving any demand center, while the uniform premium treats all country pairs identically. The bilateral specification is preferred because it captures the observed heterogeneity in sovereignty preferences across country pairs.</w:t>
      </w:r>
    </w:p>
    <w:p>
      <w:pPr>
        <w:pStyle w:val="Heading2"/>
      </w:pPr>
      <w:r>
        <w:rPr>
          <w:rFonts w:ascii="Times New Roman" w:hAnsi="Times New Roman"/>
          <w:b w:val="0"/>
          <w:i/>
          <w:color w:val="2F5496"/>
          <w:sz w:val="24"/>
        </w:rPr>
        <w:t>6.4 Model extensions</w:t>
      </w:r>
    </w:p>
    <w:p>
      <w:pPr>
        <w:spacing w:before="0" w:after="160"/>
        <w:ind w:firstLine="0"/>
        <w:jc w:val="both"/>
      </w:pPr>
      <w:r>
        <w:t xml:space="preserve">The model can be extended in several directions. It can incorporate stochastic disruptions such as grid outages or political instability, giving buyers a reason to diversify workloads across providers. Demand can be segmented by latency tolerance to capture heterogeneous service requirements. Carbon pricing can introduce a “green premium” that favors hydropower-rich countries. The framework can also accommodate strategic interaction among oligopolistic providers, and governance can enter as a multiplicative cost shifter on </w:t>
      </w:r>
      <m:oMath>
        <m:sSub>
          <m:sSubPr/>
          <m:e>
            <m:r>
              <m:rPr>
                <m:sty m:val="i"/>
              </m:rPr>
              <w:rPr>
                <w:rFonts w:ascii="Cambria Math" w:hAnsi="Cambria Math"/>
              </w:rPr>
              <m:t xml:space="preserve">c</m:t>
            </m:r>
          </m:e>
          <m:sub>
            <m:r>
              <m:rPr>
                <m:sty m:val="i"/>
              </m:rPr>
              <w:rPr>
                <w:rFonts w:ascii="Cambria Math" w:hAnsi="Cambria Math"/>
              </w:rPr>
              <m:t xml:space="preserve">j</m:t>
            </m:r>
          </m:sub>
        </m:sSub>
      </m:oMath>
      <w:r>
        <w:t>.</w:t>
      </w:r>
    </w:p>
    <w:p>
      <w:pPr>
        <w:spacing w:before="0" w:after="160"/>
        <w:ind w:firstLine="0"/>
        <w:jc w:val="both"/>
      </w:pPr>
      <w:r>
        <w:rPr>
          <w:rFonts w:ascii="Times New Roman" w:hAnsi="Times New Roman"/>
          <w:b w:val="0"/>
          <w:i/>
          <w:sz w:val="24"/>
        </w:rPr>
        <w:t xml:space="preserve">Agglomeration and market structure. </w:t>
      </w:r>
      <w:r>
        <w:t xml:space="preserve">The competitive framework abstracts from the industrial organization of the cloud compute market, which is dominated by a small number of hyperscalers (AWS, Azure, Google Cloud) with significant scale economies, proprietary networks, and market power. In practice, whether a country becomes a compute exporter depends not only on unit costs but on whether a hyperscaler or colocation provider chooses to invest there, a decision shaped by agglomeration economies, institutional quality, and network connectivity (</w:t>
      </w:r>
      <w:bookmarkStart w:id="230" w:name="Krugman1991txt"/>
      <w:hyperlink w:anchor="Krugman1991" w:history="1">
        <w:r>
          <w:rPr>
            <w:color w:val="1F3864"/>
            <w:u w:val="single"/>
          </w:rPr>
          <w:t xml:space="preserve">Krugman 1991</w:t>
        </w:r>
      </w:hyperlink>
      <w:bookmarkEnd w:id="230"/>
      <w:r>
        <w:t xml:space="preserve">). The concentration of data centers in locations such as Northern Virginia reflects these centripetal forces.</w:t>
      </w:r>
    </w:p>
    <w:p>
      <w:pPr>
        <w:pStyle w:val="Heading1"/>
      </w:pPr>
      <w:r>
        <w:rPr>
          <w:rFonts w:ascii="Times New Roman" w:hAnsi="Times New Roman"/>
          <w:b/>
          <w:color w:val="2F5496"/>
          <w:sz w:val="28"/>
        </w:rPr>
        <w:t>7. Conclusion</w:t>
      </w:r>
    </w:p>
    <w:p>
      <w:pPr>
        <w:spacing w:before="0" w:after="160"/>
        <w:ind w:firstLine="0"/>
        <w:jc w:val="both"/>
      </w:pPr>
      <w:r>
        <w:t>This paper develops a capacity-constrained model of trade in computing services (FLOPs) in which countries produce and export computing capacity based on their energy-resource endowments, as reflected in electricity prices, climate, and construction costs. The model distinguishes two service types, latency-insensitive training and latency-sensitive inference, and introduces a bilateral sovereignty premium to capture governments’ preference for domestic data processing, varying with geopolitical alignment, regulatory compatibility, and sanctions exposure. Capacity ceilings transform the classical cost-based assignment into a framework with market-clearing prices and scarcity rents. The paper calibrates the model for 85 countries using data on electricity prices, temperatures, construction costs, bilateral latencies, and grid capacity.</w:t>
      </w:r>
    </w:p>
    <w:p>
      <w:pPr>
        <w:spacing w:before="0" w:after="160"/>
        <w:ind w:firstLine="0"/>
        <w:jc w:val="both"/>
      </w:pPr>
      <w:r>
        <w:t xml:space="preserve">Across 85 countries, low-energy-cost countries export training compute, while inference is served by regional hubs close enough to users to meet latency requirements. The bilateral sovereignty premium rationalizes widespread domestic investment, shifting the majority of countries from import to domestic production, at a demand-weighted welfare cost of 4.7% of average compute spending, comparable in magnitude to the 0.2–10% welfare losses from trade barriers estimated for goods trade (</w:t>
      </w:r>
      <w:bookmarkStart w:id="247" w:name="EatonKortum2002txt"/>
      <w:hyperlink w:anchor="EatonKortum2002" w:history="1">
        <w:r>
          <w:rPr>
            <w:color w:val="1F3864"/>
            <w:u w:val="single"/>
          </w:rPr>
          <w:t xml:space="preserve">Eaton and Kortum 2002</w:t>
        </w:r>
      </w:hyperlink>
      <w:bookmarkEnd w:id="247"/>
      <w:r>
        <w:t xml:space="preserve">, </w:t>
      </w:r>
      <w:bookmarkStart w:id="255" w:name="ACR2012txt"/>
      <w:hyperlink w:anchor="ACR2012" w:history="1">
        <w:r>
          <w:rPr>
            <w:color w:val="1F3864"/>
            <w:u w:val="single"/>
          </w:rPr>
          <w:t xml:space="preserve">Arkolakis et al. 2012</w:t>
        </w:r>
      </w:hyperlink>
      <w:bookmarkEnd w:id="255"/>
      <w:r>
        <w:t xml:space="preserve">). The model generates a country taxonomy (full importers, training exporters, inference hubs, and hybrid regimes) that maps onto observed investment patterns. This geographic structure is consistent with </w:t>
      </w:r>
      <w:bookmarkStart w:id="231" w:name="Lehdonvirta2024txt"/>
      <w:hyperlink w:anchor="Lehdonvirta2024" w:history="1">
        <w:r>
          <w:rPr>
            <w:color w:val="1F3864"/>
            <w:u w:val="single"/>
          </w:rPr>
          <w:t xml:space="preserve">Lehdonvirta et al. (2024)</w:t>
        </w:r>
      </w:hyperlink>
      <w:bookmarkEnd w:id="231"/>
      <w:r>
        <w:t xml:space="preserve">, who independently find that training-capable GPU infrastructure is concentrated in roughly 30 countries, while the rest are limited to inference-grade hardware. Given the narrow cross-country cost spread documented in Section 6, production efficiency, bilateral trade frictions, and access to GPU hardware are often decisive in determining actual data center location. For developing countries, the results point to a new avenue for economic participation in the global economy. Countries like Kyrgyzstan, Uzbekistan, and Egypt, which rank among the cheapest FLOP producers in the calibration, could use their energy resource endowments—hydropower, natural gas, and solar irradiance—to convert cheap electricity into a high-value digital export without building a domestic AI research ecosystem. FLOP exporting is the digital equivalent of resource-based industrialization, but with the advantage that the underlying resource (electricity) need not deplete a finite reserve, and the product (compute) serves the fastest-growing sector of the world economy. That said, the resource curse literature (</w:t>
      </w:r>
      <w:bookmarkStart w:id="248" w:name="vanderPloeg2011txt"/>
      <w:hyperlink w:anchor="vanderPloeg2011" w:history="1">
        <w:r>
          <w:rPr>
            <w:color w:val="1F3864"/>
            <w:u w:val="single"/>
          </w:rPr>
          <w:t xml:space="preserve">van der Ploeg 2011</w:t>
        </w:r>
      </w:hyperlink>
      <w:bookmarkEnd w:id="248"/>
      <w:r>
        <w:t xml:space="preserve">) cautions that concentrated export revenues can produce Dutch disease, institutional degradation, and volatility. Whether FLOP-exporting shares these risks depends on whether revenues are broadly distributed or concentrated among a narrow set of actors, and on whether governments invest the proceeds in human capital and institutional development.</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Reliable power grids, production efficiency, bilateral trust, and data governance frameworks determine whether cost advantages translate into actual exports.</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hyperlink w:anchor="ABD2020txt" w:history="1">
        <w:r>
          <w:rPr>
            <w:color w:val="1F3864"/>
            <w:u w:val="single"/>
          </w:rPr>
          <w:t xml:space="preserve">Asian Development Bank. (2020). </w:t>
        </w:r>
      </w:hyperlink>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5"/>
    </w:p>
    <w:p>
      <w:pPr>
        <w:spacing w:before="0" w:after="80" w:line="240" w:lineRule="exact"/>
        <w:ind w:hanging="720" w:left="720"/>
        <w:jc w:val="both"/>
      </w:pPr>
      <w:bookmarkStart w:id="506"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6"/>
    </w:p>
    <w:p>
      <w:pPr>
        <w:spacing w:before="0" w:after="80" w:line="240" w:lineRule="exact"/>
        <w:ind w:hanging="720" w:left="720"/>
        <w:jc w:val="both"/>
      </w:pPr>
      <w:bookmarkStart w:id="507"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7"/>
    </w:p>
    <w:p>
      <w:pPr>
        <w:spacing w:before="0" w:after="80" w:line="240" w:lineRule="exact"/>
        <w:ind w:hanging="720" w:left="720"/>
        <w:jc w:val="both"/>
      </w:pPr>
      <w:bookmarkStart w:id="508" w:name="Deloitte2020"/>
      <w:hyperlink w:anchor="Deloitte2020txt" w:history="1">
        <w:r>
          <w:rPr>
            <w:color w:val="1F3864"/>
            <w:u w:val="single"/>
          </w:rPr>
          <w:t xml:space="preserve">Deloitte and Google. (2020). </w:t>
        </w:r>
      </w:hyperlink>
      <w:r>
        <w:t>“Milliseconds Make Millions.” Deloitte Digital and Google.</w:t>
      </w:r>
      <w:bookmarkEnd w:id="508"/>
    </w:p>
    <w:p>
      <w:pPr>
        <w:spacing w:before="0" w:after="80" w:line="240" w:lineRule="exact"/>
        <w:ind w:hanging="720" w:left="720"/>
        <w:jc w:val="both"/>
      </w:pPr>
      <w:bookmarkStart w:id="509"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09"/>
    </w:p>
    <w:p>
      <w:pPr>
        <w:spacing w:before="0" w:after="80" w:line="240" w:lineRule="exact"/>
        <w:ind w:hanging="720" w:left="720"/>
        <w:jc w:val="both"/>
      </w:pPr>
      <w:bookmarkStart w:id="510"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0"/>
    </w:p>
    <w:p>
      <w:pPr>
        <w:spacing w:before="0" w:after="80" w:line="240" w:lineRule="exact"/>
        <w:ind w:hanging="720" w:left="720"/>
        <w:jc w:val="both"/>
      </w:pPr>
      <w:bookmarkStart w:id="511"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1"/>
    </w:p>
    <w:p>
      <w:pPr>
        <w:spacing w:before="0" w:after="80" w:line="240" w:lineRule="exact"/>
        <w:ind w:hanging="720" w:left="720"/>
        <w:jc w:val="both"/>
      </w:pPr>
      <w:bookmarkStart w:id="512" w:name="EpochAI2024"/>
      <w:hyperlink w:anchor="EpochAI2024txt" w:history="1">
        <w:r>
          <w:rPr>
            <w:color w:val="1F3864"/>
            <w:u w:val="single"/>
          </w:rPr>
          <w:t xml:space="preserve">Epoch AI. (2024). </w:t>
        </w:r>
      </w:hyperlink>
      <w:r>
        <w:t>“The Training Compute of Notable AI Models.” epochai.org.</w:t>
      </w:r>
      <w:bookmarkEnd w:id="512"/>
    </w:p>
    <w:p>
      <w:pPr>
        <w:spacing w:before="0" w:after="80" w:line="240" w:lineRule="exact"/>
        <w:ind w:hanging="720" w:left="720"/>
        <w:jc w:val="both"/>
      </w:pPr>
      <w:bookmarkStart w:id="513"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3"/>
    </w:p>
    <w:p>
      <w:pPr>
        <w:spacing w:before="0" w:after="80" w:line="240" w:lineRule="exact"/>
        <w:ind w:hanging="720" w:left="720"/>
        <w:jc w:val="both"/>
      </w:pPr>
      <w:bookmarkStart w:id="514"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4"/>
    </w:p>
    <w:p>
      <w:pPr>
        <w:spacing w:before="0" w:after="80" w:line="240" w:lineRule="exact"/>
        <w:ind w:hanging="720" w:left="720"/>
        <w:jc w:val="both"/>
      </w:pPr>
      <w:bookmarkStart w:id="515"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5"/>
    </w:p>
    <w:p>
      <w:pPr>
        <w:spacing w:before="0" w:after="80" w:line="240" w:lineRule="exact"/>
        <w:ind w:hanging="720" w:left="720"/>
        <w:jc w:val="both"/>
      </w:pPr>
      <w:bookmarkStart w:id="516"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6"/>
    </w:p>
    <w:p>
      <w:pPr>
        <w:spacing w:before="0" w:after="80" w:line="240" w:lineRule="exact"/>
        <w:ind w:hanging="720" w:left="720"/>
        <w:jc w:val="both"/>
      </w:pPr>
      <w:bookmarkStart w:id="517"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7"/>
    </w:p>
    <w:p>
      <w:pPr>
        <w:spacing w:before="0" w:after="80" w:line="240" w:lineRule="exact"/>
        <w:ind w:hanging="720" w:left="720"/>
        <w:jc w:val="both"/>
      </w:pPr>
      <w:bookmarkStart w:id="518" w:name="Google2024"/>
      <w:r>
        <w:rPr>
          <w:color w:val="1F3864"/>
          <w:u w:val="single"/>
        </w:rPr>
        <w:t xml:space="preserve">Google. </w:t>
      </w:r>
      <w:r>
        <w:t xml:space="preserve">(2024). </w:t>
      </w:r>
      <w:r>
        <w:rPr>
          <w:i/>
        </w:rPr>
        <w:t>2024 Environmental Report</w:t>
      </w:r>
      <w:r>
        <w:t>. sustainability.google.</w:t>
      </w:r>
      <w:bookmarkEnd w:id="518"/>
    </w:p>
    <w:p>
      <w:pPr>
        <w:spacing w:before="0" w:after="80" w:line="240" w:lineRule="exact"/>
        <w:ind w:hanging="720" w:left="720"/>
        <w:jc w:val="both"/>
      </w:pPr>
      <w:bookmarkStart w:id="519"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19"/>
    </w:p>
    <w:p>
      <w:pPr>
        <w:spacing w:before="0" w:after="80" w:line="240" w:lineRule="exact"/>
        <w:ind w:hanging="720" w:left="720"/>
        <w:jc w:val="both"/>
      </w:pPr>
      <w:bookmarkStart w:id="520"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0"/>
    </w:p>
    <w:p>
      <w:pPr>
        <w:spacing w:before="0" w:after="80" w:line="240" w:lineRule="exact"/>
        <w:ind w:hanging="720" w:left="720"/>
        <w:jc w:val="both"/>
      </w:pPr>
      <w:bookmarkStart w:id="521"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1"/>
    </w:p>
    <w:p>
      <w:pPr>
        <w:spacing w:before="0" w:after="80" w:line="240" w:lineRule="exact"/>
        <w:ind w:hanging="720" w:left="720"/>
        <w:jc w:val="both"/>
      </w:pPr>
      <w:bookmarkStart w:id="522" w:name="Hummels2013"/>
      <w:hyperlink w:anchor="Hummels2013txt" w:history="1">
        <w:r>
          <w:rPr>
            <w:color w:val="1F3864"/>
            <w:u w:val="single"/>
          </w:rPr>
          <w:t xml:space="preserve">Hummels, D., and G. Schaur. (2013). </w:t>
        </w:r>
      </w:hyperlink>
      <w:r>
        <w:t xml:space="preserve">“Time as a Trade Barrier.” </w:t>
      </w:r>
      <w:r>
        <w:rPr>
          <w:i/>
        </w:rPr>
        <w:t>American Economic Review</w:t>
      </w:r>
      <w:r>
        <w:t>, 103(7): 2935–2959.</w:t>
      </w:r>
      <w:bookmarkEnd w:id="522"/>
    </w:p>
    <w:p>
      <w:pPr>
        <w:spacing w:before="0" w:after="80" w:line="240" w:lineRule="exact"/>
        <w:ind w:hanging="720" w:left="720"/>
        <w:jc w:val="both"/>
      </w:pPr>
      <w:bookmarkStart w:id="523" w:name="IEA2025"/>
      <w:hyperlink w:anchor="IEA2025txt" w:history="1">
        <w:r>
          <w:rPr>
            <w:color w:val="1F3864"/>
            <w:u w:val="single"/>
          </w:rPr>
          <w:t xml:space="preserve">IEA. (2025). </w:t>
        </w:r>
      </w:hyperlink>
      <w:r>
        <w:t>“Energy Demand from AI.” Published online at iea.org.</w:t>
      </w:r>
      <w:bookmarkEnd w:id="523"/>
    </w:p>
    <w:p>
      <w:pPr>
        <w:spacing w:before="0" w:after="80" w:line="240" w:lineRule="exact"/>
        <w:ind w:hanging="720" w:left="720"/>
        <w:jc w:val="both"/>
      </w:pPr>
      <w:bookmarkStart w:id="524"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4"/>
    </w:p>
    <w:p>
      <w:pPr>
        <w:spacing w:before="0" w:after="80" w:line="240" w:lineRule="exact"/>
        <w:ind w:hanging="720" w:left="720"/>
        <w:jc w:val="both"/>
      </w:pPr>
      <w:bookmarkStart w:id="525"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5"/>
    </w:p>
    <w:p>
      <w:pPr>
        <w:spacing w:before="0" w:after="80" w:line="240" w:lineRule="exact"/>
        <w:ind w:hanging="720" w:left="720"/>
        <w:jc w:val="both"/>
      </w:pPr>
      <w:bookmarkStart w:id="526"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6"/>
    </w:p>
    <w:p>
      <w:pPr>
        <w:spacing w:before="0" w:after="80" w:line="240" w:lineRule="exact"/>
        <w:ind w:hanging="720" w:left="720"/>
        <w:jc w:val="both"/>
      </w:pPr>
      <w:bookmarkStart w:id="527"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7"/>
    </w:p>
    <w:p>
      <w:pPr>
        <w:spacing w:before="0" w:after="80" w:line="240" w:lineRule="exact"/>
        <w:ind w:hanging="720" w:left="720"/>
        <w:jc w:val="both"/>
      </w:pPr>
      <w:bookmarkStart w:id="528"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28"/>
    </w:p>
    <w:p>
      <w:pPr>
        <w:spacing w:before="0" w:after="80" w:line="240" w:lineRule="exact"/>
        <w:ind w:hanging="720" w:left="720"/>
        <w:jc w:val="both"/>
      </w:pPr>
      <w:bookmarkStart w:id="529"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2" w:name="WorldBank2024txt"/>
      <w:hyperlink w:anchor="WorldBank2024" w:history="1">
        <w:r>
          <w:rPr>
            <w:i/>
            <w:color w:val="1F3864"/>
            <w:u w:val="single"/>
          </w:rPr>
          <w:t xml:space="preserve">World Bank</w:t>
        </w:r>
      </w:hyperlink>
      <w:bookmarkEnd w:id="232"/>
      <w:r>
        <w:rPr>
          <w:i/>
        </w:rPr>
        <w:t xml:space="preserve"> Economic Review</w:t>
      </w:r>
      <w:r>
        <w:t>, 15(3): 451–479.</w:t>
      </w:r>
      <w:bookmarkEnd w:id="529"/>
    </w:p>
    <w:p>
      <w:pPr>
        <w:spacing w:before="0" w:after="80" w:line="240" w:lineRule="exact"/>
        <w:ind w:hanging="720" w:left="720"/>
        <w:jc w:val="both"/>
      </w:pPr>
      <w:bookmarkStart w:id="530"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0"/>
    </w:p>
    <w:p>
      <w:pPr>
        <w:spacing w:before="0" w:after="80" w:line="240" w:lineRule="exact"/>
        <w:ind w:hanging="720" w:left="720"/>
        <w:jc w:val="both"/>
      </w:pPr>
      <w:bookmarkStart w:id="531" w:name="NVIDIA2024"/>
      <w:hyperlink w:anchor="NVIDIA2024txt" w:history="1">
        <w:r>
          <w:rPr>
            <w:color w:val="1F3864"/>
            <w:u w:val="single"/>
          </w:rPr>
          <w:t xml:space="preserve">NVIDIA. </w:t>
        </w:r>
      </w:hyperlink>
      <w:r>
        <w:t xml:space="preserve">(2024). </w:t>
      </w:r>
      <w:r>
        <w:rPr>
          <w:i/>
        </w:rPr>
        <w:t>NVIDIA H100 Tensor Core GPU Datasheet</w:t>
      </w:r>
      <w:r>
        <w:t>. nvidia.com.</w:t>
      </w:r>
      <w:bookmarkEnd w:id="531"/>
    </w:p>
    <w:p>
      <w:pPr>
        <w:spacing w:before="0" w:after="80" w:line="240" w:lineRule="exact"/>
        <w:ind w:hanging="720" w:left="720"/>
        <w:jc w:val="both"/>
      </w:pPr>
      <w:bookmarkStart w:id="532"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2"/>
    </w:p>
    <w:p>
      <w:pPr>
        <w:spacing w:before="0" w:after="80" w:line="240" w:lineRule="exact"/>
        <w:ind w:hanging="720" w:left="720"/>
        <w:jc w:val="both"/>
      </w:pPr>
      <w:bookmarkStart w:id="533"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3"/>
    </w:p>
    <w:p>
      <w:pPr>
        <w:spacing w:before="0" w:after="80" w:line="240" w:lineRule="exact"/>
        <w:ind w:hanging="720" w:left="720"/>
        <w:jc w:val="both"/>
      </w:pPr>
      <w:bookmarkStart w:id="534" w:name="Sastry2024"/>
      <w:hyperlink w:anchor="Sastry2024txt" w:history="1">
        <w:r>
          <w:rPr>
            <w:color w:val="1F3864"/>
            <w:u w:val="single"/>
          </w:rPr>
          <w:t xml:space="preserve">Sastry, G., L. Heim, et al. (2024). </w:t>
        </w:r>
      </w:hyperlink>
      <w:r>
        <w:t>“Computing Power and the Governance of Artificial Intelligence.” arXiv:2402.08797.</w:t>
      </w:r>
      <w:bookmarkEnd w:id="534"/>
    </w:p>
    <w:p>
      <w:pPr>
        <w:spacing w:before="0" w:after="80" w:line="240" w:lineRule="exact"/>
        <w:ind w:hanging="720" w:left="720"/>
        <w:jc w:val="both"/>
      </w:pPr>
      <w:bookmarkStart w:id="535"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5"/>
    </w:p>
    <w:p>
      <w:pPr>
        <w:spacing w:before="0" w:after="80" w:line="240" w:lineRule="exact"/>
        <w:ind w:hanging="720" w:left="720"/>
        <w:jc w:val="both"/>
      </w:pPr>
      <w:bookmarkStart w:id="536"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6"/>
    </w:p>
    <w:p>
      <w:pPr>
        <w:spacing w:before="0" w:after="80" w:line="240" w:lineRule="exact"/>
        <w:ind w:hanging="720" w:left="720"/>
        <w:jc w:val="both"/>
      </w:pPr>
      <w:bookmarkStart w:id="537" w:name="TurnerLee2025"/>
      <w:hyperlink w:anchor="TurnerLee2025txt" w:history="1">
        <w:r>
          <w:rPr>
            <w:color w:val="1F3864"/>
            <w:u w:val="single"/>
          </w:rPr>
          <w:t xml:space="preserve">Turner Lee, N., and D. West. (2025). </w:t>
        </w:r>
      </w:hyperlink>
      <w:r>
        <w:t>“The Future of Data Centers.” Brookings Institution, November 2025.</w:t>
      </w:r>
      <w:bookmarkEnd w:id="537"/>
    </w:p>
    <w:p>
      <w:pPr>
        <w:spacing w:before="0" w:after="80" w:line="240" w:lineRule="exact"/>
        <w:ind w:hanging="720" w:left="720"/>
        <w:jc w:val="both"/>
      </w:pPr>
      <w:bookmarkStart w:id="538" w:name="DOJFTC2010"/>
      <w:r>
        <w:rPr>
          <w:color w:val="1F3864"/>
          <w:u w:val="single"/>
        </w:rPr>
        <w:t xml:space="preserve">U.S. Department of Justice and Federal Trade Commission. </w:t>
      </w:r>
      <w:r>
        <w:t xml:space="preserve">(2010). </w:t>
      </w:r>
      <w:r>
        <w:rPr>
          <w:i/>
        </w:rPr>
        <w:t>Horizontal Merger Guidelines</w:t>
      </w:r>
      <w:r>
        <w:t>. Washington, DC.</w:t>
      </w:r>
      <w:bookmarkEnd w:id="538"/>
    </w:p>
    <w:p>
      <w:pPr>
        <w:spacing w:before="0" w:after="80" w:line="240" w:lineRule="exact"/>
        <w:ind w:hanging="720" w:left="720"/>
        <w:jc w:val="both"/>
      </w:pPr>
      <w:bookmarkStart w:id="539" w:name="UNCTAD2025"/>
      <w:r>
        <w:rPr>
          <w:color w:val="1F3864"/>
          <w:u w:val="single"/>
        </w:rPr>
        <w:t xml:space="preserve">UNCTAD. </w:t>
      </w:r>
      <w:r>
        <w:t xml:space="preserve">(2025). </w:t>
      </w:r>
      <w:r>
        <w:rPr>
          <w:i/>
        </w:rPr>
        <w:t>Technology and Innovation Report 2025</w:t>
      </w:r>
      <w:r>
        <w:t>. Geneva: United Nations.</w:t>
      </w:r>
      <w:bookmarkEnd w:id="539"/>
    </w:p>
    <w:p>
      <w:pPr>
        <w:spacing w:before="0" w:after="80" w:line="240" w:lineRule="exact"/>
        <w:ind w:hanging="720" w:left="720"/>
        <w:jc w:val="both"/>
      </w:pPr>
      <w:bookmarkStart w:id="540"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0"/>
    </w:p>
    <w:p>
      <w:pPr>
        <w:spacing w:before="0" w:after="80" w:line="240" w:lineRule="exact"/>
        <w:ind w:hanging="720" w:left="720"/>
        <w:jc w:val="both"/>
      </w:pPr>
      <w:bookmarkStart w:id="541"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1"/>
    </w:p>
    <w:p>
      <w:pPr>
        <w:spacing w:before="0" w:after="80" w:line="240" w:lineRule="exact"/>
        <w:ind w:hanging="720" w:left="720"/>
        <w:jc w:val="both"/>
      </w:pPr>
      <w:bookmarkStart w:id="542"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2"/>
    </w:p>
    <w:p>
      <w:pPr>
        <w:spacing w:before="0" w:after="80" w:line="240" w:lineRule="exact"/>
        <w:ind w:hanging="720" w:left="720"/>
        <w:jc w:val="both"/>
      </w:pPr>
      <w:bookmarkStart w:id="543"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3"/>
    </w:p>
    <w:p>
      <w:pPr>
        <w:spacing w:before="0" w:after="80" w:line="240" w:lineRule="exact"/>
        <w:ind w:hanging="720" w:left="720"/>
        <w:jc w:val="both"/>
      </w:pPr>
      <w:bookmarkStart w:id="544"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3" w:name="WorldBank2024txt"/>
      <w:hyperlink w:anchor="WorldBank2024" w:history="1">
        <w:r>
          <w:rPr>
            <w:color w:val="1F3864"/>
            <w:u w:val="single"/>
          </w:rPr>
          <w:t xml:space="preserve">World Bank</w:t>
        </w:r>
      </w:hyperlink>
      <w:bookmarkEnd w:id="233"/>
      <w:r>
        <w:t xml:space="preserve">.</w:t>
      </w:r>
      <w:bookmarkEnd w:id="544"/>
    </w:p>
    <w:p>
      <w:pPr>
        <w:spacing w:before="0" w:after="0"/>
      </w:pPr>
      <w:r>
        <w:br w:type="page"/>
      </w:r>
    </w:p>
    <w:p>
      <w:pPr>
        <w:spacing w:before="120" w:after="80"/>
        <w:ind w:firstLine="0"/>
        <w:jc w:val="both"/>
      </w:pPr>
      <w:bookmarkStart w:id="120" w:name="Figure1"/>
      <w:hyperlink w:anchor="Figure1txt" w:history="1">
        <w:r>
          <w:rPr>
            <w:b/>
            <w:sz w:val="20"/>
            <w:color w:val="1F3864"/>
            <w:u w:val="single"/>
          </w:rPr>
          <w:t>Figure 1</w:t>
        </w:r>
      </w:hyperlink>
      <w:bookmarkEnd w:id="120"/>
      <w:r>
        <w:rPr>
          <w:b/>
          <w:sz w:val="20"/>
        </w:rPr>
        <w:t>. Rank change with efficiency adjustment</w:t>
      </w:r>
    </w:p>
    <w:p>
      <w:pPr>
        <w:spacing w:before="80" w:after="80"/>
        <w:jc w:val="center"/>
      </w:pPr>
      <w:r>
        <w:drawing>
          <wp:inline xmlns:a="http://schemas.openxmlformats.org/drawingml/2006/main" xmlns:pic="http://schemas.openxmlformats.org/drawingml/2006/picture">
            <wp:extent cx="4114800" cy="4130125"/>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114800" cy="4130125"/>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Each point is one country. The dashed line marks unchanged rank. Countries above the line improve their position after efficiency adjustment; countries below it fall. Stars (★) indicate countries with active data center construction announcements. Values in parentheses show the production-efficiency index ξᵉᶠᶠ. Even countries with ξᵉᶠᶠ ≈ 1 shift off the diagonal because penalizing low-ξᵉᶠᶠ competitors pushes them down, mechanically raising higher-ξᵉᶠᶠ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3a</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Production-efficiency index (baseline)</w:t>
            </w:r>
          </w:p>
        </w:tc>
        <w:tc>
          <w:tcPr>
            <w:tcW w:type="dxa" w:w="864"/>
            <w:tcBorders>
              <w:bottom w:val="double" w:sz="4" w:space="0" w:color="auto"/>
            </w:tcBorders>
          </w:tcPr>
          <w:p>
            <w:pPr>
              <w:jc w:val="center"/>
              <w:spacing w:before="10" w:after="10"/>
            </w:pPr>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The production-efficiency index ξⱼᵉᶠᶠ combines governance quality and grid reliability (equation 3).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3a</w:t>
        </w:r>
      </w:hyperlink>
      <w:bookmarkEnd w:id="111"/>
      <w:r>
        <w:rPr>
          <w:b/>
          <w:sz w:val="20"/>
        </w:rPr>
        <w:t>. Country rankings under alternative cost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(3) Efficiency-Adj.</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(4) Bilateral λᵢⱼ</w:t>
            </w:r>
          </w:p>
        </w:tc>
        <w:tc>
          <w:tcPr>
            <w:tcBorders>
              <w:top w:val="single" w:sz="4" w:space="0" w:color="auto"/>
            </w:tcBorders>
            <w:tcW w:w="540" w:type="dxa"/>
          </w:tcPr>
          <w:p>
            <w:pPr>
              <w:jc w:val="center"/>
              <w:spacing w:before="10" w:after="10"/>
            </w:pPr>
            <w:r/>
            <w:r>
              <w:rPr>
                <w:rFonts w:ascii="Times New Roman" w:hAnsi="Times New Roman"/>
                <w:sz w:val="16"/>
              </w:rPr>
            </w:r>
          </w:p>
        </w:tc>
      </w:tr>
      <w:tr>
        <w:tc>
          <w:tcPr>
            <w:tcBorders>
              <w:bottom w:val="single" w:sz="4" w:space="0" w:color="auto"/>
            </w:tcBorders>
            <w:tcW w:w="1800" w:type="dxa"/>
          </w:tcPr>
          <w:p>
            <w:pPr>
              <w:jc w:val="left"/>
              <w:spacing w:before="10" w:after="10"/>
            </w:pPr>
            <w:r/>
            <w:r>
              <w:rPr>
                <w:rFonts w:ascii="Times New Roman" w:hAnsi="Times New Roman"/>
                <w:b/>
                <w:sz w:val="16"/>
              </w:rPr>
              <w:t>Country</w:t>
            </w:r>
          </w:p>
        </w:tc>
        <w:tc>
          <w:tcPr>
            <w:tcBorders>
              <w:bottom w:val="single" w:sz="4" w:space="0" w:color="auto"/>
            </w:tcBorders>
            <w:tcW w:w="900" w:type="dxa"/>
          </w:tcPr>
          <w:p>
            <w:pPr>
              <w:jc w:val="center"/>
              <w:spacing w:before="10" w:after="10"/>
            </w:pPr>
            <w:r/>
            <w:r>
              <w:rPr>
                <w:rFonts w:ascii="Times New Roman" w:hAnsi="Times New Roman"/>
                <w:b/>
                <w:sz w:val="16"/>
              </w:rPr>
              <w:t>cⱼ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cⱼ/ξⱼᵉᶠᶠ</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cⱼ/ξⱼᵉᶠᶠ</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+26</w:t>
            </w:r>
          </w:p>
        </w:tc>
      </w:tr>
      <w:tr>
        <w:tc>
          <w:tcPr>
            <w:tcW w:w="1800" w:type="dxa"/>
          </w:tcPr>
          <w:p>
            <w:pPr>
              <w:jc w:val="left"/>
              <w:spacing w:before="10" w:after="10"/>
            </w:pPr>
            <w:r/>
            <w:r>
              <w:rPr>
                <w:rFonts w:ascii="Times New Roman" w:hAnsi="Times New Roman"/>
                <w:sz w:val="16"/>
              </w:rPr>
              <w:t>South Africa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8</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b/>
                <w:sz w:val="16"/>
              </w:rPr>
              <w:t>14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+27</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b/>
                <w:sz w:val="16"/>
              </w:rPr>
              <w:t>15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Germany</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b/>
                <w:sz w:val="16"/>
              </w:rPr>
              <w:t>20</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+53</w:t>
            </w:r>
          </w:p>
        </w:tc>
      </w:tr>
      <w:tr>
        <w:tc>
          <w:tcPr>
            <w:tcW w:w="1800" w:type="dxa"/>
          </w:tcPr>
          <w:p>
            <w:pPr>
              <w:jc w:val="left"/>
              <w:spacing w:before="10" w:after="10"/>
            </w:pPr>
            <w:r/>
            <w:r>
              <w:rPr>
                <w:rFonts w:ascii="Times New Roman" w:hAnsi="Times New Roman"/>
                <w:sz w:val="16"/>
              </w:rPr>
              <w:t>USA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b/>
                <w:sz w:val="16"/>
              </w:rPr>
              <w:t>21</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+11</w:t>
            </w:r>
          </w:p>
        </w:tc>
      </w:tr>
      <w:tr>
        <w:tc>
          <w:tcPr>
            <w:tcW w:w="1800" w:type="dxa"/>
          </w:tcPr>
          <w:p>
            <w:pPr>
              <w:jc w:val="left"/>
              <w:spacing w:before="10" w:after="10"/>
            </w:pPr>
            <w:r/>
            <w:r>
              <w:rPr>
                <w:rFonts w:ascii="Times New Roman" w:hAnsi="Times New Roman"/>
                <w:sz w:val="16"/>
              </w:rPr>
              <w:t>Japan</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b/>
                <w:sz w:val="16"/>
              </w:rPr>
              <w:t>23</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+54</w:t>
            </w:r>
          </w:p>
        </w:tc>
      </w:tr>
      <w:tr>
        <w:tc>
          <w:tcPr>
            <w:tcW w:w="1800" w:type="dxa"/>
          </w:tcPr>
          <w:p>
            <w:pPr>
              <w:jc w:val="left"/>
              <w:spacing w:before="10" w:after="10"/>
            </w:pPr>
            <w:r/>
            <w:r>
              <w:rPr>
                <w:rFonts w:ascii="Times New Roman" w:hAnsi="Times New Roman"/>
                <w:sz w:val="16"/>
              </w:rPr>
              <w:t>Qatar</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62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$1.73</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$1.73</w:t>
            </w:r>
          </w:p>
        </w:tc>
        <w:tc>
          <w:tcPr>
            <w:tcW w:w="540" w:type="dxa"/>
          </w:tcPr>
          <w:p>
            <w:pPr>
              <w:jc w:val="center"/>
              <w:spacing w:before="10" w:after="10"/>
            </w:pPr>
            <w:r/>
            <w:r>
              <w:rPr>
                <w:rFonts w:ascii="Times New Roman" w:hAnsi="Times New Roman"/>
                <w:b/>
                <w:sz w:val="16"/>
              </w:rPr>
              <w:t>37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-20</w:t>
            </w:r>
          </w:p>
        </w:tc>
      </w:tr>
      <w:tr>
        <w:tc>
          <w:tcPr>
            <w:tcW w:w="1800" w:type="dxa"/>
          </w:tcPr>
          <w:p>
            <w:pPr>
              <w:jc w:val="left"/>
              <w:spacing w:before="10" w:after="10"/>
            </w:pPr>
            <w:r/>
            <w:r>
              <w:rPr>
                <w:rFonts w:ascii="Times New Roman" w:hAnsi="Times New Roman"/>
                <w:sz w:val="16"/>
              </w:rPr>
              <w:t>Saudi Arabia</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56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$1.80</w:t>
            </w:r>
          </w:p>
        </w:tc>
        <w:tc>
          <w:tcPr>
            <w:tcW w:w="540" w:type="dxa"/>
          </w:tcPr>
          <w:p>
            <w:pPr>
              <w:jc w:val="center"/>
              <w:spacing w:before="10" w:after="10"/>
            </w:pPr>
            <w:r/>
            <w:r>
              <w:rPr>
                <w:rFonts w:ascii="Times New Roman" w:hAnsi="Times New Roman"/>
                <w:b/>
                <w:sz w:val="16"/>
              </w:rPr>
              <w:t>41</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-13</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$1.92</w:t>
            </w:r>
          </w:p>
        </w:tc>
        <w:tc>
          <w:tcPr>
            <w:tcW w:w="540" w:type="dxa"/>
          </w:tcPr>
          <w:p>
            <w:pPr>
              <w:jc w:val="center"/>
              <w:spacing w:before="10" w:after="10"/>
            </w:pPr>
            <w:r/>
            <w:r>
              <w:rPr>
                <w:rFonts w:ascii="Times New Roman" w:hAnsi="Times New Roman"/>
                <w:sz w:val="16"/>
              </w:rPr>
              <w:t>45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$1.92</w:t>
            </w:r>
          </w:p>
        </w:tc>
        <w:tc>
          <w:tcPr>
            <w:tcW w:w="540" w:type="dxa"/>
          </w:tcPr>
          <w:p>
            <w:pPr>
              <w:jc w:val="center"/>
              <w:spacing w:before="10" w:after="10"/>
            </w:pPr>
            <w:r/>
            <w:r>
              <w:rPr>
                <w:rFonts w:ascii="Times New Roman" w:hAnsi="Times New Roman"/>
                <w:b/>
                <w:sz w:val="16"/>
              </w:rPr>
              <w:t>45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-35</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$2.05</w:t>
            </w:r>
          </w:p>
        </w:tc>
        <w:tc>
          <w:tcPr>
            <w:tcW w:w="540" w:type="dxa"/>
          </w:tcPr>
          <w:p>
            <w:pPr>
              <w:jc w:val="center"/>
              <w:spacing w:before="10" w:after="10"/>
            </w:pPr>
            <w:r/>
            <w:r>
              <w:rPr>
                <w:rFonts w:ascii="Times New Roman" w:hAnsi="Times New Roman"/>
                <w:sz w:val="16"/>
              </w:rPr>
              <w:t>52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$2.05</w:t>
            </w:r>
          </w:p>
        </w:tc>
        <w:tc>
          <w:tcPr>
            <w:tcW w:w="540" w:type="dxa"/>
          </w:tcPr>
          <w:p>
            <w:pPr>
              <w:jc w:val="center"/>
              <w:spacing w:before="10" w:after="10"/>
            </w:pPr>
            <w:r/>
            <w:r>
              <w:rPr>
                <w:rFonts w:ascii="Times New Roman" w:hAnsi="Times New Roman"/>
                <w:b/>
                <w:sz w:val="16"/>
              </w:rPr>
              <w:t>52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-30</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$2.18</w:t>
            </w:r>
          </w:p>
        </w:tc>
        <w:tc>
          <w:tcPr>
            <w:tcW w:w="540" w:type="dxa"/>
          </w:tcPr>
          <w:p>
            <w:pPr>
              <w:jc w:val="center"/>
              <w:spacing w:before="10" w:after="10"/>
            </w:pPr>
            <w:r/>
            <w:r>
              <w:rPr>
                <w:rFonts w:ascii="Times New Roman" w:hAnsi="Times New Roman"/>
                <w:sz w:val="16"/>
              </w:rPr>
              <w:t>59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$2.18</w:t>
            </w:r>
          </w:p>
        </w:tc>
        <w:tc>
          <w:tcPr>
            <w:tcW w:w="540" w:type="dxa"/>
          </w:tcPr>
          <w:p>
            <w:pPr>
              <w:jc w:val="center"/>
              <w:spacing w:before="10" w:after="10"/>
            </w:pPr>
            <w:r/>
            <w:r>
              <w:rPr>
                <w:rFonts w:ascii="Times New Roman" w:hAnsi="Times New Roman"/>
                <w:b/>
                <w:sz w:val="16"/>
              </w:rPr>
              <w:t>59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-41</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$2.23</w:t>
            </w:r>
          </w:p>
        </w:tc>
        <w:tc>
          <w:tcPr>
            <w:tcW w:w="540" w:type="dxa"/>
          </w:tcPr>
          <w:p>
            <w:pPr>
              <w:jc w:val="center"/>
              <w:spacing w:before="10" w:after="10"/>
            </w:pPr>
            <w:r/>
            <w:r>
              <w:rPr>
                <w:rFonts w:ascii="Times New Roman" w:hAnsi="Times New Roman"/>
                <w:sz w:val="16"/>
              </w:rPr>
              <w:t>62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$2.23</w:t>
            </w:r>
          </w:p>
        </w:tc>
        <w:tc>
          <w:tcPr>
            <w:tcW w:w="540" w:type="dxa"/>
          </w:tcPr>
          <w:p>
            <w:pPr>
              <w:jc w:val="center"/>
              <w:spacing w:before="10" w:after="10"/>
            </w:pPr>
            <w:r/>
            <w:r>
              <w:rPr>
                <w:rFonts w:ascii="Times New Roman" w:hAnsi="Times New Roman"/>
                <w:b/>
                <w:sz w:val="16"/>
              </w:rPr>
              <w:t>62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-53</w:t>
            </w:r>
          </w:p>
        </w:tc>
      </w:tr>
      <w:tr>
        <w:tc>
          <w:tcPr>
            <w:tcW w:w="1800" w:type="dxa"/>
          </w:tcPr>
          <w:p>
            <w:pPr>
              <w:jc w:val="left"/>
              <w:spacing w:before="10" w:after="10"/>
            </w:pPr>
            <w:r/>
            <w:r>
              <w:rPr>
                <w:rFonts w:ascii="Times New Roman" w:hAnsi="Times New Roman"/>
                <w:sz w:val="16"/>
              </w:rPr>
              <w:t>Ukraine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$2.27</w:t>
            </w:r>
          </w:p>
        </w:tc>
        <w:tc>
          <w:tcPr>
            <w:tcW w:w="540" w:type="dxa"/>
          </w:tcPr>
          <w:p>
            <w:pPr>
              <w:jc w:val="center"/>
              <w:spacing w:before="10" w:after="10"/>
            </w:pPr>
            <w:r/>
            <w:r>
              <w:rPr>
                <w:rFonts w:ascii="Times New Roman" w:hAnsi="Times New Roman"/>
                <w:sz w:val="16"/>
              </w:rPr>
              <w:t>65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$2.27</w:t>
            </w:r>
          </w:p>
        </w:tc>
        <w:tc>
          <w:tcPr>
            <w:tcW w:w="540" w:type="dxa"/>
          </w:tcPr>
          <w:p>
            <w:pPr>
              <w:jc w:val="center"/>
              <w:spacing w:before="10" w:after="10"/>
            </w:pPr>
            <w:r/>
            <w:r>
              <w:rPr>
                <w:rFonts w:ascii="Times New Roman" w:hAnsi="Times New Roman"/>
                <w:b/>
                <w:sz w:val="16"/>
              </w:rPr>
              <w:t>65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-49</w:t>
            </w:r>
          </w:p>
        </w:tc>
      </w:tr>
      <w:tr>
        <w:tc>
          <w:tcPr>
            <w:tcW w:w="1800" w:type="dxa"/>
          </w:tcPr>
          <w:p>
            <w:pPr>
              <w:jc w:val="left"/>
              <w:spacing w:before="10" w:after="10"/>
            </w:pPr>
            <w:r/>
            <w:r>
              <w:rPr>
                <w:rFonts w:ascii="Times New Roman" w:hAnsi="Times New Roman"/>
                <w:sz w:val="16"/>
              </w:rPr>
              <w:t>Egypt</w:t>
            </w:r>
          </w:p>
        </w:tc>
        <w:tc>
          <w:tcPr>
            <w:tcW w:w="900" w:type="dxa"/>
          </w:tcPr>
          <w:p>
            <w:pPr>
              <w:jc w:val="center"/>
              <w:spacing w:before="10" w:after="10"/>
            </w:pPr>
            <w:r/>
            <w:r>
              <w:rPr>
                <w:rFonts w:ascii="Times New Roman" w:hAnsi="Times New Roman"/>
                <w:sz w:val="16"/>
              </w:rPr>
              <w:t>$1.43</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$2.48</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$2.48</w:t>
            </w:r>
          </w:p>
        </w:tc>
        <w:tc>
          <w:tcPr>
            <w:tcW w:w="540" w:type="dxa"/>
          </w:tcPr>
          <w:p>
            <w:pPr>
              <w:jc w:val="center"/>
              <w:spacing w:before="10" w:after="10"/>
            </w:pPr>
            <w:r/>
            <w:r>
              <w:rPr>
                <w:rFonts w:ascii="Times New Roman" w:hAnsi="Times New Roman"/>
                <w:b/>
                <w:sz w:val="16"/>
              </w:rPr>
              <w:t>73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-68</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$2.50</w:t>
            </w:r>
          </w:p>
        </w:tc>
        <w:tc>
          <w:tcPr>
            <w:tcW w:w="540" w:type="dxa"/>
          </w:tcPr>
          <w:p>
            <w:pPr>
              <w:jc w:val="center"/>
              <w:spacing w:before="10" w:after="10"/>
            </w:pPr>
            <w:r/>
            <w:r>
              <w:rPr>
                <w:rFonts w:ascii="Times New Roman" w:hAnsi="Times New Roman"/>
                <w:sz w:val="16"/>
              </w:rPr>
              <w:t>74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$2.50</w:t>
            </w:r>
          </w:p>
        </w:tc>
        <w:tc>
          <w:tcPr>
            <w:tcW w:w="540" w:type="dxa"/>
          </w:tcPr>
          <w:p>
            <w:pPr>
              <w:jc w:val="center"/>
              <w:spacing w:before="10" w:after="10"/>
            </w:pPr>
            <w:r/>
            <w:r>
              <w:rPr>
                <w:rFonts w:ascii="Times New Roman" w:hAnsi="Times New Roman"/>
                <w:b/>
                <w:sz w:val="16"/>
              </w:rPr>
              <w:t>74</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-70</w:t>
            </w:r>
          </w:p>
        </w:tc>
      </w:tr>
      <w:tr>
        <w:tc>
          <w:tcPr>
            <w:tcW w:w="1800" w:type="dxa"/>
          </w:tcPr>
          <w:p>
            <w:pPr>
              <w:jc w:val="left"/>
              <w:spacing w:before="10" w:after="10"/>
            </w:pPr>
            <w:r/>
            <w:r>
              <w:rPr>
                <w:rFonts w:ascii="Times New Roman" w:hAnsi="Times New Roman"/>
                <w:sz w:val="16"/>
              </w:rPr>
              <w:t>Russia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$2.51</w:t>
            </w:r>
          </w:p>
        </w:tc>
        <w:tc>
          <w:tcPr>
            <w:tcW w:w="540" w:type="dxa"/>
          </w:tcPr>
          <w:p>
            <w:pPr>
              <w:jc w:val="center"/>
              <w:spacing w:before="10" w:after="10"/>
            </w:pPr>
            <w:r/>
            <w:r>
              <w:rPr>
                <w:rFonts w:ascii="Times New Roman" w:hAnsi="Times New Roman"/>
                <w:sz w:val="16"/>
              </w:rPr>
              <w:t>75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$2.51</w:t>
            </w:r>
          </w:p>
        </w:tc>
        <w:tc>
          <w:tcPr>
            <w:tcW w:w="540" w:type="dxa"/>
          </w:tcPr>
          <w:p>
            <w:pPr>
              <w:jc w:val="center"/>
              <w:spacing w:before="10" w:after="10"/>
            </w:pPr>
            <w:r/>
            <w:r>
              <w:rPr>
                <w:rFonts w:ascii="Times New Roman" w:hAnsi="Times New Roman"/>
                <w:b/>
                <w:sz w:val="16"/>
              </w:rPr>
              <w:t>75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-67</w:t>
            </w:r>
          </w:p>
        </w:tc>
      </w:tr>
      <w:tr>
        <w:tc>
          <w:tcPr>
            <w:tcW w:w="1800" w:type="dxa"/>
          </w:tcPr>
          <w:p>
            <w:pPr>
              <w:jc w:val="left"/>
              <w:spacing w:before="10" w:after="10"/>
            </w:pPr>
            <w:r/>
            <w:r>
              <w:rPr>
                <w:rFonts w:ascii="Times New Roman" w:hAnsi="Times New Roman"/>
                <w:sz w:val="16"/>
              </w:rPr>
              <w:t>Tajikistan</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$2.84</w:t>
            </w:r>
          </w:p>
        </w:tc>
        <w:tc>
          <w:tcPr>
            <w:tcW w:w="540" w:type="dxa"/>
          </w:tcPr>
          <w:p>
            <w:pPr>
              <w:jc w:val="center"/>
              <w:spacing w:before="10" w:after="10"/>
            </w:pPr>
            <w:r/>
            <w:r>
              <w:rPr>
                <w:rFonts w:ascii="Times New Roman" w:hAnsi="Times New Roman"/>
                <w:sz w:val="16"/>
              </w:rPr>
              <w:t>80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$2.84</w:t>
            </w:r>
          </w:p>
        </w:tc>
        <w:tc>
          <w:tcPr>
            <w:tcW w:w="540" w:type="dxa"/>
          </w:tcPr>
          <w:p>
            <w:pPr>
              <w:jc w:val="center"/>
              <w:spacing w:before="10" w:after="10"/>
            </w:pPr>
            <w:r/>
            <w:r>
              <w:rPr>
                <w:rFonts w:ascii="Times New Roman" w:hAnsi="Times New Roman"/>
                <w:b/>
                <w:sz w:val="16"/>
              </w:rPr>
              <w:t>80</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-68</w:t>
            </w:r>
          </w:p>
        </w:tc>
      </w:tr>
      <w:tr>
        <w:tc>
          <w:tcPr>
            <w:tcW w:w="1800" w:type="dxa"/>
          </w:tcPr>
          <w:p>
            <w:pPr>
              <w:jc w:val="left"/>
              <w:spacing w:before="10" w:after="10"/>
            </w:pPr>
            <w:r/>
            <w:r>
              <w:rPr>
                <w:rFonts w:ascii="Times New Roman" w:hAnsi="Times New Roman"/>
                <w:sz w:val="16"/>
              </w:rPr>
              <w:t>Iran</w:t>
            </w:r>
          </w:p>
        </w:tc>
        <w:tc>
          <w:tcPr>
            <w:tcW w:w="900" w:type="dxa"/>
          </w:tcPr>
          <w:p>
            <w:pPr>
              <w:jc w:val="center"/>
              <w:spacing w:before="10" w:after="10"/>
            </w:pPr>
            <w:r/>
            <w:r>
              <w:rPr>
                <w:rFonts w:ascii="Times New Roman" w:hAnsi="Times New Roman"/>
                <w:sz w:val="16"/>
              </w:rPr>
              <w:t>$1.40</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$2.89</w:t>
            </w:r>
          </w:p>
        </w:tc>
        <w:tc>
          <w:tcPr>
            <w:tcW w:w="540" w:type="dxa"/>
          </w:tcPr>
          <w:p>
            <w:pPr>
              <w:jc w:val="center"/>
              <w:spacing w:before="10" w:after="10"/>
            </w:pPr>
            <w:r/>
            <w:r>
              <w:rPr>
                <w:rFonts w:ascii="Times New Roman" w:hAnsi="Times New Roman"/>
                <w:sz w:val="16"/>
              </w:rPr>
              <w:t>81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$2.89</w:t>
            </w:r>
          </w:p>
        </w:tc>
        <w:tc>
          <w:tcPr>
            <w:tcW w:w="540" w:type="dxa"/>
          </w:tcPr>
          <w:p>
            <w:pPr>
              <w:jc w:val="center"/>
              <w:spacing w:before="10" w:after="10"/>
            </w:pPr>
            <w:r/>
            <w:r>
              <w:rPr>
                <w:rFonts w:ascii="Times New Roman" w:hAnsi="Times New Roman"/>
                <w:b/>
                <w:sz w:val="16"/>
              </w:rPr>
              <w:t>81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-80</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$3.07</w:t>
            </w:r>
          </w:p>
        </w:tc>
        <w:tc>
          <w:tcPr>
            <w:tcW w:w="540" w:type="dxa"/>
          </w:tcPr>
          <w:p>
            <w:pPr>
              <w:jc w:val="center"/>
              <w:spacing w:before="10" w:after="10"/>
            </w:pPr>
            <w:r/>
            <w:r>
              <w:rPr>
                <w:rFonts w:ascii="Times New Roman" w:hAnsi="Times New Roman"/>
                <w:sz w:val="16"/>
              </w:rPr>
              <w:t>83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$3.07</w:t>
            </w:r>
          </w:p>
        </w:tc>
        <w:tc>
          <w:tcPr>
            <w:tcW w:w="540" w:type="dxa"/>
          </w:tcPr>
          <w:p>
            <w:pPr>
              <w:jc w:val="center"/>
              <w:spacing w:before="10" w:after="10"/>
            </w:pPr>
            <w:r/>
            <w:r>
              <w:rPr>
                <w:rFonts w:ascii="Times New Roman" w:hAnsi="Times New Roman"/>
                <w:b/>
                <w:sz w:val="16"/>
              </w:rPr>
              <w:t>83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-80</w:t>
            </w:r>
          </w:p>
        </w:tc>
      </w:tr>
      <w:tr>
        <w:tc>
          <w:tcPr>
            <w:tcBorders>
              <w:bottom w:val="double" w:sz="4" w:space="0" w:color="auto"/>
            </w:tcBorders>
            <w:tcW w:w="1800" w:type="dxa"/>
          </w:tcPr>
          <w:p>
            <w:pPr>
              <w:jc w:val="left"/>
              <w:spacing w:before="10" w:after="10"/>
            </w:pPr>
            <w:r/>
            <w:r>
              <w:rPr>
                <w:rFonts w:ascii="Times New Roman" w:hAnsi="Times New Roman"/>
                <w:sz w:val="16"/>
              </w:rPr>
              <w:t>Turkmenistan</w:t>
            </w:r>
          </w:p>
        </w:tc>
        <w:tc>
          <w:tcPr>
            <w:tcBorders>
              <w:bottom w:val="double" w:sz="4" w:space="0" w:color="auto"/>
            </w:tcBorders>
            <w:tcW w:w="900" w:type="dxa"/>
          </w:tcPr>
          <w:p>
            <w:pPr>
              <w:jc w:val="center"/>
              <w:spacing w:before="10" w:after="10"/>
            </w:pPr>
            <w:r/>
            <w:r>
              <w:rPr>
                <w:rFonts w:ascii="Times New Roman" w:hAnsi="Times New Roman"/>
                <w:sz w:val="16"/>
              </w:rPr>
              <w:t>$1.41</w:t>
            </w:r>
          </w:p>
        </w:tc>
        <w:tc>
          <w:tcPr>
            <w:tcBorders>
              <w:bottom w:val="double" w:sz="4" w:space="0" w:color="auto"/>
            </w:tcBorders>
            <w:tcW w:w="540" w:type="dxa"/>
          </w:tcPr>
          <w:p>
            <w:pPr>
              <w:jc w:val="center"/>
              <w:spacing w:before="10" w:after="10"/>
            </w:pPr>
            <w:r/>
            <w:r>
              <w:rPr>
                <w:rFonts w:ascii="Times New Roman" w:hAnsi="Times New Roman"/>
                <w:sz w:val="16"/>
              </w:rPr>
              <w:t>2</w:t>
            </w:r>
          </w:p>
        </w:tc>
        <w:tc>
          <w:tcPr>
            <w:tcBorders>
              <w:bottom w:val="double" w:sz="4" w:space="0" w:color="auto"/>
            </w:tcBorders>
            <w:tcW w:w="540" w:type="dxa"/>
          </w:tcPr>
          <w:p>
            <w:pPr>
              <w:jc w:val="center"/>
              <w:spacing w:before="10" w:after="10"/>
            </w:pPr>
            <w:r/>
            <w:r>
              <w:rPr>
                <w:rFonts w:ascii="Times New Roman" w:hAnsi="Times New Roman"/>
                <w:sz w:val="16"/>
              </w:rPr>
              <w:t>EE</w:t>
            </w:r>
          </w:p>
        </w:tc>
        <w:tc>
          <w:tcPr>
            <w:tcBorders>
              <w:bottom w:val="double" w:sz="4" w:space="0" w:color="auto"/>
            </w:tcBorders>
            <w:tcW w:w="900" w:type="dxa"/>
          </w:tcPr>
          <w:p>
            <w:pPr>
              <w:jc w:val="center"/>
              <w:spacing w:before="10" w:after="10"/>
            </w:pPr>
            <w:r/>
            <w:r>
              <w:rPr>
                <w:rFonts w:ascii="Times New Roman" w:hAnsi="Times New Roman"/>
                <w:sz w:val="16"/>
              </w:rPr>
              <w:t>$1.47</w:t>
            </w:r>
          </w:p>
        </w:tc>
        <w:tc>
          <w:tcPr>
            <w:tcBorders>
              <w:bottom w:val="double" w:sz="4" w:space="0" w:color="auto"/>
            </w:tcBorders>
            <w:tcW w:w="540" w:type="dxa"/>
          </w:tcPr>
          <w:p>
            <w:pPr>
              <w:jc w:val="center"/>
              <w:spacing w:before="10" w:after="10"/>
            </w:pPr>
            <w:r/>
            <w:r>
              <w:rPr>
                <w:rFonts w:ascii="Times New Roman" w:hAnsi="Times New Roman"/>
                <w:sz w:val="16"/>
              </w:rPr>
              <w:t>18</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$3.10</w:t>
            </w:r>
          </w:p>
        </w:tc>
        <w:tc>
          <w:tcPr>
            <w:tcBorders>
              <w:bottom w:val="double" w:sz="4" w:space="0" w:color="auto"/>
            </w:tcBorders>
            <w:tcW w:w="540" w:type="dxa"/>
          </w:tcPr>
          <w:p>
            <w:pPr>
              <w:jc w:val="center"/>
              <w:spacing w:before="10" w:after="10"/>
            </w:pPr>
            <w:r/>
            <w:r>
              <w:rPr>
                <w:rFonts w:ascii="Times New Roman" w:hAnsi="Times New Roman"/>
                <w:sz w:val="16"/>
              </w:rPr>
              <w:t>84</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$3.10</w:t>
            </w:r>
          </w:p>
        </w:tc>
        <w:tc>
          <w:tcPr>
            <w:tcBorders>
              <w:bottom w:val="double" w:sz="4" w:space="0" w:color="auto"/>
            </w:tcBorders>
            <w:tcW w:w="540" w:type="dxa"/>
          </w:tcPr>
          <w:p>
            <w:pPr>
              <w:jc w:val="center"/>
              <w:spacing w:before="10" w:after="10"/>
            </w:pPr>
            <w:r/>
            <w:r>
              <w:rPr>
                <w:rFonts w:ascii="Times New Roman" w:hAnsi="Times New Roman"/>
                <w:b/>
                <w:sz w:val="16"/>
              </w:rPr>
              <w:t>84</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540" w:type="dxa"/>
          </w:tcPr>
          <w:p>
            <w:pPr>
              <w:jc w:val="center"/>
              <w:spacing w:before="10" w:after="10"/>
            </w:pPr>
            <w:r/>
            <w:r>
              <w:rPr>
                <w:rFonts w:ascii="Times New Roman" w:hAnsi="Times New Roman"/>
                <w:sz w:val="16"/>
              </w:rPr>
              <w:t>-82</w:t>
            </w:r>
          </w:p>
        </w:tc>
      </w:tr>
    </w:tbl>
    <w:p>
      <w:pPr>
        <w:spacing w:before="0" w:after="120" w:line="240" w:lineRule="auto"/>
        <w:ind w:firstLine="0"/>
        <w:jc w:val="left"/>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Efficiency-adjusted: cost-recovery price divided by production-efficiency index ξⱼᵉᶠᶠ (preferred specification). (4) Bilateral: efficiency-adjusted cost with bilateral sovereignty premium λᵢⱼ from </w:t>
      </w:r>
      <w:bookmarkStart w:id="907" w:name="Eq2txt907"/>
      <w:hyperlink w:anchor="Eq2" w:history="1">
        <w:r>
          <w:rPr>
            <w:rFonts w:ascii="Times New Roman" w:hAnsi="Times New Roman"/>
            <w:sz w:val="20"/>
            <w:color w:val="1F3864"/>
            <w:u w:val="single"/>
          </w:rPr>
          <w:t xml:space="preserve">equation (2)</w:t>
        </w:r>
      </w:hyperlink>
      <w:bookmarkEnd w:id="907"/>
      <w:r>
        <w:rPr>
          <w:rFonts w:ascii="Times New Roman" w:hAnsi="Times New Roman"/>
          <w:sz w:val="20"/>
        </w:rPr>
        <w:t xml:space="preserve">. Δ = rank change from (1) to (3); positive values indicate improvement.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spacing w:before="0" w:after="60"/>
        <w:ind w:firstLine="0"/>
        <w:jc w:val="both"/>
      </w:pPr>
      <w:bookmarkStart w:id="114" w:name="Table3b"/>
      <w:r>
        <w:rPr>
          <w:b/>
          <w:sz w:val="20"/>
        </w:rPr>
        <w:t>Table 3b</w:t>
      </w:r>
      <w:r>
        <w:rPr>
          <w:b/>
          <w:sz w:val="20"/>
        </w:rPr>
        <w:t>. Country rankings under alternative sovereignty specifications</w:t>
      </w:r>
      <w:bookmarkEnd w:id="114"/>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tcBorders>
            <w:tcW w:w="2200" w:type="dxa"/>
          </w:tcPr>
          <w:p>
            <w:pPr>
              <w:jc w:val="center"/>
              <w:spacing w:before="10" w:after="10"/>
            </w:pPr>
            <w:r/>
            <w:r>
              <w:rPr>
                <w:rFonts w:ascii="Times New Roman" w:hAnsi="Times New Roman"/>
                <w:sz w:val="16"/>
              </w:rPr>
            </w:r>
          </w:p>
        </w:tc>
        <w:tc>
          <w:tcPr>
            <w:tcBorders>
              <w:top w:val="single" w:sz="4" w:space="0" w:color="auto"/>
            </w:tcBorders>
            <w:tcW w:w="1200" w:type="dxa"/>
          </w:tcPr>
          <w:p>
            <w:pPr>
              <w:jc w:val="center"/>
              <w:spacing w:before="10" w:after="10"/>
            </w:pPr>
            <w:r/>
            <w:r>
              <w:rPr>
                <w:rFonts w:ascii="Times New Roman" w:hAnsi="Times New Roman"/>
                <w:sz w:val="16"/>
              </w:rPr>
            </w:r>
          </w:p>
        </w:tc>
        <w:tc>
          <w:tcPr>
            <w:tcBorders>
              <w:top w:val="single" w:sz="4" w:space="0" w:color="auto"/>
            </w:tcBorders>
            <w:tcW w:w="900" w:type="dxa"/>
          </w:tcPr>
          <w:p>
            <w:pPr>
              <w:jc w:val="center"/>
              <w:spacing w:before="10" w:after="10"/>
            </w:pPr>
            <w:r/>
            <w:r>
              <w:rPr>
                <w:rFonts w:ascii="Times New Roman" w:hAnsi="Times New Roman"/>
                <w:b/>
                <w:sz w:val="16"/>
              </w:rPr>
              <w:t>(4) Bilateral</w:t>
            </w:r>
          </w:p>
        </w:tc>
        <w:tc>
          <w:tcPr>
            <w:tcBorders>
              <w:top w:val="single" w:sz="4" w:space="0" w:color="auto"/>
            </w:tcBorders>
            <w:tcW w:w="900" w:type="dxa"/>
          </w:tcPr>
          <w:p>
            <w:pPr>
              <w:jc w:val="center"/>
              <w:spacing w:before="10" w:after="10"/>
            </w:pPr>
            <w:r/>
            <w:r>
              <w:rPr>
                <w:rFonts w:ascii="Times New Roman" w:hAnsi="Times New Roman"/>
                <w:b/>
                <w:sz w:val="16"/>
              </w:rPr>
              <w:t>(5) Tiered</w:t>
            </w:r>
          </w:p>
        </w:tc>
        <w:tc>
          <w:tcPr>
            <w:tcBorders>
              <w:top w:val="single" w:sz="4" w:space="0" w:color="auto"/>
            </w:tcBorders>
            <w:tcW w:w="900" w:type="dxa"/>
          </w:tcPr>
          <w:p>
            <w:pPr>
              <w:jc w:val="center"/>
              <w:spacing w:before="10" w:after="10"/>
            </w:pPr>
            <w:r/>
            <w:r>
              <w:rPr>
                <w:rFonts w:ascii="Times New Roman" w:hAnsi="Times New Roman"/>
                <w:b/>
                <w:sz w:val="16"/>
              </w:rPr>
              <w:t>(6) Uniform</w:t>
            </w:r>
          </w:p>
        </w:tc>
        <w:tc>
          <w:tcPr>
            <w:tcBorders>
              <w:top w:val="single" w:sz="4" w:space="0" w:color="auto"/>
            </w:tcBorders>
            <w:tcW w:w="900" w:type="dxa"/>
          </w:tcPr>
          <w:p>
            <w:pPr>
              <w:jc w:val="center"/>
              <w:spacing w:before="10" w:after="10"/>
            </w:pPr>
            <w:r/>
            <w:r>
              <w:rPr>
                <w:rFonts w:ascii="Times New Roman" w:hAnsi="Times New Roman"/>
                <w:sz w:val="16"/>
              </w:rPr>
            </w:r>
          </w:p>
        </w:tc>
        <w:tc>
          <w:tcPr>
            <w:tcBorders>
              <w:top w:val="single" w:sz="4" w:space="0" w:color="auto"/>
            </w:tcBorders>
            <w:tcW w:w="700" w:type="dxa"/>
          </w:tcPr>
          <w:p>
            <w:pPr>
              <w:jc w:val="center"/>
              <w:spacing w:before="10" w:after="10"/>
            </w:pPr>
            <w:r/>
            <w:r>
              <w:rPr>
                <w:rFonts w:ascii="Times New Roman" w:hAnsi="Times New Roman"/>
                <w:sz w:val="16"/>
              </w:rPr>
            </w:r>
          </w:p>
        </w:tc>
      </w:tr>
      <w:tr>
        <w:tc>
          <w:tcPr>
            <w:tcBorders>
              <w:bottom w:val="single" w:sz="4" w:space="0" w:color="auto"/>
            </w:tcBorders>
            <w:tcW w:w="2200" w:type="dxa"/>
          </w:tcPr>
          <w:p>
            <w:pPr>
              <w:jc w:val="left"/>
              <w:spacing w:before="10" w:after="10"/>
            </w:pPr>
            <w:r/>
            <w:r>
              <w:rPr>
                <w:rFonts w:ascii="Times New Roman" w:hAnsi="Times New Roman"/>
                <w:b/>
                <w:sz w:val="16"/>
              </w:rPr>
              <w:t>Country</w:t>
            </w:r>
          </w:p>
        </w:tc>
        <w:tc>
          <w:tcPr>
            <w:tcBorders>
              <w:bottom w:val="single" w:sz="4" w:space="0" w:color="auto"/>
            </w:tcBorders>
            <w:tcW w:w="1200" w:type="dxa"/>
          </w:tcPr>
          <w:p>
            <w:pPr>
              <w:jc w:val="center"/>
              <w:spacing w:before="10" w:after="10"/>
            </w:pPr>
            <w:r/>
            <w:r>
              <w:rPr>
                <w:rFonts w:ascii="Times New Roman" w:hAnsi="Times New Roman"/>
                <w:b/>
                <w:sz w:val="16"/>
              </w:rPr>
              <w:t>cⱼ/ξⱼᵉᶠᶠ</w:t>
            </w:r>
          </w:p>
        </w:tc>
        <w:tc>
          <w:tcPr>
            <w:tcBorders>
              <w:bottom w:val="single" w:sz="4" w:space="0" w:color="auto"/>
            </w:tcBorders>
            <w:tcW w:w="90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Rank₆</w:t>
            </w:r>
          </w:p>
        </w:tc>
        <w:tc>
          <w:tcPr>
            <w:tcBorders>
              <w:bottom w:val="single" w:sz="4" w:space="0" w:color="auto"/>
            </w:tcBorders>
            <w:tcW w:w="700" w:type="dxa"/>
          </w:tcPr>
          <w:p>
            <w:pPr>
              <w:jc w:val="center"/>
              <w:spacing w:before="10" w:after="10"/>
            </w:pPr>
            <w:r/>
            <w:r>
              <w:rPr>
                <w:rFonts w:ascii="Times New Roman" w:hAnsi="Times New Roman"/>
                <w:b/>
                <w:sz w:val="16"/>
              </w:rPr>
              <w:t>Δₛ</w:t>
            </w:r>
          </w:p>
        </w:tc>
      </w:tr>
      <w:tr>
        <w:tc>
          <w:tcPr>
            <w:tcW w:w="2200" w:type="dxa"/>
          </w:tcPr>
          <w:p>
            <w:pPr>
              <w:jc w:val="left"/>
              <w:spacing w:before="10" w:after="10"/>
            </w:pPr>
            <w:r/>
            <w:r>
              <w:rPr>
                <w:rFonts w:ascii="Times New Roman" w:hAnsi="Times New Roman"/>
                <w:sz w:val="16"/>
              </w:rPr>
              <w:t>Canada</w:t>
            </w:r>
          </w:p>
        </w:tc>
        <w:tc>
          <w:tcPr>
            <w:tcW w:w="1200" w:type="dxa"/>
          </w:tcPr>
          <w:p>
            <w:pPr>
              <w:jc w:val="center"/>
              <w:spacing w:before="10" w:after="10"/>
            </w:pPr>
            <w:r/>
            <w:r>
              <w:rPr>
                <w:rFonts w:ascii="Times New Roman" w:hAnsi="Times New Roman"/>
                <w:sz w:val="16"/>
              </w:rPr>
              <w:t>$1.46</w:t>
            </w:r>
          </w:p>
        </w:tc>
        <w:tc>
          <w:tcPr>
            <w:tcW w:w="9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Norway</w:t>
            </w:r>
          </w:p>
        </w:tc>
        <w:tc>
          <w:tcPr>
            <w:tcW w:w="1200" w:type="dxa"/>
          </w:tcPr>
          <w:p>
            <w:pPr>
              <w:jc w:val="center"/>
              <w:spacing w:before="10" w:after="10"/>
            </w:pPr>
            <w:r/>
            <w:r>
              <w:rPr>
                <w:rFonts w:ascii="Times New Roman" w:hAnsi="Times New Roman"/>
                <w:sz w:val="16"/>
              </w:rPr>
              <w:t>$1.47</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Finland</w:t>
            </w:r>
          </w:p>
        </w:tc>
        <w:tc>
          <w:tcPr>
            <w:tcW w:w="1200" w:type="dxa"/>
          </w:tcPr>
          <w:p>
            <w:pPr>
              <w:jc w:val="center"/>
              <w:spacing w:before="10" w:after="10"/>
            </w:pPr>
            <w:r/>
            <w:r>
              <w:rPr>
                <w:rFonts w:ascii="Times New Roman" w:hAnsi="Times New Roman"/>
                <w:sz w:val="16"/>
              </w:rPr>
              <w:t>$1.47</w:t>
            </w:r>
          </w:p>
        </w:tc>
        <w:tc>
          <w:tcPr>
            <w:tcW w:w="90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Sweden</w:t>
            </w:r>
          </w:p>
        </w:tc>
        <w:tc>
          <w:tcPr>
            <w:tcW w:w="1200" w:type="dxa"/>
          </w:tcPr>
          <w:p>
            <w:pPr>
              <w:jc w:val="center"/>
              <w:spacing w:before="10" w:after="10"/>
            </w:pPr>
            <w:r/>
            <w:r>
              <w:rPr>
                <w:rFonts w:ascii="Times New Roman" w:hAnsi="Times New Roman"/>
                <w:sz w:val="16"/>
              </w:rPr>
              <w:t>$1.49</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4</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South Africa</w:t>
            </w:r>
          </w:p>
        </w:tc>
        <w:tc>
          <w:tcPr>
            <w:tcW w:w="1200" w:type="dxa"/>
          </w:tcPr>
          <w:p>
            <w:pPr>
              <w:jc w:val="center"/>
              <w:spacing w:before="10" w:after="10"/>
            </w:pPr>
            <w:r/>
            <w:r>
              <w:rPr>
                <w:rFonts w:ascii="Times New Roman" w:hAnsi="Times New Roman"/>
                <w:sz w:val="16"/>
              </w:rPr>
              <w:t>$1.49</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5</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Australia</w:t>
            </w:r>
          </w:p>
        </w:tc>
        <w:tc>
          <w:tcPr>
            <w:tcW w:w="12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8</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France</w:t>
            </w:r>
          </w:p>
        </w:tc>
        <w:tc>
          <w:tcPr>
            <w:tcW w:w="1200" w:type="dxa"/>
          </w:tcPr>
          <w:p>
            <w:pPr>
              <w:jc w:val="center"/>
              <w:spacing w:before="10" w:after="10"/>
            </w:pPr>
            <w:r/>
            <w:r>
              <w:rPr>
                <w:rFonts w:ascii="Times New Roman" w:hAnsi="Times New Roman"/>
                <w:sz w:val="16"/>
              </w:rPr>
              <w:t>$1.55</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14</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UK</w:t>
            </w:r>
          </w:p>
        </w:tc>
        <w:tc>
          <w:tcPr>
            <w:tcW w:w="1200" w:type="dxa"/>
          </w:tcPr>
          <w:p>
            <w:pPr>
              <w:jc w:val="center"/>
              <w:spacing w:before="10" w:after="10"/>
            </w:pPr>
            <w:r/>
            <w:r>
              <w:rPr>
                <w:rFonts w:ascii="Times New Roman" w:hAnsi="Times New Roman"/>
                <w:sz w:val="16"/>
              </w:rPr>
              <w:t>$1.55</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15</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Germany</w:t>
            </w:r>
          </w:p>
        </w:tc>
        <w:tc>
          <w:tcPr>
            <w:tcW w:w="1200" w:type="dxa"/>
          </w:tcPr>
          <w:p>
            <w:pPr>
              <w:jc w:val="center"/>
              <w:spacing w:before="10" w:after="10"/>
            </w:pPr>
            <w:r/>
            <w:r>
              <w:rPr>
                <w:rFonts w:ascii="Times New Roman" w:hAnsi="Times New Roman"/>
                <w:sz w:val="16"/>
              </w:rPr>
              <w:t>$1.58</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20</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USA</w:t>
            </w:r>
          </w:p>
        </w:tc>
        <w:tc>
          <w:tcPr>
            <w:tcW w:w="1200" w:type="dxa"/>
          </w:tcPr>
          <w:p>
            <w:pPr>
              <w:jc w:val="center"/>
              <w:spacing w:before="10" w:after="10"/>
            </w:pPr>
            <w:r/>
            <w:r>
              <w:rPr>
                <w:rFonts w:ascii="Times New Roman" w:hAnsi="Times New Roman"/>
                <w:sz w:val="16"/>
              </w:rPr>
              <w:t>$1.58</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21</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Japan</w:t>
            </w:r>
          </w:p>
        </w:tc>
        <w:tc>
          <w:tcPr>
            <w:tcW w:w="1200" w:type="dxa"/>
          </w:tcPr>
          <w:p>
            <w:pPr>
              <w:jc w:val="center"/>
              <w:spacing w:before="10" w:after="10"/>
            </w:pPr>
            <w:r/>
            <w:r>
              <w:rPr>
                <w:rFonts w:ascii="Times New Roman" w:hAnsi="Times New Roman"/>
                <w:sz w:val="16"/>
              </w:rPr>
              <w:t>$1.59</w:t>
            </w:r>
          </w:p>
        </w:tc>
        <w:tc>
          <w:tcPr>
            <w:tcW w:w="90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23</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Qatar</w:t>
            </w:r>
          </w:p>
        </w:tc>
        <w:tc>
          <w:tcPr>
            <w:tcW w:w="1200" w:type="dxa"/>
          </w:tcPr>
          <w:p>
            <w:pPr>
              <w:jc w:val="center"/>
              <w:spacing w:before="10" w:after="10"/>
            </w:pPr>
            <w:r/>
            <w:r>
              <w:rPr>
                <w:rFonts w:ascii="Times New Roman" w:hAnsi="Times New Roman"/>
                <w:sz w:val="16"/>
              </w:rPr>
              <w:t>$1.73</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37</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Saudi Arabia</w:t>
            </w:r>
          </w:p>
        </w:tc>
        <w:tc>
          <w:tcPr>
            <w:tcW w:w="1200" w:type="dxa"/>
          </w:tcPr>
          <w:p>
            <w:pPr>
              <w:jc w:val="center"/>
              <w:spacing w:before="10" w:after="10"/>
            </w:pPr>
            <w:r/>
            <w:r>
              <w:rPr>
                <w:rFonts w:ascii="Times New Roman" w:hAnsi="Times New Roman"/>
                <w:sz w:val="16"/>
              </w:rPr>
              <w:t>$1.80</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41</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China</w:t>
            </w:r>
          </w:p>
        </w:tc>
        <w:tc>
          <w:tcPr>
            <w:tcW w:w="1200" w:type="dxa"/>
          </w:tcPr>
          <w:p>
            <w:pPr>
              <w:jc w:val="center"/>
              <w:spacing w:before="10" w:after="10"/>
            </w:pPr>
            <w:r/>
            <w:r>
              <w:rPr>
                <w:rFonts w:ascii="Times New Roman" w:hAnsi="Times New Roman"/>
                <w:sz w:val="16"/>
              </w:rPr>
              <w:t>$1.92</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45</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Vietnam</w:t>
            </w:r>
          </w:p>
        </w:tc>
        <w:tc>
          <w:tcPr>
            <w:tcW w:w="1200" w:type="dxa"/>
          </w:tcPr>
          <w:p>
            <w:pPr>
              <w:jc w:val="center"/>
              <w:spacing w:before="10" w:after="10"/>
            </w:pPr>
            <w:r/>
            <w:r>
              <w:rPr>
                <w:rFonts w:ascii="Times New Roman" w:hAnsi="Times New Roman"/>
                <w:sz w:val="16"/>
              </w:rPr>
              <w:t>$2.05</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52</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Argentina</w:t>
            </w:r>
          </w:p>
        </w:tc>
        <w:tc>
          <w:tcPr>
            <w:tcW w:w="1200" w:type="dxa"/>
          </w:tcPr>
          <w:p>
            <w:pPr>
              <w:jc w:val="center"/>
              <w:spacing w:before="10" w:after="10"/>
            </w:pPr>
            <w:r/>
            <w:r>
              <w:rPr>
                <w:rFonts w:ascii="Times New Roman" w:hAnsi="Times New Roman"/>
                <w:sz w:val="16"/>
              </w:rPr>
              <w:t>$2.18</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59</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Kosovo</w:t>
            </w:r>
          </w:p>
        </w:tc>
        <w:tc>
          <w:tcPr>
            <w:tcW w:w="1200" w:type="dxa"/>
          </w:tcPr>
          <w:p>
            <w:pPr>
              <w:jc w:val="center"/>
              <w:spacing w:before="10" w:after="10"/>
            </w:pPr>
            <w:r/>
            <w:r>
              <w:rPr>
                <w:rFonts w:ascii="Times New Roman" w:hAnsi="Times New Roman"/>
                <w:sz w:val="16"/>
              </w:rPr>
              <w:t>$2.23</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62</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Ukraine</w:t>
            </w:r>
          </w:p>
        </w:tc>
        <w:tc>
          <w:tcPr>
            <w:tcW w:w="1200" w:type="dxa"/>
          </w:tcPr>
          <w:p>
            <w:pPr>
              <w:jc w:val="center"/>
              <w:spacing w:before="10" w:after="10"/>
            </w:pPr>
            <w:r/>
            <w:r>
              <w:rPr>
                <w:rFonts w:ascii="Times New Roman" w:hAnsi="Times New Roman"/>
                <w:sz w:val="16"/>
              </w:rPr>
              <w:t>$2.27</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65</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Egypt</w:t>
            </w:r>
          </w:p>
        </w:tc>
        <w:tc>
          <w:tcPr>
            <w:tcW w:w="1200" w:type="dxa"/>
          </w:tcPr>
          <w:p>
            <w:pPr>
              <w:jc w:val="center"/>
              <w:spacing w:before="10" w:after="10"/>
            </w:pPr>
            <w:r/>
            <w:r>
              <w:rPr>
                <w:rFonts w:ascii="Times New Roman" w:hAnsi="Times New Roman"/>
                <w:sz w:val="16"/>
              </w:rPr>
              <w:t>$2.48</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73</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Kyrgyzstan</w:t>
            </w:r>
          </w:p>
        </w:tc>
        <w:tc>
          <w:tcPr>
            <w:tcW w:w="1200" w:type="dxa"/>
          </w:tcPr>
          <w:p>
            <w:pPr>
              <w:jc w:val="center"/>
              <w:spacing w:before="10" w:after="10"/>
            </w:pPr>
            <w:r/>
            <w:r>
              <w:rPr>
                <w:rFonts w:ascii="Times New Roman" w:hAnsi="Times New Roman"/>
                <w:sz w:val="16"/>
              </w:rPr>
              <w:t>$2.50</w:t>
            </w:r>
          </w:p>
        </w:tc>
        <w:tc>
          <w:tcPr>
            <w:tcW w:w="9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74</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Russia</w:t>
            </w:r>
          </w:p>
        </w:tc>
        <w:tc>
          <w:tcPr>
            <w:tcW w:w="1200" w:type="dxa"/>
          </w:tcPr>
          <w:p>
            <w:pPr>
              <w:jc w:val="center"/>
              <w:spacing w:before="10" w:after="10"/>
            </w:pPr>
            <w:r/>
            <w:r>
              <w:rPr>
                <w:rFonts w:ascii="Times New Roman" w:hAnsi="Times New Roman"/>
                <w:sz w:val="16"/>
              </w:rPr>
              <w:t>$2.51</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75</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Tajikistan</w:t>
            </w:r>
          </w:p>
        </w:tc>
        <w:tc>
          <w:tcPr>
            <w:tcW w:w="1200" w:type="dxa"/>
          </w:tcPr>
          <w:p>
            <w:pPr>
              <w:jc w:val="center"/>
              <w:spacing w:before="10" w:after="10"/>
            </w:pPr>
            <w:r/>
            <w:r>
              <w:rPr>
                <w:rFonts w:ascii="Times New Roman" w:hAnsi="Times New Roman"/>
                <w:sz w:val="16"/>
              </w:rPr>
              <w:t>$2.84</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80</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Iran</w:t>
            </w:r>
          </w:p>
        </w:tc>
        <w:tc>
          <w:tcPr>
            <w:tcW w:w="1200" w:type="dxa"/>
          </w:tcPr>
          <w:p>
            <w:pPr>
              <w:jc w:val="center"/>
              <w:spacing w:before="10" w:after="10"/>
            </w:pPr>
            <w:r/>
            <w:r>
              <w:rPr>
                <w:rFonts w:ascii="Times New Roman" w:hAnsi="Times New Roman"/>
                <w:sz w:val="16"/>
              </w:rPr>
              <w:t>$2.89</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81</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Ethiopia</w:t>
            </w:r>
          </w:p>
        </w:tc>
        <w:tc>
          <w:tcPr>
            <w:tcW w:w="1200" w:type="dxa"/>
          </w:tcPr>
          <w:p>
            <w:pPr>
              <w:jc w:val="center"/>
              <w:spacing w:before="10" w:after="10"/>
            </w:pPr>
            <w:r/>
            <w:r>
              <w:rPr>
                <w:rFonts w:ascii="Times New Roman" w:hAnsi="Times New Roman"/>
                <w:sz w:val="16"/>
              </w:rPr>
              <w:t>$3.07</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83</w:t>
            </w:r>
          </w:p>
        </w:tc>
        <w:tc>
          <w:tcPr>
            <w:tcW w:w="700" w:type="dxa"/>
          </w:tcPr>
          <w:p>
            <w:pPr>
              <w:jc w:val="center"/>
              <w:spacing w:before="10" w:after="10"/>
            </w:pPr>
            <w:r/>
            <w:r>
              <w:rPr>
                <w:rFonts w:ascii="Times New Roman" w:hAnsi="Times New Roman"/>
                <w:sz w:val="16"/>
              </w:rPr>
              <w:t>0</w:t>
            </w:r>
          </w:p>
        </w:tc>
      </w:tr>
      <w:tr>
        <w:tc>
          <w:tcPr>
            <w:tcBorders>
              <w:bottom w:val="double" w:sz="4" w:space="0" w:color="auto"/>
            </w:tcBorders>
            <w:tcW w:w="2200" w:type="dxa"/>
          </w:tcPr>
          <w:p>
            <w:pPr>
              <w:jc w:val="left"/>
              <w:spacing w:before="10" w:after="10"/>
            </w:pPr>
            <w:r/>
            <w:r>
              <w:rPr>
                <w:rFonts w:ascii="Times New Roman" w:hAnsi="Times New Roman"/>
                <w:sz w:val="16"/>
              </w:rPr>
              <w:t>Turkmenistan</w:t>
            </w:r>
          </w:p>
        </w:tc>
        <w:tc>
          <w:tcPr>
            <w:tcBorders>
              <w:bottom w:val="double" w:sz="4" w:space="0" w:color="auto"/>
            </w:tcBorders>
            <w:tcW w:w="1200" w:type="dxa"/>
          </w:tcPr>
          <w:p>
            <w:pPr>
              <w:jc w:val="center"/>
              <w:spacing w:before="10" w:after="10"/>
            </w:pPr>
            <w:r/>
            <w:r>
              <w:rPr>
                <w:rFonts w:ascii="Times New Roman" w:hAnsi="Times New Roman"/>
                <w:sz w:val="16"/>
              </w:rPr>
              <w:t>$3.10</w:t>
            </w:r>
          </w:p>
        </w:tc>
        <w:tc>
          <w:tcPr>
            <w:tcBorders>
              <w:bottom w:val="double" w:sz="4" w:space="0" w:color="auto"/>
            </w:tcBorders>
            <w:tcW w:w="90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84</w:t>
            </w:r>
          </w:p>
        </w:tc>
        <w:tc>
          <w:tcPr>
            <w:tcBorders>
              <w:bottom w:val="double" w:sz="4" w:space="0" w:color="auto"/>
            </w:tcBorders>
            <w:tcW w:w="700" w:type="dxa"/>
          </w:tcPr>
          <w:p>
            <w:pPr>
              <w:jc w:val="center"/>
              <w:spacing w:before="10" w:after="10"/>
            </w:pPr>
            <w:r/>
            <w:r>
              <w:rPr>
                <w:rFonts w:ascii="Times New Roman" w:hAnsi="Times New Roman"/>
                <w:sz w:val="16"/>
              </w:rPr>
              <w:t>0</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Type codes: EE = training + inference exporter; IE = inference exporter; DD = domestic producer; II = full importer. (4) Bilateral: bilateral sovereignty premium λᵢⱼ from </w:t>
      </w:r>
      <w:bookmarkStart w:id="908" w:name="Eq2txt908"/>
      <w:hyperlink w:anchor="Eq2" w:history="1">
        <w:r>
          <w:rPr>
            <w:rFonts w:ascii="Times New Roman" w:hAnsi="Times New Roman"/>
            <w:sz w:val="20"/>
            <w:color w:val="1F3864"/>
            <w:u w:val="single"/>
          </w:rPr>
          <w:t xml:space="preserve">equation (2)</w:t>
        </w:r>
      </w:hyperlink>
      <w:bookmarkEnd w:id="908"/>
      <w:r>
        <w:rPr>
          <w:rFonts w:ascii="Times New Roman" w:hAnsi="Times New Roman"/>
          <w:sz w:val="20"/>
        </w:rPr>
        <w:t xml:space="preserve">, with geopolitical, regulatory, and sanctions components. (5) Tiered: bilateral λᵢⱼ with demand segmented into sovereign (10%), regulated (20%), and commercial (70%) tiers. Under the calibrated parameters, demand tiering leaves regime type assignments unchanged for all countries; columns (4) and (5) are therefore identical. Tiering affects within-country demand allocation across tiers but not the equilibrium set of exporters. (6) Uniform: uniform λ = 10% premium (robustness check). Rank₆ reflects the production-cost ranking cⱼ/ξⱼᵉᶠᶠ, which is invariant to the sovereignty specification; Δₛ = 0 for all countries.</w:t>
      </w:r>
    </w:p>
    <w:p>
      <w:pPr>
        <w:pStyle w:val="Heading1"/>
      </w:pPr>
      <w:r>
        <w:rPr>
          <w:rFonts w:ascii="Times New Roman" w:hAnsi="Times New Roman"/>
          <w:b/>
          <w:color w:val="2F5496"/>
          <w:sz w:val="28"/>
        </w:rPr>
        <w:t>Appendix</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ξⱼᵉᶠᶠ</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0.57</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0.98</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0.47</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0.51</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0.75</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0.64</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0.67</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0.67</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0.56</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0.58</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0.56</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0.71</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0.67</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0.47</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0.59</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0.99</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0.67</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0.67</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0.63</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0.51</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0.94</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0.56</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0.60</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0.74</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0.61</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0.47</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0.53</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0.99</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0.98</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0.70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0.66</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0.90</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0.89</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0.89</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0.88</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0.87</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0.65</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0.94</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0.93</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0.77</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0.98</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0.50</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0.84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0.99</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0.88</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0.94</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0.95</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0.67</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0.90</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0.62</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0.93</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0.66</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0.80</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0.98</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0.77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0.99</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0.91</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0.98</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1.00</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0.86</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0.97</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0.90</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9" w:name="Eq4txt909"/>
      <w:hyperlink w:anchor="Eq4" w:history="1">
        <w:r>
          <w:rPr>
            <w:sz w:val="20"/>
            <w:color w:val="1F3864"/>
            <w:u w:val="single"/>
          </w:rPr>
          <w:t xml:space="preserve">equation (4)</w:t>
        </w:r>
      </w:hyperlink>
      <w:bookmarkEnd w:id="909"/>
      <w:r>
        <w:rPr>
          <w:sz w:val="20"/>
        </w:rPr>
        <w:t xml:space="preserve">. ξⱼᵉᶠᶠ = production-efficiency index combining governance quality and grid reliability (geometric mean; see equation 3). Sanctions captured by bilateral λᵢⱼ (equation 2).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(3) Efficiency-Adj.</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(4) Bilateral λᵢⱼ</w:t>
            </w:r>
          </w:p>
        </w:tc>
        <w:tc>
          <w:tcPr>
            <w:tcBorders>
              <w:top w:val="single" w:sz="4" w:space="0" w:color="auto"/>
            </w:tcBorders>
            <w:tcW w:w="540" w:type="dxa"/>
          </w:tcPr>
          <w:p>
            <w:pPr>
              <w:jc w:val="center"/>
              <w:spacing w:before="5" w:after="5"/>
            </w:pPr>
            <w:r/>
            <w:r>
              <w:rPr>
                <w:rFonts w:ascii="Times New Roman" w:hAnsi="Times New Roman"/>
                <w:sz w:val="14"/>
              </w:rPr>
            </w:r>
          </w:p>
        </w:tc>
      </w:tr>
      <w:tr>
        <w:tc>
          <w:tcPr>
            <w:tcBorders>
              <w:bottom w:val="single" w:sz="4" w:space="0" w:color="auto"/>
            </w:tcBorders>
            <w:tcW w:w="1800" w:type="dxa"/>
          </w:tcPr>
          <w:p>
            <w:pPr>
              <w:jc w:val="left"/>
              <w:spacing w:before="5" w:after="5"/>
            </w:pPr>
            <w:r/>
            <w:r>
              <w:rPr>
                <w:rFonts w:ascii="Times New Roman" w:hAnsi="Times New Roman"/>
                <w:b/>
                <w:sz w:val="14"/>
              </w:rPr>
              <w:t>Country</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cⱼ/ξⱼ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pⱼ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+40</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+54</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+48</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+63</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+58</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+62</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+62</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+53</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+54</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+56</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+40</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$1.83</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$1.83</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$1.94</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$1.94</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$1.96</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$1.96</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$1.98</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$1.98</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$2.05</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$2.05</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$2.06</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$2.06</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$2.10</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$2.10</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$2.14</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$2.14</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$2.17</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$2.17</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-42</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-41</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$2.19</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$2.19</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$2.23</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$2.23</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-53</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$2.26</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$2.26</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$2.31</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$2.31</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$2.32</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$2.32</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$2.34</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$2.34</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-47</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$2.43</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$2.43</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Senegal</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$2.45</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$2.45</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-68</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$2.50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$2.50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-70</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$2.51</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$2.51</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-67</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$2.61</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$2.61</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-57</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$2.61</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$2.61</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-71</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$2.64</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$2.64</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-58</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$2.83</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$2.83</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$2.84</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$2.84</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-68</w:t>
            </w:r>
          </w:p>
        </w:tc>
      </w:tr>
      <w:tr>
        <w:tc>
          <w:tcPr>
            <w:tcW w:w="1800" w:type="dxa"/>
          </w:tcPr>
          <w:p>
            <w:pPr>
              <w:jc w:val="left"/>
              <w:spacing w:before="5" w:after="5"/>
            </w:pPr>
            <w:r/>
            <w:r>
              <w:rPr>
                <w:rFonts w:ascii="Times New Roman" w:hAnsi="Times New Roman"/>
                <w:sz w:val="14"/>
              </w:rPr>
              <w:t>Iran</w:t>
            </w:r>
          </w:p>
        </w:tc>
        <w:tc>
          <w:tcPr>
            <w:tcW w:w="900" w:type="dxa"/>
          </w:tcPr>
          <w:p>
            <w:pPr>
              <w:jc w:val="center"/>
              <w:spacing w:before="5" w:after="5"/>
            </w:pPr>
            <w:r/>
            <w:r>
              <w:rPr>
                <w:rFonts w:ascii="Times New Roman" w:hAnsi="Times New Roman"/>
                <w:sz w:val="14"/>
              </w:rPr>
              <w:t>$1.40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$2.89</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$2.89</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-80</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$3.07</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$3.07</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-80</w:t>
            </w:r>
          </w:p>
        </w:tc>
      </w:tr>
      <w:tr>
        <w:tc>
          <w:tcPr>
            <w:tcW w:w="1800" w:type="dxa"/>
          </w:tcPr>
          <w:p>
            <w:pPr>
              <w:jc w:val="left"/>
              <w:spacing w:before="5" w:after="5"/>
            </w:pPr>
            <w:r/>
            <w:r>
              <w:rPr>
                <w:rFonts w:ascii="Times New Roman" w:hAnsi="Times New Roman"/>
                <w:sz w:val="14"/>
              </w:rPr>
              <w:t>Turkmenistan</w:t>
            </w:r>
          </w:p>
        </w:tc>
        <w:tc>
          <w:tcPr>
            <w:tcW w:w="900" w:type="dxa"/>
          </w:tcPr>
          <w:p>
            <w:pPr>
              <w:jc w:val="center"/>
              <w:spacing w:before="5" w:after="5"/>
            </w:pPr>
            <w:r/>
            <w:r>
              <w:rPr>
                <w:rFonts w:ascii="Times New Roman" w:hAnsi="Times New Roman"/>
                <w:sz w:val="14"/>
              </w:rPr>
              <w:t>$1.41</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$3.10</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$3.10</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-82</w:t>
            </w:r>
          </w:p>
        </w:tc>
      </w:tr>
      <w:tr>
        <w:tc>
          <w:tcPr>
            <w:tcBorders>
              <w:bottom w:val="double" w:sz="4" w:space="0" w:color="auto"/>
            </w:tcBorders>
            <w:tcW w:w="1800" w:type="dxa"/>
          </w:tcPr>
          <w:p>
            <w:pPr>
              <w:jc w:val="left"/>
              <w:spacing w:before="5" w:after="5"/>
            </w:pPr>
            <w:r/>
            <w:r>
              <w:rPr>
                <w:rFonts w:ascii="Times New Roman" w:hAnsi="Times New Roman"/>
                <w:sz w:val="14"/>
              </w:rPr>
              <w:t>Nigeria</w:t>
            </w:r>
          </w:p>
        </w:tc>
        <w:tc>
          <w:tcPr>
            <w:tcBorders>
              <w:bottom w:val="double" w:sz="4" w:space="0" w:color="auto"/>
            </w:tcBorders>
            <w:tcW w:w="900" w:type="dxa"/>
          </w:tcPr>
          <w:p>
            <w:pPr>
              <w:jc w:val="center"/>
              <w:spacing w:before="5" w:after="5"/>
            </w:pPr>
            <w:r/>
            <w:r>
              <w:rPr>
                <w:rFonts w:ascii="Times New Roman" w:hAnsi="Times New Roman"/>
                <w:sz w:val="14"/>
              </w:rPr>
              <w:t>$1.45</w:t>
            </w:r>
          </w:p>
        </w:tc>
        <w:tc>
          <w:tcPr>
            <w:tcBorders>
              <w:bottom w:val="double" w:sz="4" w:space="0" w:color="auto"/>
            </w:tcBorders>
            <w:tcW w:w="540" w:type="dxa"/>
          </w:tcPr>
          <w:p>
            <w:pPr>
              <w:jc w:val="center"/>
              <w:spacing w:before="5" w:after="5"/>
            </w:pPr>
            <w:r/>
            <w:r>
              <w:rPr>
                <w:rFonts w:ascii="Times New Roman" w:hAnsi="Times New Roman"/>
                <w:sz w:val="14"/>
              </w:rPr>
              <w:t>13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$1.49</w:t>
            </w:r>
          </w:p>
        </w:tc>
        <w:tc>
          <w:tcPr>
            <w:tcBorders>
              <w:bottom w:val="double" w:sz="4" w:space="0" w:color="auto"/>
            </w:tcBorders>
            <w:tcW w:w="540" w:type="dxa"/>
          </w:tcPr>
          <w:p>
            <w:pPr>
              <w:jc w:val="center"/>
              <w:spacing w:before="5" w:after="5"/>
            </w:pPr>
            <w:r/>
            <w:r>
              <w:rPr>
                <w:rFonts w:ascii="Times New Roman" w:hAnsi="Times New Roman"/>
                <w:sz w:val="14"/>
              </w:rPr>
              <w:t>31</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$3.14</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$3.14</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-72</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3a</w:t>
        </w:r>
      </w:hyperlink>
      <w:r>
        <w:rPr>
          <w:sz w:val="20"/>
        </w:rPr>
        <w:t xml:space="preserve"> notes for column definitions. Countries sorted by specification (3) rank (ascending). Column (4) uses bilateral sovereignty premium λᵢⱼ from </w:t>
      </w:r>
      <w:bookmarkStart w:id="910" w:name="Eq2txt910"/>
      <w:hyperlink w:anchor="Eq2" w:history="1">
        <w:r>
          <w:rPr>
            <w:sz w:val="20"/>
            <w:color w:val="1F3864"/>
            <w:u w:val="single"/>
          </w:rPr>
          <w:t xml:space="preserve">equation (2)</w:t>
        </w:r>
      </w:hyperlink>
      <w:bookmarkEnd w:id="910"/>
      <w:r>
        <w:rPr>
          <w:sz w:val="20"/>
        </w:rPr>
        <w:t xml:space="preserve">.</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11" w:name="Eq1txt911"/>
      <w:hyperlink w:anchor="Eq1" w:history="1">
        <w:r>
          <w:rPr>
            <w:color w:val="1F3864"/>
            <w:u w:val="single"/>
          </w:rPr>
          <w:t xml:space="preserve">equation (1)</w:t>
        </w:r>
      </w:hyperlink>
      <w:bookmarkEnd w:id="911"/>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12" w:name="Eq4txt912"/>
      <w:hyperlink w:anchor="Eq4" w:history="1">
        <w:r>
          <w:rPr>
            <w:color w:val="1F3864"/>
            <w:u w:val="single"/>
          </w:rPr>
          <w:t xml:space="preserve">equation (4)</w:t>
        </w:r>
      </w:hyperlink>
      <w:bookmarkEnd w:id="912"/>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13" w:name="Eq2txt913"/>
      <w:hyperlink w:anchor="Eq2" w:history="1">
        <w:r>
          <w:rPr>
            <w:color w:val="1F3864"/>
            <w:u w:val="single"/>
          </w:rPr>
          <w:t xml:space="preserve">equation (2)</w:t>
        </w:r>
      </w:hyperlink>
      <w:bookmarkEnd w:id="913"/>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five parameter perturbations. Rankings are robust because hardware and networking costs account for over 90 percent of total cost and are identical across countries. Only the electricity and construction components vary cross-country, and their combined share is too small for plausible perturbations to overturn the ordering.</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equilibrium outcomes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2200" w:type="dxa"/>
          </w:tcPr>
          <w:p>
            <w:pPr>
              <w:jc w:val="center"/>
              <w:spacing w:before="10" w:after="10"/>
            </w:pPr>
            <w:r/>
            <w:r>
              <w:rPr>
                <w:b/>
                <w:sz w:val="16"/>
              </w:rPr>
              <w:t>Scenario</w:t>
            </w:r>
          </w:p>
        </w:tc>
        <w:tc>
          <w:tcPr>
            <w:tcBorders>
              <w:top w:val="single" w:sz="4" w:space="0" w:color="auto"/>
              <w:bottom w:val="single" w:sz="4" w:space="0" w:color="auto"/>
            </w:tcBorders>
            <w:tcW w:w="2600" w:type="dxa"/>
          </w:tcPr>
          <w:p>
            <w:pPr>
              <w:jc w:val="center"/>
              <w:spacing w:before="10" w:after="10"/>
            </w:pPr>
            <w:r/>
            <w:r>
              <w:rPr>
                <w:b/>
                <w:sz w:val="16"/>
              </w:rPr>
              <w:t>Parameter change</w:t>
            </w:r>
          </w:p>
        </w:tc>
        <w:tc>
          <w:tcPr>
            <w:tcBorders>
              <w:top w:val="single" w:sz="4" w:space="0" w:color="auto"/>
              <w:bottom w:val="single" w:sz="4" w:space="0" w:color="auto"/>
            </w:tcBorders>
            <w:tcW w:w="900" w:type="dxa"/>
          </w:tcPr>
          <w:p>
            <w:pPr>
              <w:jc w:val="center"/>
              <w:spacing w:before="10" w:after="10"/>
            </w:pPr>
            <w:r/>
            <w:r>
              <w:rPr>
                <w:b/>
                <w:sz w:val="16"/>
              </w:rPr>
              <w:t>pₜ ($/hr)</w:t>
            </w:r>
          </w:p>
        </w:tc>
        <w:tc>
          <w:tcPr>
            <w:tcBorders>
              <w:top w:val="single" w:sz="4" w:space="0" w:color="auto"/>
              <w:bottom w:val="single" w:sz="4" w:space="0" w:color="auto"/>
            </w:tcBorders>
            <w:tcW w:w="800" w:type="dxa"/>
          </w:tcPr>
          <w:p>
            <w:pPr>
              <w:jc w:val="center"/>
              <w:spacing w:before="10" w:after="10"/>
            </w:pPr>
            <w:r/>
            <w:r>
              <w:rPr>
                <w:b/>
                <w:sz w:val="16"/>
              </w:rPr>
              <w:t>Exporters</w:t>
            </w:r>
          </w:p>
        </w:tc>
        <w:tc>
          <w:tcPr>
            <w:tcBorders>
              <w:top w:val="single" w:sz="4" w:space="0" w:color="auto"/>
              <w:bottom w:val="single" w:sz="4" w:space="0" w:color="auto"/>
            </w:tcBorders>
            <w:tcW w:w="800" w:type="dxa"/>
          </w:tcPr>
          <w:p>
            <w:pPr>
              <w:jc w:val="center"/>
              <w:spacing w:before="10" w:after="10"/>
            </w:pPr>
            <w:r/>
            <w:r>
              <w:rPr>
                <w:b/>
                <w:sz w:val="16"/>
              </w:rPr>
              <w:t>HHI</w:t>
            </w:r>
          </w:p>
        </w:tc>
        <w:tc>
          <w:tcPr>
            <w:tcBorders>
              <w:top w:val="single" w:sz="4" w:space="0" w:color="auto"/>
              <w:bottom w:val="single" w:sz="4" w:space="0" w:color="auto"/>
            </w:tcBorders>
            <w:tcW w:w="900" w:type="dxa"/>
          </w:tcPr>
          <w:p>
            <w:pPr>
              <w:jc w:val="center"/>
              <w:spacing w:before="10" w:after="10"/>
            </w:pPr>
            <w:r/>
            <w:r>
              <w:rPr>
                <w:b/>
                <w:sz w:val="16"/>
              </w:rPr>
              <w:t>Spearman ρ</w:t>
            </w:r>
          </w:p>
        </w:tc>
        <w:tc>
          <w:tcPr>
            <w:tcBorders>
              <w:top w:val="single" w:sz="4" w:space="0" w:color="auto"/>
              <w:bottom w:val="single" w:sz="4" w:space="0" w:color="auto"/>
            </w:tcBorders>
            <w:tcW w:w="600" w:type="dxa"/>
          </w:tcPr>
          <w:p>
            <w:pPr>
              <w:jc w:val="center"/>
              <w:spacing w:before="10" w:after="10"/>
            </w:pPr>
            <w:r/>
            <w:r>
              <w:rPr>
                <w:b/>
                <w:sz w:val="16"/>
              </w:rPr>
              <w:t>Top 5</w:t>
            </w:r>
          </w:p>
        </w:tc>
      </w:tr>
      <w:tr>
        <w:tc>
          <w:tcPr>
            <w:tcW w:w="2200" w:type="dxa"/>
          </w:tcPr>
          <w:p>
            <w:pPr>
              <w:spacing w:before="10" w:after="10"/>
            </w:pPr>
            <w:r/>
            <w:r>
              <w:rPr>
                <w:sz w:val="16"/>
              </w:rPr>
              <w:t>Baseline calibration</w:t>
            </w:r>
          </w:p>
        </w:tc>
        <w:tc>
          <w:tcPr>
            <w:tcW w:w="2600" w:type="dxa"/>
          </w:tcPr>
          <w:p>
            <w:pPr>
              <w:spacing w:before="10" w:after="10"/>
            </w:pPr>
            <w:r/>
            <w:r>
              <w:rPr>
                <w:sz w:val="16"/>
              </w:rPr>
              <w:t>—</w:t>
            </w:r>
          </w:p>
        </w:tc>
        <w:tc>
          <w:tcPr>
            <w:tcW w:w="900" w:type="dxa"/>
          </w:tcPr>
          <w:p>
            <w:pPr>
              <w:jc w:val="right"/>
              <w:spacing w:before="10" w:after="10"/>
            </w:pPr>
            <w:r/>
            <w:r>
              <w:rPr>
                <w:sz w:val="16"/>
              </w:rPr>
              <w:t>$1.592</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above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$1.600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0.9996</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below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$1.585</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0.9993</w:t>
            </w:r>
          </w:p>
        </w:tc>
        <w:tc>
          <w:tcPr>
            <w:tcW w:w="600" w:type="dxa"/>
          </w:tcPr>
          <w:p>
            <w:pPr>
              <w:jc w:val="right"/>
              <w:spacing w:before="10" w:after="10"/>
            </w:pPr>
            <w:r/>
            <w:r>
              <w:rPr>
                <w:sz w:val="16"/>
              </w:rPr>
              <w:t>Changed</w:t>
            </w:r>
          </w:p>
        </w:tc>
      </w:tr>
      <w:tr>
        <w:tc>
          <w:tcPr>
            <w:tcW w:w="2200" w:type="dxa"/>
          </w:tcPr>
          <w:p>
            <w:pPr>
              <w:spacing w:before="10" w:after="10"/>
            </w:pPr>
            <w:r/>
            <w:r>
              <w:rPr>
                <w:sz w:val="16"/>
              </w:rPr>
              <w:t>GPU hardware cost +20% ($30,000/unit)</w:t>
            </w:r>
          </w:p>
        </w:tc>
        <w:tc>
          <w:tcPr>
            <w:tcW w:w="2600" w:type="dxa"/>
          </w:tcPr>
          <w:p>
            <w:pPr>
              <w:spacing w:before="10" w:after="10"/>
            </w:pPr>
            <w:r/>
            <w:r>
              <w:rPr>
                <w:sz w:val="16"/>
              </w:rPr>
              <w:t>GPU unit price $30,000 (+20% from $25,000)</w:t>
            </w:r>
          </w:p>
        </w:tc>
        <w:tc>
          <w:tcPr>
            <w:tcW w:w="900" w:type="dxa"/>
          </w:tcPr>
          <w:p>
            <w:pPr>
              <w:jc w:val="right"/>
              <w:spacing w:before="10" w:after="10"/>
            </w:pPr>
            <w:r/>
            <w:r>
              <w:rPr>
                <w:sz w:val="16"/>
              </w:rPr>
              <w:t>$1.864</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GPU hardware cost −20% ($20,000/unit)</w:t>
            </w:r>
          </w:p>
        </w:tc>
        <w:tc>
          <w:tcPr>
            <w:tcW w:w="2600" w:type="dxa"/>
          </w:tcPr>
          <w:p>
            <w:pPr>
              <w:spacing w:before="10" w:after="10"/>
            </w:pPr>
            <w:r/>
            <w:r>
              <w:rPr>
                <w:sz w:val="16"/>
              </w:rPr>
              <w:t>GPU unit price $20,000 (-20% from $25,000)</w:t>
            </w:r>
          </w:p>
        </w:tc>
        <w:tc>
          <w:tcPr>
            <w:tcW w:w="900" w:type="dxa"/>
          </w:tcPr>
          <w:p>
            <w:pPr>
              <w:jc w:val="right"/>
              <w:spacing w:before="10" w:after="10"/>
            </w:pPr>
            <w:r/>
            <w:r>
              <w:rPr>
                <w:sz w:val="16"/>
              </w:rPr>
              <w:t>$1.320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Borders>
              <w:bottom w:val="double" w:sz="4" w:space="0" w:color="auto"/>
            </w:tcBorders>
            <w:tcW w:w="2200" w:type="dxa"/>
          </w:tcPr>
          <w:p>
            <w:pPr>
              <w:spacing w:before="10" w:after="10"/>
            </w:pPr>
            <w:r/>
            <w:r>
              <w:rPr>
                <w:sz w:val="16"/>
              </w:rPr>
              <w:t>Cooling efficiency cap (PUE ≤ 1.20)</w:t>
            </w:r>
          </w:p>
        </w:tc>
        <w:tc>
          <w:tcPr>
            <w:tcBorders>
              <w:bottom w:val="double" w:sz="4" w:space="0" w:color="auto"/>
            </w:tcBorders>
            <w:tcW w:w="2600" w:type="dxa"/>
          </w:tcPr>
          <w:p>
            <w:pPr>
              <w:spacing w:before="10" w:after="10"/>
            </w:pPr>
            <w:r/>
            <w:r>
              <w:rPr>
                <w:sz w:val="16"/>
              </w:rPr>
              <w:t>PUE capped at 1.20 for all countries</w:t>
            </w:r>
          </w:p>
        </w:tc>
        <w:tc>
          <w:tcPr>
            <w:tcBorders>
              <w:bottom w:val="double" w:sz="4" w:space="0" w:color="auto"/>
            </w:tcBorders>
            <w:tcW w:w="900" w:type="dxa"/>
          </w:tcPr>
          <w:p>
            <w:pPr>
              <w:jc w:val="right"/>
              <w:spacing w:before="10" w:after="10"/>
            </w:pPr>
            <w:r/>
            <w:r>
              <w:rPr>
                <w:sz w:val="16"/>
              </w:rPr>
              <w:t>$1.592</w:t>
            </w:r>
          </w:p>
        </w:tc>
        <w:tc>
          <w:tcPr>
            <w:tcBorders>
              <w:bottom w:val="double" w:sz="4" w:space="0" w:color="auto"/>
            </w:tcBorders>
            <w:tcW w:w="800" w:type="dxa"/>
          </w:tcPr>
          <w:p>
            <w:pPr>
              <w:jc w:val="right"/>
              <w:spacing w:before="10" w:after="10"/>
            </w:pPr>
            <w:r/>
            <w:r>
              <w:rPr>
                <w:sz w:val="16"/>
              </w:rPr>
              <w:t>2</w:t>
            </w:r>
          </w:p>
        </w:tc>
        <w:tc>
          <w:tcPr>
            <w:tcBorders>
              <w:bottom w:val="double" w:sz="4" w:space="0" w:color="auto"/>
            </w:tcBorders>
            <w:tcW w:w="800" w:type="dxa"/>
          </w:tcPr>
          <w:p>
            <w:pPr>
              <w:jc w:val="right"/>
              <w:spacing w:before="10" w:after="10"/>
            </w:pPr>
            <w:r/>
            <w:r>
              <w:rPr>
                <w:sz w:val="16"/>
              </w:rPr>
              <w:t>0.9339</w:t>
            </w:r>
          </w:p>
        </w:tc>
        <w:tc>
          <w:tcPr>
            <w:tcBorders>
              <w:bottom w:val="double" w:sz="4" w:space="0" w:color="auto"/>
            </w:tcBorders>
            <w:tcW w:w="900" w:type="dxa"/>
          </w:tcPr>
          <w:p>
            <w:pPr>
              <w:jc w:val="right"/>
              <w:spacing w:before="10" w:after="10"/>
            </w:pPr>
            <w:r/>
            <w:r>
              <w:rPr>
                <w:sz w:val="16"/>
              </w:rPr>
              <w:t>0.9922</w:t>
            </w:r>
          </w:p>
        </w:tc>
        <w:tc>
          <w:tcPr>
            <w:tcBorders>
              <w:bottom w:val="double" w:sz="4" w:space="0" w:color="auto"/>
            </w:tcBorders>
            <w:tcW w:w="600" w:type="dxa"/>
          </w:tcPr>
          <w:p>
            <w:pPr>
              <w:jc w:val="right"/>
              <w:spacing w:before="10" w:after="10"/>
            </w:pPr>
            <w:r/>
            <w:r>
              <w:rPr>
                <w:sz w:val="16"/>
              </w:rPr>
              <w:t>Same</w:t>
            </w:r>
          </w:p>
        </w:tc>
      </w:tr>
    </w:tbl>
    <w:p>
      <w:pPr>
        <w:spacing w:before="0" w:after="0" w:line="240" w:lineRule="auto"/>
        <w:ind w:firstLine="0"/>
        <w:jc w:val="left"/>
      </w:pPr>
      <w:r>
        <w:rPr>
          <w:sz w:val="20"/>
        </w:rPr>
        <w:t>Notes: Each row re-solves the capacity-constrained equilibrium under the stated parameter change. Spearman ρ is the rank correlation of country-level training costs with the baseline ordering. Top 5 indicates whether the five cheapest countries remain the same set in the same order. HHI is the Herfindahl–Hirschman Index of export concentration.</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production-efficiency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4">
    <w:p>
      <w:pPr>
        <w:pStyle w:val="FootnoteText"/>
      </w:pPr>
      <w:r>
        <w:rPr>
          <w:rStyle w:val="FootnoteReference"/>
        </w:rPr>
        <w:footnoteRef/>
      </w:r>
      <w:r>
        <w:t xml:space="preserve"> Microsoft and G42 announced a $1 billion geothermal-powered data center in Kenya (2024); AWS committed $5.3 billion to a cloud region in Saudi Arabia (2024); Morocco allocated $1.1 billion under its Digital Morocco 2030 strategy; Microsoft ($2.2 billion) and Google ($2 billion) announced data centers in Malaysia (2024); Microsoft committed $1.7 billion to cloud and AI infrastructure in Indonesia (2024).</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6">
    <w:p>
      <w:pPr>
        <w:pStyle w:val="FootnoteText"/>
      </w:pPr>
      <w:r>
        <w:rPr>
          <w:rStyle w:val="FootnoteReference"/>
        </w:rPr>
        <w:footnoteRef/>
      </w:r>
      <w:r>
        <w:t xml:space="preserve"> A floating-point operation (FLOP) is a single arithmetic computation. Computing power is measured in petaFLOP/s (10¹⁵ FLOPs per second). A current-generation NVIDIA H100 GPU delivers approximately 1 petaFLOP/s at 16-bit precision. In retail markets, inference is increasingly priced per token (dollars per million tokens) and training per GPU-hour or per job. Because tokens per GPU-hour are determined by model architecture and serving software—not by country of production—the choice of unit does not affect cross-country cost comparisons.</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11">
    <w:p>
      <w:pPr>
        <w:pStyle w:val="FootnoteText"/>
      </w:pPr>
      <w:r>
        <w:rPr>
          <w:rStyle w:val="FootnoteReference"/>
        </w:rPr>
        <w:footnoteRef/>
      </w:r>
      <w:r>
        <w:t xml:space="preserve"> The HHI ranges from 1/N (equal division among N producers) to 1 (a single producer captures the entire market). Values above 0.25 indicate high concentration. The index is used by the U.S. Department of Justice and Federal Trade Commission to screen mergers and assess market power.</w:t>
      </w:r>
    </w:p>
  </w:footnote>
  <w:footnote w:id="12">
    <w:p>
      <w:pPr>
        <w:pStyle w:val="FootnoteText"/>
      </w:pPr>
      <w:r>
        <w:rPr>
          <w:rStyle w:val="FootnoteReference"/>
        </w:rPr>
        <w:footnoteRef/>
      </w:r>
      <w:r>
        <w:t xml:space="preserve">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4">
    <w:p>
      <w:pPr>
        <w:pStyle w:val="FootnoteText"/>
      </w:pPr>
      <w:r>
        <w:rPr>
          <w:rStyle w:val="FootnoteReference"/>
        </w:rPr>
        <w:footnoteRef/>
      </w:r>
      <w:r>
        <w:t xml:space="preserve"> The Deloitte (2020) estimate is based on 30 million user sessions across multiple retail and travel sites.</w:t>
      </w:r>
    </w:p>
  </w:footnote>
  <w:footnote w:id="15">
    <w:p>
      <w:pPr>
        <w:pStyle w:val="FootnoteText"/>
      </w:pPr>
      <w:r>
        <w:rPr>
          <w:rStyle w:val="FootnoteReference"/>
        </w:rPr>
        <w:footnoteRef/>
      </w:r>
      <w:r>
        <w:t xml:space="preserve"> The bilateral sovereignty coefficients are calibrated to match observed patterns of data localization policy. Survey evidence suggests enterprises pay 15–30% more for guaranteed domestic data residency (UNCTAD 2025). The uniform 10% premium serves as a robustness benchmark.</w:t>
      </w:r>
    </w:p>
  </w:footnote>
  <w:footnote w:id="16">
    <w:p>
      <w:pPr>
        <w:pStyle w:val="FootnoteText"/>
      </w:pPr>
      <w:r>
        <w:rPr>
          <w:rStyle w:val="FootnoteReference"/>
        </w:rPr>
        <w:footnoteRef/>
      </w:r>
      <w:r>
        <w:t xml:space="preserve"> The IMF estimates global fossil fuel subsidies at $6.7 trillion in 2024. Explicit subsidies (below-cost pricing) account for 8%; the remainder reflects unpriced environmental costs. This paper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 w:id="18">
    <w:p>
      <w:pPr>
        <w:pStyle w:val="FootnoteText"/>
      </w:pPr>
      <w:r>
        <w:rPr>
          <w:rStyle w:val="FootnoteReference"/>
        </w:rPr>
        <w:footnoteRef/>
      </w:r>
      <w:r>
        <w:t xml:space="preserve"> Kyrgyzstan already experiences seasonal power shortages when reservoir levels fall. Adding several hundred MW of year-round base load would exacerbate this constraint.</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