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v28  —  February 28, 2026  18:57</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a trade model of compute services, distinguishing latency-insensitive training from latency-sensitive inference and incorporating a bilateral sovereignty premium. Calibration across 85 countries shows that several developing countries rank among the cheapest producers under cost-recovery pricing, but bilateral trust deficits sharply curtail developing-country exports: most lose exporter status, and only Kyrgyzstan retains training-export viability among developing nations. Because hardware dominates unit cost, the cross-country cost spread is only 12–20 percent, making compute both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33" w:name="IEA2025txt"/>
      <w:hyperlink w:anchor="IEA2025" w:history="1">
        <w:r>
          <w:rPr>
            <w:color w:val="1F3864"/>
            <w:u w:val="single"/>
          </w:rPr>
          <w:t xml:space="preserve">IEA 2025</w:t>
        </w:r>
      </w:hyperlink>
      <w:bookmarkEnd w:id="233"/>
      <w:r>
        <w:t xml:space="preserve">).</w:t>
      </w:r>
    </w:p>
    <w:p>
      <w:pPr>
        <w:spacing w:before="0" w:after="160"/>
        <w:ind w:firstLine="0"/>
        <w:jc w:val="both"/>
      </w:pPr>
      <w:r>
        <w:t xml:space="preserve">This surge in demand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ind w:firstLine="0"/>
        <w:jc w:val="both"/>
      </w:pPr>
      <w:r>
        <w:t xml:space="preserve">Several megaprojects confirm that FLOP exporting is technically and commercially feasible. Armenia is deploying 50,000 GPUs in a $4 billion investment (</w:t>
      </w:r>
      <w:bookmarkStart w:id="234" w:name="Firebird2026txt"/>
      <w:hyperlink w:anchor="Firebird2026" w:history="1">
        <w:r>
          <w:rPr>
            <w:color w:val="1F3864"/>
            <w:u w:val="single"/>
          </w:rPr>
          <w:t xml:space="preserve">Firebird 2026</w:t>
        </w:r>
      </w:hyperlink>
      <w:bookmarkEnd w:id="234"/>
      <w:r>
        <w:t xml:space="preserve">), Kenya, Saudi Arabia, and Malaysia have each attracted billion-dollar data center commitments, and cloud computing exports already exceed $9 billion annually (</w:t>
      </w:r>
      <w:bookmarkStart w:id="201" w:name="WorldBank2025txt"/>
      <w:hyperlink w:anchor="WorldBank2025" w:history="1">
        <w:r>
          <w:rPr>
            <w:color w:val="1F3864"/>
            <w:u w:val="single"/>
          </w:rPr>
          <w:t xml:space="preserve">World Bank 2025</w:t>
        </w:r>
      </w:hyperlink>
      <w:bookmarkEnd w:id="201"/>
      <w:r>
        <w:t xml:space="preserve">). A 40 MW data center in Kyrgyzstan could generate annual revenue of $630–950 million at wholesale contract rates, equivalent to over 15% of Kyrgyzstan’s $3.8 billion in goods exports (</w:t>
      </w:r>
      <w:bookmarkStart w:id="235" w:name="WorldBank2024txt"/>
      <w:hyperlink w:anchor="WorldBank2024" w:history="1">
        <w:r>
          <w:rPr>
            <w:color w:val="1F3864"/>
            <w:u w:val="single"/>
          </w:rPr>
          <w:t xml:space="preserve">World Bank 2024</w:t>
        </w:r>
      </w:hyperlink>
      <w:bookmarkEnd w:id="235"/>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6" w:name="Sastry2024txt"/>
      <w:hyperlink w:anchor="Sastry2024" w:history="1">
        <w:r>
          <w:rPr>
            <w:color w:val="1F3864"/>
            <w:u w:val="single"/>
          </w:rPr>
          <w:t xml:space="preserve">Sastry et al. 2024</w:t>
        </w:r>
      </w:hyperlink>
      <w:bookmarkEnd w:id="236"/>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37" w:name="Pilz2025txt"/>
      <w:hyperlink w:anchor="Pilz2025" w:history="1">
        <w:r>
          <w:rPr>
            <w:color w:val="1F3864"/>
            <w:u w:val="single"/>
          </w:rPr>
          <w:t xml:space="preserve">Pilz et al. 2025</w:t>
        </w:r>
      </w:hyperlink>
      <w:bookmarkEnd w:id="237"/>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12–20 percent. Several developing countries rank among the cheapest producers under cost-recovery pricing, but under the bilateral sovereignty specification, trust deficits eliminate all developing-country exports. For energy-rich developing countries, the binding constraint is not electricity cost but the institutional credibility needed to overcome bilateral trust deficits.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38" w:name="Korinek2021txt"/>
      <w:hyperlink w:anchor="Korinek2021" w:history="1">
        <w:r>
          <w:rPr>
            <w:color w:val="1F3864"/>
            <w:u w:val="single"/>
          </w:rPr>
          <w:t xml:space="preserve">Korinek and Stiglitz (2021)</w:t>
        </w:r>
      </w:hyperlink>
      <w:bookmarkEnd w:id="238"/>
      <w:r>
        <w:t xml:space="preserve"> warn that developing countries may be left behind in the AI revolution; FLOP exporting offers a route in. The concept connects to </w:t>
      </w:r>
      <w:bookmarkStart w:id="249" w:name="Hausmann2007txt"/>
      <w:hyperlink w:anchor="Hausmann2007" w:history="1">
        <w:r>
          <w:rPr>
            <w:color w:val="1F3864"/>
            <w:u w:val="single"/>
          </w:rPr>
          <w:t xml:space="preserve">Hausmann et al. (2007)</w:t>
        </w:r>
      </w:hyperlink>
      <w:bookmarkEnd w:id="249"/>
      <w:r>
        <w:t xml:space="preserve"> on export composition and growth, and to </w:t>
      </w:r>
      <w:bookmarkStart w:id="245" w:name="Limao2001txt"/>
      <w:hyperlink w:anchor="Limao2001" w:history="1">
        <w:r>
          <w:rPr>
            <w:color w:val="1F3864"/>
            <w:u w:val="single"/>
          </w:rPr>
          <w:t xml:space="preserve">Limão and Venables (2001)</w:t>
        </w:r>
      </w:hyperlink>
      <w:bookmarkEnd w:id="245"/>
      <w:r>
        <w:t xml:space="preserve"> on infrastructure as a trade cost determinant — in our setting, network latency plays the analogous role.</w:t>
      </w:r>
    </w:p>
    <w:p>
      <w:pPr>
        <w:spacing w:before="0" w:after="160"/>
        <w:ind w:firstLine="0"/>
        <w:jc w:val="both"/>
      </w:pPr>
    </w:p>
    <w:p>
      <w:pPr>
        <w:spacing w:before="0" w:after="160"/>
        <w:ind w:firstLine="0"/>
        <w:jc w:val="both"/>
      </w:pPr>
      <w:r>
        <w:t xml:space="preserve">The closest precedent to our model is IT services offshoring, which is labor-intensive and skill-biased (</w:t>
      </w:r>
      <w:bookmarkStart w:id="204" w:name="Blinder2006txt"/>
      <w:hyperlink w:anchor="Blinder2006" w:history="1">
        <w:r>
          <w:rPr>
            <w:color w:val="1F3864"/>
            <w:u w:val="single"/>
          </w:rPr>
          <w:t xml:space="preserve">Blinder 2006</w:t>
        </w:r>
      </w:hyperlink>
      <w:bookmarkEnd w:id="204"/>
      <w:r>
        <w:t xml:space="preserve">), FLOP exporting is capital- and energy-intensive: the binding input is cheap electricity, not cheap labor, so the set of potential exporters is fundamentally different.</w:t>
      </w:r>
    </w:p>
    <w:p>
      <w:pPr>
        <w:spacing w:before="0" w:after="160"/>
        <w:ind w:firstLine="0"/>
        <w:jc w:val="both"/>
      </w:pPr>
      <w:r>
        <w:t xml:space="preserve">Several studies examine where firms should build data centers. </w:t>
      </w:r>
      <w:bookmarkStart w:id="205" w:name="Flucker2013txt"/>
      <w:hyperlink w:anchor="Flucker2013" w:history="1">
        <w:r>
          <w:rPr>
            <w:color w:val="1F3864"/>
            <w:u w:val="single"/>
          </w:rPr>
          <w:t xml:space="preserve">Flucker et al. (2013)</w:t>
        </w:r>
      </w:hyperlink>
      <w:bookmarkEnd w:id="205"/>
      <w:r>
        <w:t xml:space="preserve"> show that climate affects data center cooling costs. </w:t>
      </w:r>
      <w:bookmarkStart w:id="246" w:name="Liu2023txt"/>
      <w:hyperlink w:anchor="Liu2023" w:history="1">
        <w:r>
          <w:rPr>
            <w:color w:val="1F3864"/>
            <w:u w:val="single"/>
          </w:rPr>
          <w:t xml:space="preserve">Liu et al. (2023)</w:t>
        </w:r>
      </w:hyperlink>
      <w:bookmarkEnd w:id="246"/>
      <w:r>
        <w:t xml:space="preserve"> study data center placement under renewable energy constraints. In international trade theory, </w:t>
      </w:r>
      <w:bookmarkStart w:id="250" w:name="Brainard1997txt"/>
      <w:hyperlink w:anchor="Brainard1997" w:history="1">
        <w:r>
          <w:rPr>
            <w:color w:val="1F3864"/>
            <w:u w:val="single"/>
          </w:rPr>
          <w:t xml:space="preserve">Brainard (1997)</w:t>
        </w:r>
      </w:hyperlink>
      <w:bookmarkEnd w:id="250"/>
      <w:r>
        <w:t xml:space="preserve"> formalizes the proximity-concentration trade-off between serving a market locally and concentrating production abroad, and </w:t>
      </w:r>
      <w:bookmarkStart w:id="239" w:name="HMY2004txt"/>
      <w:hyperlink w:anchor="HMY2004" w:history="1">
        <w:r>
          <w:rPr>
            <w:color w:val="1F3864"/>
            <w:u w:val="single"/>
          </w:rPr>
          <w:t xml:space="preserve">Helpman et al. (2004)</w:t>
        </w:r>
      </w:hyperlink>
      <w:bookmarkEnd w:id="239"/>
      <w:r>
        <w:t xml:space="preserve"> extend this to heterogeneous firms choosing between exporting and FDI.</w:t>
      </w:r>
    </w:p>
    <w:p>
      <w:pPr>
        <w:spacing w:before="0" w:after="160"/>
        <w:ind w:firstLine="0"/>
        <w:jc w:val="both"/>
      </w:pPr>
      <w:r>
        <w:t xml:space="preserve">On governance, </w:t>
      </w:r>
      <w:bookmarkStart w:id="240" w:name="Sastry2024txt"/>
      <w:hyperlink w:anchor="Sastry2024" w:history="1">
        <w:r>
          <w:rPr>
            <w:color w:val="1F3864"/>
            <w:u w:val="single"/>
          </w:rPr>
          <w:t xml:space="preserve">Sastry et al. (2024)</w:t>
        </w:r>
      </w:hyperlink>
      <w:bookmarkEnd w:id="240"/>
      <w:r>
        <w:t xml:space="preserve"> argue that compute is well-suited for regulation. </w:t>
      </w:r>
      <w:bookmarkStart w:id="206" w:name="Lehdonvirta2024txt"/>
      <w:hyperlink w:anchor="Lehdonvirta2024" w:history="1">
        <w:r>
          <w:rPr>
            <w:color w:val="1F3864"/>
            <w:u w:val="single"/>
          </w:rPr>
          <w:t xml:space="preserve">Lehdonvirta et al. (2024)</w:t>
        </w:r>
      </w:hyperlink>
      <w:bookmarkEnd w:id="206"/>
      <w:r>
        <w:t xml:space="preserve"> map a “Compute North” with training-capable hardware versus a “Compute South” limited to inference chips. </w:t>
      </w:r>
      <w:bookmarkStart w:id="247" w:name="Pilz2025txt"/>
      <w:hyperlink w:anchor="Pilz2025" w:history="1">
        <w:r>
          <w:rPr>
            <w:color w:val="1F3864"/>
            <w:u w:val="single"/>
          </w:rPr>
          <w:t xml:space="preserve">Pilz et al. (2025)</w:t>
        </w:r>
      </w:hyperlink>
      <w:bookmarkEnd w:id="247"/>
      <w:r>
        <w:t xml:space="preserve"> project that data center power demand could reach 327 GW by 2030. The </w:t>
      </w:r>
      <w:bookmarkStart w:id="251" w:name="WorldBank2025txt"/>
      <w:hyperlink w:anchor="WorldBank2025" w:history="1">
        <w:r>
          <w:rPr>
            <w:color w:val="1F3864"/>
            <w:u w:val="single"/>
          </w:rPr>
          <w:t xml:space="preserve">World Bank (2025)</w:t>
        </w:r>
      </w:hyperlink>
      <w:bookmarkEnd w:id="251"/>
      <w:r>
        <w:t xml:space="preserve"> documents the resulting divide — high-income countries hold 77% of colocation capacity — but without a formal framework linking costs to trade patterns. </w:t>
      </w:r>
      <w:bookmarkStart w:id="241" w:name="Biglaiser2024txt"/>
      <w:hyperlink w:anchor="Biglaiser2024" w:history="1">
        <w:r>
          <w:rPr>
            <w:color w:val="1F3864"/>
            <w:u w:val="single"/>
          </w:rPr>
          <w:t xml:space="preserve">Biglaiser et al. (2024)</w:t>
        </w:r>
      </w:hyperlink>
      <w:bookmarkEnd w:id="241"/>
      <w:r>
        <w:t xml:space="preserve"> survey cloud market IO, and </w:t>
      </w:r>
      <w:bookmarkStart w:id="248" w:name="Stojkoski2024txt"/>
      <w:hyperlink w:anchor="Stojkoski2024" w:history="1">
        <w:r>
          <w:rPr>
            <w:color w:val="1F3864"/>
            <w:u w:val="single"/>
          </w:rPr>
          <w:t xml:space="preserve">Stojkoski et al. (2024)</w:t>
        </w:r>
      </w:hyperlink>
      <w:bookmarkEnd w:id="248"/>
      <w:r>
        <w:t xml:space="preserve"> estimate cloud export geography but treat services as homogeneous. The present model adds supply-side cost structure and a training–inference distinction.</w:t>
      </w:r>
    </w:p>
    <w:p>
      <w:pPr>
        <w:spacing w:before="0" w:after="160"/>
        <w:ind w:firstLine="0"/>
        <w:jc w:val="both"/>
      </w:pPr>
    </w:p>
    <w:p>
      <w:pPr>
        <w:spacing w:before="0" w:after="160"/>
        <w:ind w:firstLine="0"/>
        <w:jc w:val="both"/>
      </w:pPr>
    </w:p>
    <w:p>
      <w:pPr>
        <w:pStyle w:val="Heading1"/>
      </w:pPr>
      <w:r>
        <w:rPr>
          <w:rFonts w:ascii="Times New Roman" w:hAnsi="Times New Roman"/>
          <w:b/>
          <w:color w:val="2F5496"/>
          <w:sz w:val="28"/>
        </w:rPr>
        <w:t>3. Model of Compute Production and Trade</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for its Graphic Processing Units (GPU),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7" w:name="Ohlin1933txt"/>
      <w:hyperlink w:anchor="Ohlin1933" w:history="1">
        <w:r>
          <w:rPr>
            <w:color w:val="1F3864"/>
            <w:u w:val="single"/>
          </w:rPr>
          <w:t xml:space="preserve">Ohlin 1933</w:t>
        </w:r>
      </w:hyperlink>
      <w:bookmarkEnd w:id="207"/>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8" w:name="BaileyEtAl2017txt"/>
      <w:hyperlink w:anchor="BaileyEtAl2017" w:history="1">
        <w:r>
          <w:rPr>
            <w:color w:val="1F3864"/>
            <w:u w:val="single"/>
          </w:rPr>
          <w:t xml:space="preserve">Bailey, Strezhnev, and Voeten 2017</w:t>
        </w:r>
      </w:hyperlink>
      <w:bookmarkEnd w:id="208"/>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from </w:t>
      </w:r>
      <w:bookmarkStart w:id="900" w:name="Eq1txt900"/>
      <w:hyperlink w:anchor="Eq1" w:history="1">
        <w:r>
          <w:rPr>
            <w:color w:val="1F3864"/>
            <w:u w:val="single"/>
          </w:rPr>
          <w:t xml:space="preserve">equation (1)</w:t>
        </w:r>
      </w:hyperlink>
      <w:bookmarkEnd w:id="900"/>
      <w:r>
        <w:t xml:space="preserve">. Governance quality, grid reliability, and other institutional factors that affect the willingness of buyers to source compute from a particular country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rather than by a production cost adjustment.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ind w:firstLine="0"/>
        <w:jc w:val="both"/>
      </w:pPr>
      <w:r>
        <w:t xml:space="preserve">The cost-based equilibrium identifies the set of countries that could profitably produce and export compute. Which countries from this set actually attract investment depends additionally on agglomeration economies, hyperscaler market structure, and network connectivity (</w:t>
      </w:r>
      <w:bookmarkStart w:id="209" w:name="Krugman1991txt"/>
      <w:hyperlink w:anchor="Krugman1991" w:history="1">
        <w:r>
          <w:rPr>
            <w:color w:val="1F3864"/>
            <w:u w:val="single"/>
          </w:rPr>
          <w:t xml:space="preserve">Krugman 1991</w:t>
        </w:r>
      </w:hyperlink>
      <w:bookmarkEnd w:id="209"/>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are shown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0" w:name="Eurostat2025txt"/>
      <w:hyperlink w:anchor="Eurostat2025" w:history="1">
        <w:r>
          <w:rPr>
            <w:color w:val="1F3864"/>
            <w:u w:val="single"/>
          </w:rPr>
          <w:t xml:space="preserve">Eurostat 2025</w:t>
        </w:r>
      </w:hyperlink>
      <w:bookmarkEnd w:id="210"/>
      <w:r>
        <w:t xml:space="preserve">). For non-European countries, the prices are obtained from national regulator tariff sheets and secondary sources, including the U.S. Energy Information Administration (</w:t>
      </w:r>
      <w:bookmarkStart w:id="242" w:name="EIA2025txt"/>
      <w:hyperlink w:anchor="EIA2025" w:history="1">
        <w:r>
          <w:rPr>
            <w:color w:val="1F3864"/>
            <w:u w:val="single"/>
          </w:rPr>
          <w:t xml:space="preserve">EIA 2025</w:t>
        </w:r>
      </w:hyperlink>
      <w:bookmarkEnd w:id="242"/>
      <w:r>
        <w:t xml:space="preserve">) for the United States, KEPCO for South Korea,</w:t>
      </w:r>
      <w:r>
        <w:rPr>
          <w:rStyle w:val="FootnoteReference"/>
        </w:rPr>
        <w:footnoteReference w:id="24"/>
      </w:r>
      <w:r>
        <w:t xml:space="preserve">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6" w:name="UptimeInstitute2024txt"/>
      <w:hyperlink w:anchor="UptimeInstitute2024" w:history="1">
        <w:r>
          <w:rPr>
            <w:color w:val="1F3864"/>
            <w:u w:val="single"/>
          </w:rPr>
          <w:t xml:space="preserve">Uptime Institute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1" w:name="Deloitte2020txt"/>
      <w:hyperlink w:anchor="Deloitte2020" w:history="1">
        <w:r>
          <w:rPr>
            <w:color w:val="1F3864"/>
            <w:u w:val="single"/>
          </w:rPr>
          <w:t xml:space="preserve">Deloitte (2020)</w:t>
        </w:r>
      </w:hyperlink>
      <w:bookmarkEnd w:id="221"/>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2" w:name="Eq2txt902"/>
      <w:hyperlink w:anchor="Eq2" w:history="1">
        <w:r>
          <w:rPr>
            <w:color w:val="1F3864"/>
            <w:u w:val="single"/>
          </w:rPr>
          <w:t xml:space="preserve">eq.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0.04–0.07.</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 Construction costs are amortized over 15 years.</w:t>
      </w:r>
    </w:p>
    <w:p>
      <w:pPr>
        <w:spacing w:before="0" w:after="160"/>
        <w:ind w:firstLine="0"/>
        <w:jc w:val="both"/>
      </w:pPr>
      <w:r>
        <w:rPr>
          <w:rFonts w:ascii="Times New Roman" w:hAnsi="Times New Roman"/>
          <w:b w:val="0"/>
          <w:i/>
          <w:sz w:val="24"/>
        </w:rPr>
        <w:t xml:space="preserve">Governance. </w:t>
      </w:r>
      <w:r>
        <w:t xml:space="preserve">Governance quality, grid reliability, and other institutional factors that affect the attractiveness of a host country for compute investment enter the model through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(equation 2), not through a production cost adjustment. This reflects the observation that hardware is globally priced and dominates unit cost, so governance frictions primarily affect buyer willingness rather than physical production cost.</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and applying bilateral trade frictions.</w:t>
      </w:r>
    </w:p>
    <w:p>
      <w:pPr>
        <w:spacing w:before="0" w:after="160"/>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3" w:name="IMF2025txt"/>
      <w:hyperlink w:anchor="IMF2025" w:history="1">
        <w:r>
          <w:rPr>
            <w:color w:val="1F3864"/>
            <w:u w:val="single"/>
          </w:rPr>
          <w:t xml:space="preserve">IMF 2025</w:t>
        </w:r>
      </w:hyperlink>
      <w:bookmarkEnd w:id="243"/>
      <w:r>
        <w:t xml:space="preserve">, </w:t>
      </w:r>
      <w:bookmarkStart w:id="223" w:name="Lazard2025txt"/>
      <w:hyperlink w:anchor="Lazard2025" w:history="1">
        <w:r>
          <w:rPr>
            <w:color w:val="1F3864"/>
            <w:u w:val="single"/>
          </w:rPr>
          <w:t xml:space="preserve">Lazard 2025</w:t>
        </w:r>
      </w:hyperlink>
      <w:bookmarkEnd w:id="223"/>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w:t>
        </w:r>
      </w:hyperlink>
      <w:r>
        <w:t>) shifts the top of the ranking toward hydropower-rich countries: Kyrgyzstan, Canada, Ethiopia, Kosovo, and Tajikistan. Iran drops from first to 24th. 40 countries change their trade regimes.</w:t>
      </w:r>
    </w:p>
    <w:p>
      <w:pPr>
        <w:spacing w:before="0" w:after="160"/>
        <w:ind w:firstLine="0"/>
        <w:jc w:val="both"/>
      </w:pPr>
      <w:r>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m:oMath>
        <m:sSub>
          <m:sSubPr/>
          <m:e>
            <m:r>
              <m:rPr>
                <m:sty m:val="i"/>
              </m:rPr>
              <w:rPr>
                <w:rFonts w:ascii="Cambria Math" w:hAnsi="Cambria Math"/>
              </w:rPr>
              <m:t xml:space="preserve">K̄</m:t>
            </m:r>
          </m:e>
          <m:sub>
            <m:r>
              <m:rPr>
                <m:sty m:val="i"/>
              </m:rPr>
              <w:rPr>
                <w:rFonts w:ascii="Cambria Math" w:hAnsi="Cambria Math"/>
              </w:rPr>
              <m:t xml:space="preserve">j</m:t>
            </m:r>
          </m:sub>
        </m:sSub>
      </m:oMath>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is negative whenever a country’s unit cost lies below the equilibrium price, with the magnitude measuring the cost cushion available to absorb sovereignty frictions before the country loses export competitiveness. Canada’s large negative value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−0.0%</m:t>
        </m:r>
      </m:oMath>
      <w:r>
        <w:t xml:space="preserve">) means buyers could impose a substantial sovereignty premium and still find Canadian compute cheaper than the marginal supplier; values closer to zero flag thinner cost advantages more easily erased by sovereignty frictions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−6.9%</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−0.8%</m:t>
        </m:r>
      </m:oMath>
      <w:r>
        <w:t xml:space="preserve">, Switzerland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−7.2%</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1.00), confirming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ind w:firstLine="0"/>
        <w:jc w:val="both"/>
      </w:pPr>
      <w:r>
        <w:t xml:space="preserve">Inference exports are more dispersed, with the top five exporters being Canada (43%), Kyrgyzstan (26%), Kosovo (6%), the United Kingdom (1%), and Indonesia (0.9%), collectively accounting for 77% of cross-border inference demand (HHI = 0.26). </w:t>
      </w:r>
    </w:p>
    <w:p>
      <w:pPr>
        <w:spacing w:before="0" w:after="160"/>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inference is sourced from Kosovo, for the United Kingdom domestically, and for France from Kosovo. For China, the cheapest foreign source of inference is Kyrgyzstan. Inference supply thus concentrates around latency-bounded regional hubs, each major market sourcing from a distinct nearby producer.</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ind w:firstLine="0"/>
        <w:jc w:val="both"/>
      </w:pP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comparable to the 0.2–10% welfare losses from trade barriers estimated for goods trade (</w:t>
      </w:r>
      <w:bookmarkStart w:id="224" w:name="EatonKortum2002txt"/>
      <w:hyperlink w:anchor="EatonKortum2002" w:history="1">
        <w:r>
          <w:rPr>
            <w:color w:val="1F3864"/>
            <w:u w:val="single"/>
          </w:rPr>
          <w:t xml:space="preserve">Eaton and Kortum 2002</w:t>
        </w:r>
      </w:hyperlink>
      <w:bookmarkEnd w:id="224"/>
      <w:r>
        <w:t xml:space="preserve">, </w:t>
      </w:r>
      <w:bookmarkStart w:id="244" w:name="ACR2012txt"/>
      <w:hyperlink w:anchor="ACR2012" w:history="1">
        <w:r>
          <w:rPr>
            <w:color w:val="1F3864"/>
            <w:u w:val="single"/>
          </w:rPr>
          <w:t xml:space="preserve">Arkolakis et al. 2012</w:t>
        </w:r>
      </w:hyperlink>
      <w:bookmarkEnd w:id="244"/>
      <w:r>
        <w:t xml:space="preserve">). At current demand levels (approximately 6 × 10¹⁰ GPU-hours at $1.50/hr), this amounts to roughly $1.3 billion per year. This cost is small enough that governments with legitimate data-sovereignty objectives — military applications, health records, national statistical systems — may rationally prefer domestic production even at the efficiency loss the model documents.</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nontrivial: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 the very specialization gains the model predicts. The </w:t>
      </w:r>
      <w:bookmarkStart w:id="225" w:name="WorldBank2025txt"/>
      <w:hyperlink w:anchor="WorldBank2025" w:history="1">
        <w:r>
          <w:rPr>
            <w:color w:val="1F3864"/>
            <w:u w:val="single"/>
          </w:rPr>
          <w:t xml:space="preserve">World Bank (2025)</w:t>
        </w:r>
      </w:hyperlink>
      <w:bookmarkEnd w:id="225"/>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26" w:name="Calcaterra2024txt"/>
      <w:hyperlink w:anchor="Calcaterra2024" w:history="1">
        <w:r>
          <w:rPr>
            <w:color w:val="1F3864"/>
            <w:u w:val="single"/>
          </w:rPr>
          <w:t xml:space="preserve">Calcaterra et al. 2024</w:t>
        </w:r>
      </w:hyperlink>
      <w:bookmarkEnd w:id="226"/>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w:t>
      </w:r>
    </w:p>
    <w:p>
      <w:pPr>
        <w:spacing w:before="0" w:after="160"/>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potentially eroding their cost advantage. Qualitative findings are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w:t>
      </w:r>
    </w:p>
    <w:p>
      <w:pPr>
        <w:spacing w:before="0" w:after="160"/>
        <w:ind w:firstLine="0"/>
        <w:jc w:val="both"/>
      </w:pPr>
      <w:r>
        <w:t>The sensitivity results can be read as comparative statics. A rise in global hardware costs increases the globally-priced cost share, compressing the locally-penalized component and muting governance penalties for developing-country exporters. Conversely,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 whether from subsidy removal or demand-driven grid strain — erodes the cost advantage that defines FLOP-exporting potential, as the endogenous electricity price extension above illustrates.</w:t>
      </w:r>
    </w:p>
    <w:p>
      <w:pPr>
        <w:spacing w:before="0" w:after="160"/>
        <w:ind w:firstLine="0"/>
        <w:jc w:val="both"/>
      </w:pPr>
      <w:r>
        <w:rPr>
          <w:rFonts w:ascii="Times New Roman" w:hAnsi="Times New Roman"/>
          <w:b w:val="0"/>
          <w:i/>
          <w:sz w:val="24"/>
        </w:rPr>
        <w:t xml:space="preserve">Hardware cost share. </w:t>
      </w:r>
      <w:hyperlink w:anchor="TableA3" w:history="1">
        <w:r>
          <w:rPr>
            <w:color w:val="1F3864"/>
            <w:u w:val="single"/>
          </w:rPr>
          <w:t xml:space="preserve">Table A3</w:t>
        </w:r>
      </w:hyperlink>
      <w:r>
        <w:t xml:space="preserve"> reports sensitivity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shifts the composition of the top fifteen. The qualitative result, that countries combining cheap energy with adequate governance retain their cost advantage, follows from hardware being globally priced, not from any particular parameter choice. The qualitative finding is robust across all specifications.</w:t>
      </w:r>
    </w:p>
    <w:p>
      <w:pPr>
        <w:spacing w:before="0" w:after="160"/>
        <w:ind w:firstLine="0"/>
        <w:jc w:val="both"/>
      </w:pPr>
      <w:r>
        <w:t>The comparative statics have clear economic intuition. The hardware cost share ρ is the most consequential parameter: when hardware’s share rises, the (identical) hardware cost dominates the unit cost, narrowing the cross-country spread and making electricity price differences less decisive — widening the door for developing-country entry.</w:t>
      </w:r>
    </w:p>
    <w:p>
      <w:pPr>
        <w:spacing w:before="0" w:after="160"/>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spacing w:before="0" w:after="160"/>
        <w:ind w:firstLine="0"/>
        <w:jc w:val="both"/>
      </w:pPr>
    </w:p>
    <w:p>
      <w:pPr>
        <w:spacing w:before="0" w:after="160"/>
        <w:ind w:firstLine="0"/>
        <w:jc w:val="both"/>
      </w:pPr>
    </w:p>
    <w:p>
      <w:pPr>
        <w:spacing w:before="0" w:after="160"/>
        <w:ind w:firstLine="0"/>
        <w:jc w:val="both"/>
      </w:pP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The calibration reveals a paradox: energy-rich developing countries hold a genuine cost advantage in compute production, but bilateral trust deficits eliminate that advantage for nearly all of them. Under the bilateral specification, only Canada exports; sovereignty premia shift every other country toward domestic production or importing, at a demand-weighted welfare cost of 1.5% of compute spending. This paradox is the core finding: the countries best positioned to export compute on cost grounds are precisely those excluded by bilateral trust deficits. Because hardware accounts for roughly 90 percent of unit cost and is globally priced, the cross-country cost spread is only 12–20 percent — narrower than virtually any other tradable good. This makes compute both the easiest sector for developing countries to enter on cost grounds and the one most vulnerable to small frictions: a modest sovereignty premium, a slight governance penalty, or a higher cost of capital is sufficient to shift a country from exporter to importer. </w:t>
      </w:r>
    </w:p>
    <w:p>
      <w:pPr>
        <w:spacing w:before="0" w:after="160"/>
        <w:ind w:firstLine="0"/>
        <w:jc w:val="both"/>
      </w:pPr>
      <w:r>
        <w:t xml:space="preserve">For developing countries, the results identify both the opportunity and the barrier. Countries like Kyrgyzstan, Kosovo, Ethiopia, and Vietnam rank among the cheapest FLOP producers under cost-recovery pricing, and could use their energy resource endowments (hydropower, natural gas, and solar irradiance) to turn cheap power into exportable compute without building a domestic AI research ecosystem. But the bilateral specification shows that this opportunity is blocked by trust deficits. The binding constraint is therefore not electricity cost but institutional credibility: a country must be non-sanctioned, offer credible power purchase agreements, maintain adequate network connectivity, and present a regulatory environment stable enough for a hyperscaler to commit capital over a 15-year horizon. These are achievable conditions. The countries currently attracting hyperscaler investment — India, Kenya, Malaysia, Indonesia — meet them. Those that do not, despite lower electricity costs, lack one or more of these prerequisites. The progression across Table 3 makes the stakes concrete: cheap energy gets a country into the cost-feasible set (column 2), but bilateral trust eliminates the opportunity (column 3). FLOP exporting resembles aluminum smelting near cheap hydropower — imported capital equipment transforms local electricity into an exportable product with minimal domestic labor — but electricity, unlike oil or minerals, is renewable where generated from hydro, solar, or geothermal sources, and compute demand is growing faster than demand for any physical commodity. The resource curse literature (</w:t>
      </w:r>
      <w:bookmarkStart w:id="227" w:name="vanderPloeg2011txt"/>
      <w:hyperlink w:anchor="vanderPloeg2011" w:history="1">
        <w:r>
          <w:rPr>
            <w:color w:val="1F3864"/>
            <w:u w:val="single"/>
          </w:rPr>
          <w:t xml:space="preserve">van der Ploeg 2011</w:t>
        </w:r>
      </w:hyperlink>
      <w:bookmarkEnd w:id="227"/>
      <w:r>
        <w:t xml:space="preserve">) warns, however, that concentrated export revenues can lead to Dutch disease, institutional degradation, and exposure to demand cycles. Large-scale compute export revenues could also appreciate the real exchange rate, crowding out other tradable sectors, a channel particularly relevant for small, open economies where data center electricity consumption rivals existing industrial load. Whether FLOP exporting countries share these risks depends on the revenue-sharing model they adopt: a sovereign wealth fund approach (Norway) versus elite capture (Dutch disease). The share of surplus retained in the host country depends on ownership and fiscal structure: if the facility is foreign-owned, most operating surplus is repatriated, and the host retains only the electricity payment unless the government captures rent through taxation, equity participation, or resource royalties.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 — though this rationale weakens for countries close to low-cost neighbors. For developing countries, the progression across Table 3 makes the policy challenge concrete: cheap energy gets a country into the cost-feasible set (column 2), but bilateral trust eliminates the opportunity (column 3). The binding constraints are not technological but institutional: non-sanctioned status, credible power purchase agreements, network connectivity, and a regulatory environment stable enough to justify a 15-year capital commitment.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r>
        <w:t>Benz, S. and A. Jaax. (2020). “The Costs of Regulatory Barriers to Trade in Services: New Estimates of Ad Valorem Tariff Equivalents.” OECD Trade Policy Papers, No. 238. Paris: OECD Publishing.</w:t>
      </w:r>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5"/>
    </w:p>
    <w:p>
      <w:pPr>
        <w:spacing w:before="0" w:after="80" w:line="240" w:lineRule="exact"/>
        <w:ind w:hanging="720" w:left="720"/>
        <w:jc w:val="both"/>
      </w:pPr>
      <w:bookmarkStart w:id="506"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6"/>
    </w:p>
    <w:p>
      <w:pPr>
        <w:spacing w:before="0" w:after="80" w:line="240" w:lineRule="exact"/>
        <w:ind w:hanging="720" w:left="720"/>
        <w:jc w:val="both"/>
      </w:pPr>
      <w:bookmarkStart w:id="507"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7"/>
    </w:p>
    <w:p>
      <w:pPr>
        <w:spacing w:before="0" w:after="80" w:line="240" w:lineRule="exact"/>
        <w:ind w:hanging="720" w:left="720"/>
        <w:jc w:val="both"/>
      </w:pPr>
      <w:bookmarkStart w:id="508"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8"/>
    </w:p>
    <w:p>
      <w:pPr>
        <w:spacing w:before="0" w:after="80" w:line="240" w:lineRule="exact"/>
        <w:ind w:hanging="720" w:left="720"/>
        <w:jc w:val="both"/>
      </w:pPr>
      <w:bookmarkStart w:id="509" w:name="Deloitte2020"/>
      <w:hyperlink w:anchor="Deloitte2020txt" w:history="1">
        <w:r>
          <w:rPr>
            <w:color w:val="1F3864"/>
            <w:u w:val="single"/>
          </w:rPr>
          <w:t xml:space="preserve">Deloitte and Google. (2020). </w:t>
        </w:r>
      </w:hyperlink>
      <w:r>
        <w:t>“Milliseconds Make Millions.” Deloitte Digital and Google.</w:t>
      </w:r>
      <w:bookmarkEnd w:id="509"/>
    </w:p>
    <w:p>
      <w:pPr>
        <w:spacing w:before="0" w:after="80" w:line="240" w:lineRule="exact"/>
        <w:ind w:hanging="720" w:left="720"/>
        <w:jc w:val="both"/>
      </w:pPr>
      <w:bookmarkStart w:id="510"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0"/>
    </w:p>
    <w:p>
      <w:pPr>
        <w:spacing w:before="0" w:after="80" w:line="240" w:lineRule="exact"/>
        <w:ind w:hanging="720" w:left="720"/>
        <w:jc w:val="both"/>
      </w:pPr>
      <w:bookmarkStart w:id="51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1"/>
    </w:p>
    <w:p>
      <w:pPr>
        <w:spacing w:before="0" w:after="80" w:line="240" w:lineRule="exact"/>
        <w:ind w:hanging="720" w:left="720"/>
        <w:jc w:val="both"/>
      </w:pPr>
      <w:bookmarkStart w:id="51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2"/>
    </w:p>
    <w:p>
      <w:pPr>
        <w:spacing w:before="0" w:after="80" w:line="240" w:lineRule="exact"/>
        <w:ind w:hanging="720" w:left="720"/>
        <w:jc w:val="both"/>
      </w:pPr>
      <w:bookmarkStart w:id="513" w:name="EpochAI2024"/>
      <w:hyperlink w:anchor="EpochAI2024txt" w:history="1">
        <w:r>
          <w:rPr>
            <w:color w:val="1F3864"/>
            <w:u w:val="single"/>
          </w:rPr>
          <w:t xml:space="preserve">Epoch AI. (2024). </w:t>
        </w:r>
      </w:hyperlink>
      <w:r>
        <w:t>“The Training Compute of Notable AI Models.” epochai.org.</w:t>
      </w:r>
      <w:bookmarkEnd w:id="513"/>
    </w:p>
    <w:p>
      <w:pPr>
        <w:spacing w:before="0" w:after="80" w:line="240" w:lineRule="exact"/>
        <w:ind w:hanging="720" w:left="720"/>
        <w:jc w:val="both"/>
      </w:pPr>
      <w:bookmarkStart w:id="51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4"/>
    </w:p>
    <w:p>
      <w:pPr>
        <w:spacing w:before="0" w:after="80" w:line="240" w:lineRule="exact"/>
        <w:ind w:hanging="720" w:left="720"/>
        <w:jc w:val="both"/>
      </w:pPr>
      <w:bookmarkStart w:id="515" w:name="Farole2011"/>
      <w:r>
        <w:rPr>
          <w:color w:val="1F3864"/>
          <w:u w:val="single"/>
        </w:rPr>
        <w:t xml:space="preserve">Farole, T. </w:t>
      </w:r>
      <w:r>
        <w:t xml:space="preserve">(2011). </w:t>
      </w:r>
      <w:r>
        <w:rPr>
          <w:i/>
        </w:rPr>
        <w:t>Special Economic Zones in Africa: Comparing Performance and Learning from Global Experiences</w:t>
      </w:r>
      <w:r>
        <w:t xml:space="preserve">. Washington, DC: </w:t>
      </w:r>
      <w:bookmarkStart w:id="228" w:name="WorldBank2024txt"/>
      <w:hyperlink w:anchor="WorldBank2024" w:history="1">
        <w:r>
          <w:rPr>
            <w:color w:val="1F3864"/>
            <w:u w:val="single"/>
          </w:rPr>
          <w:t xml:space="preserve">World Bank</w:t>
        </w:r>
      </w:hyperlink>
      <w:bookmarkEnd w:id="228"/>
      <w:r>
        <w:t xml:space="preserve">.</w:t>
      </w:r>
      <w:bookmarkEnd w:id="515"/>
    </w:p>
    <w:p>
      <w:pPr>
        <w:spacing w:before="0" w:after="80" w:line="240" w:lineRule="exact"/>
        <w:ind w:hanging="720" w:left="720"/>
        <w:jc w:val="both"/>
      </w:pPr>
      <w:bookmarkStart w:id="516"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6"/>
    </w:p>
    <w:p>
      <w:pPr>
        <w:spacing w:before="0" w:after="80" w:line="240" w:lineRule="exact"/>
        <w:ind w:hanging="720" w:left="720"/>
        <w:jc w:val="both"/>
      </w:pPr>
      <w:bookmarkStart w:id="517"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7"/>
    </w:p>
    <w:p>
      <w:pPr>
        <w:spacing w:before="0" w:after="80" w:line="240" w:lineRule="exact"/>
        <w:ind w:hanging="720" w:left="720"/>
        <w:jc w:val="both"/>
      </w:pPr>
      <w:bookmarkStart w:id="518" w:name="Frick2019"/>
      <w:r>
        <w:rPr>
          <w:color w:val="1F3864"/>
          <w:u w:val="single"/>
        </w:rPr>
        <w:t xml:space="preserve">Frick, S., A. Rodríguez-Pose, and M. Wong. (2019). </w:t>
      </w:r>
      <w:r>
        <w:t xml:space="preserve">“Toward Economically Dynamic Special Economic Zones in Emerging Countries.” </w:t>
      </w:r>
      <w:r>
        <w:rPr>
          <w:i/>
        </w:rPr>
        <w:t>Economic Geography</w:t>
      </w:r>
      <w:r>
        <w:t>, 95(1): 30–64.</w:t>
      </w:r>
      <w:bookmarkEnd w:id="518"/>
    </w:p>
    <w:p>
      <w:pPr>
        <w:spacing w:before="0" w:after="80" w:line="240" w:lineRule="exact"/>
        <w:ind w:hanging="720" w:left="720"/>
        <w:jc w:val="both"/>
      </w:pPr>
      <w:bookmarkStart w:id="51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9"/>
    </w:p>
    <w:p>
      <w:pPr>
        <w:spacing w:before="0" w:after="80" w:line="240" w:lineRule="exact"/>
        <w:ind w:hanging="720" w:left="720"/>
        <w:jc w:val="both"/>
      </w:pPr>
      <w:bookmarkStart w:id="52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0"/>
    </w:p>
    <w:p>
      <w:pPr>
        <w:spacing w:before="0" w:after="80" w:line="240" w:lineRule="exact"/>
        <w:ind w:hanging="720" w:left="720"/>
        <w:jc w:val="both"/>
      </w:pPr>
      <w:bookmarkStart w:id="521" w:name="Google2024"/>
      <w:r>
        <w:rPr>
          <w:color w:val="1F3864"/>
          <w:u w:val="single"/>
        </w:rPr>
        <w:t xml:space="preserve">Google. </w:t>
      </w:r>
      <w:r>
        <w:t xml:space="preserve">(2024). </w:t>
      </w:r>
      <w:r>
        <w:rPr>
          <w:i/>
        </w:rPr>
        <w:t>2024 Environmental Report</w:t>
      </w:r>
      <w:r>
        <w:t>. sustainability.google.</w:t>
      </w:r>
      <w:bookmarkEnd w:id="521"/>
    </w:p>
    <w:p>
      <w:pPr>
        <w:spacing w:before="0" w:after="80" w:line="240" w:lineRule="exact"/>
        <w:ind w:hanging="720" w:left="720"/>
        <w:jc w:val="both"/>
      </w:pPr>
      <w:bookmarkStart w:id="52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2"/>
    </w:p>
    <w:p>
      <w:pPr>
        <w:spacing w:before="0" w:after="80" w:line="240" w:lineRule="exact"/>
        <w:ind w:hanging="720" w:left="720"/>
        <w:jc w:val="both"/>
      </w:pPr>
      <w:bookmarkStart w:id="52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3"/>
    </w:p>
    <w:p>
      <w:pPr>
        <w:spacing w:before="0" w:after="80" w:line="240" w:lineRule="exact"/>
        <w:ind w:hanging="720" w:left="720"/>
        <w:jc w:val="both"/>
      </w:pPr>
      <w:bookmarkStart w:id="52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4"/>
    </w:p>
    <w:p>
      <w:pPr>
        <w:spacing w:before="0" w:after="80" w:line="240" w:lineRule="exact"/>
        <w:ind w:hanging="720" w:left="720"/>
        <w:jc w:val="both"/>
      </w:pPr>
      <w:bookmarkStart w:id="525" w:name="IEA2025"/>
      <w:hyperlink w:anchor="IEA2025txt" w:history="1">
        <w:r>
          <w:rPr>
            <w:color w:val="1F3864"/>
            <w:u w:val="single"/>
          </w:rPr>
          <w:t xml:space="preserve">IEA. (2025). </w:t>
        </w:r>
      </w:hyperlink>
      <w:r>
        <w:t>“Energy Demand from AI.” Published online at iea.org.</w:t>
      </w:r>
      <w:bookmarkEnd w:id="525"/>
    </w:p>
    <w:p>
      <w:pPr>
        <w:spacing w:before="0" w:after="80" w:line="240" w:lineRule="exact"/>
        <w:ind w:hanging="720" w:left="720"/>
        <w:jc w:val="both"/>
      </w:pPr>
      <w:bookmarkStart w:id="526"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6"/>
    </w:p>
    <w:p>
      <w:pPr>
        <w:spacing w:before="0" w:after="80" w:line="240" w:lineRule="exact"/>
        <w:ind w:hanging="720" w:left="720"/>
        <w:jc w:val="both"/>
      </w:pPr>
      <w:bookmarkStart w:id="52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7"/>
    </w:p>
    <w:p>
      <w:pPr>
        <w:spacing w:before="0" w:after="80" w:line="240" w:lineRule="exact"/>
        <w:ind w:hanging="720" w:left="720"/>
        <w:jc w:val="both"/>
      </w:pPr>
      <w:bookmarkStart w:id="52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8"/>
    </w:p>
    <w:p>
      <w:pPr>
        <w:spacing w:before="0" w:after="80" w:line="240" w:lineRule="exact"/>
        <w:ind w:hanging="720" w:left="720"/>
        <w:jc w:val="both"/>
      </w:pPr>
      <w:bookmarkStart w:id="52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9"/>
    </w:p>
    <w:p>
      <w:pPr>
        <w:spacing w:before="0" w:after="80" w:line="240" w:lineRule="exact"/>
        <w:ind w:hanging="720" w:left="720"/>
        <w:jc w:val="both"/>
      </w:pPr>
      <w:bookmarkStart w:id="530"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0"/>
    </w:p>
    <w:p>
      <w:pPr>
        <w:spacing w:before="0" w:after="80" w:line="240" w:lineRule="exact"/>
        <w:ind w:hanging="720" w:left="720"/>
        <w:jc w:val="both"/>
      </w:pPr>
      <w:bookmarkStart w:id="53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29" w:name="WorldBank2024txt"/>
      <w:hyperlink w:anchor="WorldBank2024" w:history="1">
        <w:r>
          <w:rPr>
            <w:i/>
            <w:color w:val="1F3864"/>
            <w:u w:val="single"/>
          </w:rPr>
          <w:t xml:space="preserve">World Bank</w:t>
        </w:r>
      </w:hyperlink>
      <w:bookmarkEnd w:id="229"/>
      <w:r>
        <w:rPr>
          <w:i/>
        </w:rPr>
        <w:t xml:space="preserve"> Economic Review</w:t>
      </w:r>
      <w:r>
        <w:t>, 15(3): 451–479.</w:t>
      </w:r>
      <w:bookmarkEnd w:id="531"/>
    </w:p>
    <w:p>
      <w:pPr>
        <w:spacing w:before="0" w:after="80" w:line="240" w:lineRule="exact"/>
        <w:ind w:hanging="720" w:left="720"/>
        <w:jc w:val="both"/>
      </w:pPr>
      <w:bookmarkStart w:id="532"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2"/>
    </w:p>
    <w:p>
      <w:pPr>
        <w:spacing w:before="0" w:after="80" w:line="240" w:lineRule="exact"/>
        <w:ind w:hanging="720" w:left="720"/>
        <w:jc w:val="both"/>
      </w:pPr>
      <w:bookmarkStart w:id="533" w:name="NVIDIA2024"/>
      <w:r>
        <w:rPr>
          <w:color w:val="1F3864"/>
          <w:u w:val="single"/>
        </w:rPr>
        <w:t xml:space="preserve">NVIDIA. </w:t>
      </w:r>
      <w:r>
        <w:t xml:space="preserve">(2024). </w:t>
      </w:r>
      <w:r>
        <w:rPr>
          <w:i/>
        </w:rPr>
        <w:t>NVIDIA H100 Tensor Core GPU Datasheet</w:t>
      </w:r>
      <w:r>
        <w:t>. nvidia.com.</w:t>
      </w:r>
      <w:bookmarkEnd w:id="533"/>
    </w:p>
    <w:p>
      <w:pPr>
        <w:spacing w:before="0" w:after="80" w:line="240" w:lineRule="exact"/>
        <w:ind w:hanging="720" w:left="720"/>
        <w:jc w:val="both"/>
      </w:pPr>
      <w:bookmarkStart w:id="53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4"/>
    </w:p>
    <w:p>
      <w:pPr>
        <w:spacing w:before="0" w:after="80" w:line="240" w:lineRule="exact"/>
        <w:ind w:hanging="720" w:left="720"/>
        <w:jc w:val="both"/>
      </w:pPr>
      <w:bookmarkStart w:id="535"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5"/>
    </w:p>
    <w:p>
      <w:pPr>
        <w:spacing w:before="0" w:after="80" w:line="240" w:lineRule="exact"/>
        <w:ind w:hanging="720" w:left="720"/>
        <w:jc w:val="both"/>
      </w:pPr>
      <w:bookmarkStart w:id="536" w:name="Sastry2024"/>
      <w:hyperlink w:anchor="Sastry2024txt" w:history="1">
        <w:r>
          <w:rPr>
            <w:color w:val="1F3864"/>
            <w:u w:val="single"/>
          </w:rPr>
          <w:t xml:space="preserve">Sastry, G., L. Heim, et al. (2024). </w:t>
        </w:r>
      </w:hyperlink>
      <w:r>
        <w:t>“Computing Power and the Governance of Artificial Intelligence.” arXiv:2402.08797.</w:t>
      </w:r>
      <w:bookmarkEnd w:id="536"/>
    </w:p>
    <w:p>
      <w:pPr>
        <w:spacing w:before="0" w:after="80" w:line="240" w:lineRule="exact"/>
        <w:ind w:hanging="720" w:left="720"/>
        <w:jc w:val="both"/>
      </w:pPr>
      <w:bookmarkStart w:id="537"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7"/>
    </w:p>
    <w:p>
      <w:pPr>
        <w:spacing w:before="0" w:after="80" w:line="240" w:lineRule="exact"/>
        <w:ind w:hanging="720" w:left="720"/>
        <w:jc w:val="both"/>
      </w:pPr>
      <w:bookmarkStart w:id="53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8"/>
    </w:p>
    <w:p>
      <w:pPr>
        <w:spacing w:before="0" w:after="80" w:line="240" w:lineRule="exact"/>
        <w:ind w:hanging="720" w:left="720"/>
        <w:jc w:val="both"/>
      </w:pPr>
      <w:bookmarkStart w:id="539" w:name="TurnerLee2025"/>
      <w:r>
        <w:rPr>
          <w:color w:val="1F3864"/>
          <w:u w:val="single"/>
        </w:rPr>
        <w:t xml:space="preserve">Turner Lee, N., and D. West. (2025). </w:t>
      </w:r>
      <w:r>
        <w:t>“The Future of Data Centers.” Brookings Institution, November 2025.</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r>
        <w:rPr>
          <w:color w:val="1F3864"/>
          <w:u w:val="single"/>
        </w:rPr>
        <w:t xml:space="preserve">World Bank. </w:t>
      </w:r>
      <w:r>
        <w:t xml:space="preserve">(2017). </w:t>
      </w:r>
      <w:r>
        <w:rPr>
          <w:i/>
        </w:rPr>
        <w:t>Special Economic Zones: An Operational Review of Their Impacts</w:t>
      </w:r>
      <w:r>
        <w:t xml:space="preserve">. Washington, DC: </w:t>
      </w:r>
      <w:bookmarkStart w:id="230" w:name="WorldBank2024txt"/>
      <w:hyperlink w:anchor="WorldBank2024" w:history="1">
        <w:r>
          <w:rPr>
            <w:color w:val="1F3864"/>
            <w:u w:val="single"/>
          </w:rPr>
          <w:t xml:space="preserve">World Bank</w:t>
        </w:r>
      </w:hyperlink>
      <w:bookmarkEnd w:id="230"/>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1" w:name="WorldBank2024txt"/>
      <w:hyperlink w:anchor="WorldBank2024" w:history="1">
        <w:r>
          <w:rPr>
            <w:color w:val="1F3864"/>
            <w:u w:val="single"/>
          </w:rPr>
          <w:t xml:space="preserve">World Bank</w:t>
        </w:r>
      </w:hyperlink>
      <w:bookmarkEnd w:id="231"/>
      <w:r>
        <w:t xml:space="preserve">.</w:t>
      </w:r>
      <w:bookmarkEnd w:id="546"/>
    </w:p>
    <w:p>
      <w:pPr>
        <w:spacing w:before="0" w:after="80" w:line="240" w:lineRule="exact"/>
        <w:ind w:hanging="720" w:left="720"/>
        <w:jc w:val="both"/>
      </w:pPr>
      <w:bookmarkStart w:id="547" w:name="WBES2025"/>
      <w:r>
        <w:rPr>
          <w:color w:val="1F3864"/>
          <w:u w:val="single"/>
        </w:rPr>
        <w:t xml:space="preserve">World Bank. </w:t>
      </w:r>
      <w:r>
        <w:t xml:space="preserve">(2025). </w:t>
      </w:r>
      <w:r>
        <w:rPr>
          <w:i/>
        </w:rPr>
        <w:t>Enterprise Surveys</w:t>
      </w:r>
      <w:r>
        <w:t xml:space="preserve">. Washington, DC: </w:t>
      </w:r>
      <w:bookmarkStart w:id="232" w:name="WorldBank2024txt"/>
      <w:hyperlink w:anchor="WorldBank2024" w:history="1">
        <w:r>
          <w:rPr>
            <w:color w:val="1F3864"/>
            <w:u w:val="single"/>
          </w:rPr>
          <w:t xml:space="preserve">World Bank</w:t>
        </w:r>
      </w:hyperlink>
      <w:bookmarkEnd w:id="232"/>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calibration_strategy_v31.png"/>
                    <pic:cNvPicPr/>
                  </pic:nvPicPr>
                  <pic:blipFill>
                    <a:blip r:embed="rId10"/>
                    <a:stretch>
                      <a:fillRect/>
                    </a:stretch>
                  </pic:blipFill>
                  <pic:spPr>
                    <a:xfrm>
                      <a:off x="0" y="0"/>
                      <a:ext cx="5029200" cy="2828925"/>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to cost-recovery pricing. Step 2 applies bilateral sovereignty premiums.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(2) Cost-Recovery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(3) Bilateral</w:t>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75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75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Type</w:t>
            </w:r>
          </w:p>
        </w:tc>
      </w:tr>
      <w:tr>
        <w:tc>
          <w:tcPr>
            <w:tcW w:w="1800" w:type="dxa"/>
          </w:tcPr>
          <w:p>
            <w:pPr>
              <w:jc w:val="left"/>
              <w:spacing w:before="10" w:after="10"/>
            </w:pPr>
            <w:r/>
            <w:r>
              <w:rPr>
                <w:rFonts w:ascii="Times New Roman" w:hAnsi="Times New Roman"/>
                <w:sz w:val="16"/>
              </w:rPr>
              <w:t>Kyrgyzstan</w:t>
            </w:r>
          </w:p>
        </w:tc>
        <w:tc>
          <w:tcPr>
            <w:tcW w:w="7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4</w:t>
            </w:r>
          </w:p>
        </w:tc>
        <w:tc>
          <w:tcPr>
            <w:tcW w:w="450" w:type="dxa"/>
          </w:tcPr>
          <w:p>
            <w:pPr>
              <w:jc w:val="center"/>
              <w:spacing w:before="10" w:after="10"/>
            </w:pPr>
            <w:r/>
            <w:r>
              <w:rPr>
                <w:rFonts w:ascii="Times New Roman" w:hAnsi="Times New Roman"/>
                <w:sz w:val="16"/>
              </w:rPr>
              <w:t>EE</w:t>
            </w:r>
          </w:p>
        </w:tc>
        <w:tc>
          <w:tcPr>
            <w:tcW w:w="7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1</w:t>
            </w:r>
          </w:p>
        </w:tc>
        <w:tc>
          <w:tcPr>
            <w:tcW w:w="450" w:type="dxa"/>
          </w:tcPr>
          <w:p>
            <w:pPr>
              <w:jc w:val="center"/>
              <w:spacing w:before="10" w:after="10"/>
            </w:pPr>
            <w:r/>
            <w:r>
              <w:rPr>
                <w:rFonts w:ascii="Times New Roman" w:hAnsi="Times New Roman"/>
                <w:sz w:val="16"/>
              </w:rPr>
              <w:t>EE</w:t>
            </w:r>
          </w:p>
        </w:tc>
        <w:tc>
          <w:tcPr>
            <w:tcW w:w="500" w:type="dxa"/>
          </w:tcPr>
          <w:p>
            <w:pPr>
              <w:jc w:val="center"/>
              <w:spacing w:before="10" w:after="10"/>
            </w:pPr>
            <w:r/>
            <w:r>
              <w:rPr>
                <w:rFonts w:ascii="Times New Roman" w:hAnsi="Times New Roman"/>
                <w:sz w:val="16"/>
              </w:rPr>
              <w:t>EE</w:t>
            </w:r>
          </w:p>
        </w:tc>
      </w:tr>
      <w:tr>
        <w:tc>
          <w:tcPr>
            <w:tcW w:w="1800" w:type="dxa"/>
          </w:tcPr>
          <w:p>
            <w:pPr>
              <w:jc w:val="left"/>
              <w:spacing w:before="10" w:after="10"/>
            </w:pPr>
            <w:r/>
            <w:r>
              <w:rPr>
                <w:rFonts w:ascii="Times New Roman" w:hAnsi="Times New Roman"/>
                <w:sz w:val="16"/>
              </w:rPr>
              <w:t>Canada</w:t>
            </w:r>
          </w:p>
        </w:tc>
        <w:tc>
          <w:tcPr>
            <w:tcW w:w="7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7</w:t>
            </w:r>
          </w:p>
        </w:tc>
        <w:tc>
          <w:tcPr>
            <w:tcW w:w="450" w:type="dxa"/>
          </w:tcPr>
          <w:p>
            <w:pPr>
              <w:jc w:val="center"/>
              <w:spacing w:before="10" w:after="10"/>
            </w:pPr>
            <w:r/>
            <w:r>
              <w:rPr>
                <w:rFonts w:ascii="Times New Roman" w:hAnsi="Times New Roman"/>
                <w:sz w:val="16"/>
              </w:rPr>
              <w:t>EE</w:t>
            </w:r>
          </w:p>
        </w:tc>
        <w:tc>
          <w:tcPr>
            <w:tcW w:w="7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2</w:t>
            </w:r>
          </w:p>
        </w:tc>
        <w:tc>
          <w:tcPr>
            <w:tcW w:w="450" w:type="dxa"/>
          </w:tcPr>
          <w:p>
            <w:pPr>
              <w:jc w:val="center"/>
              <w:spacing w:before="10" w:after="10"/>
            </w:pPr>
            <w:r/>
            <w:r>
              <w:rPr>
                <w:rFonts w:ascii="Times New Roman" w:hAnsi="Times New Roman"/>
                <w:sz w:val="16"/>
              </w:rPr>
              <w:t>EE</w:t>
            </w:r>
          </w:p>
        </w:tc>
        <w:tc>
          <w:tcPr>
            <w:tcW w:w="500" w:type="dxa"/>
          </w:tcPr>
          <w:p>
            <w:pPr>
              <w:jc w:val="center"/>
              <w:spacing w:before="10" w:after="10"/>
            </w:pPr>
            <w:r/>
            <w:r>
              <w:rPr>
                <w:rFonts w:ascii="Times New Roman" w:hAnsi="Times New Roman"/>
                <w:sz w:val="16"/>
              </w:rPr>
              <w:t>EE</w:t>
            </w:r>
          </w:p>
        </w:tc>
      </w:tr>
      <w:tr>
        <w:tc>
          <w:tcPr>
            <w:tcW w:w="1800" w:type="dxa"/>
          </w:tcPr>
          <w:p>
            <w:pPr>
              <w:jc w:val="left"/>
              <w:spacing w:before="10" w:after="10"/>
            </w:pPr>
            <w:r/>
            <w:r>
              <w:rPr>
                <w:rFonts w:ascii="Times New Roman" w:hAnsi="Times New Roman"/>
                <w:sz w:val="16"/>
              </w:rPr>
              <w:t>Ethiopia</w:t>
            </w:r>
          </w:p>
        </w:tc>
        <w:tc>
          <w:tcPr>
            <w:tcW w:w="7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3</w:t>
            </w:r>
          </w:p>
        </w:tc>
        <w:tc>
          <w:tcPr>
            <w:tcW w:w="450" w:type="dxa"/>
          </w:tcPr>
          <w:p>
            <w:pPr>
              <w:jc w:val="center"/>
              <w:spacing w:before="10" w:after="10"/>
            </w:pPr>
            <w:r/>
            <w:r>
              <w:rPr>
                <w:rFonts w:ascii="Times New Roman" w:hAnsi="Times New Roman"/>
                <w:sz w:val="16"/>
              </w:rPr>
              <w:t>EE</w:t>
            </w:r>
          </w:p>
        </w:tc>
        <w:tc>
          <w:tcPr>
            <w:tcW w:w="7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3</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Kosovo</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10</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4</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Tajikistan</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12</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5</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Montenegro</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13</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6</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China</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14</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7</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II</w:t>
            </w:r>
          </w:p>
        </w:tc>
      </w:tr>
      <w:tr>
        <w:tc>
          <w:tcPr>
            <w:tcW w:w="1800" w:type="dxa"/>
          </w:tcPr>
          <w:p>
            <w:pPr>
              <w:jc w:val="left"/>
              <w:spacing w:before="10" w:after="10"/>
            </w:pPr>
            <w:r/>
            <w:r>
              <w:rPr>
                <w:rFonts w:ascii="Times New Roman" w:hAnsi="Times New Roman"/>
                <w:sz w:val="16"/>
              </w:rPr>
              <w:t>Ukraine</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16</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8</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Argentina</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17</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9</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Colombia</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18</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10</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Azerbaijan</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19</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11</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Russia</w:t>
            </w:r>
          </w:p>
        </w:tc>
        <w:tc>
          <w:tcPr>
            <w:tcW w:w="7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8</w:t>
            </w:r>
          </w:p>
        </w:tc>
        <w:tc>
          <w:tcPr>
            <w:tcW w:w="450" w:type="dxa"/>
          </w:tcPr>
          <w:p>
            <w:pPr>
              <w:jc w:val="center"/>
              <w:spacing w:before="10" w:after="10"/>
            </w:pPr>
            <w:r/>
            <w:r>
              <w:rPr>
                <w:rFonts w:ascii="Times New Roman" w:hAnsi="Times New Roman"/>
                <w:sz w:val="16"/>
              </w:rPr>
              <w:t>DD</w:t>
            </w:r>
          </w:p>
        </w:tc>
        <w:tc>
          <w:tcPr>
            <w:tcW w:w="7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12</w:t>
            </w:r>
          </w:p>
        </w:tc>
        <w:tc>
          <w:tcPr>
            <w:tcW w:w="450" w:type="dxa"/>
          </w:tcPr>
          <w:p>
            <w:pPr>
              <w:jc w:val="center"/>
              <w:spacing w:before="10" w:after="10"/>
            </w:pPr>
            <w:r/>
            <w:r>
              <w:rPr>
                <w:rFonts w:ascii="Times New Roman" w:hAnsi="Times New Roman"/>
                <w:sz w:val="16"/>
              </w:rPr>
              <w:t>DD</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Norway</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20</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13</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Algeria</w:t>
            </w:r>
          </w:p>
        </w:tc>
        <w:tc>
          <w:tcPr>
            <w:tcW w:w="7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6</w:t>
            </w:r>
          </w:p>
        </w:tc>
        <w:tc>
          <w:tcPr>
            <w:tcW w:w="450" w:type="dxa"/>
          </w:tcPr>
          <w:p>
            <w:pPr>
              <w:jc w:val="center"/>
              <w:spacing w:before="10" w:after="10"/>
            </w:pPr>
            <w:r/>
            <w:r>
              <w:rPr>
                <w:rFonts w:ascii="Times New Roman" w:hAnsi="Times New Roman"/>
                <w:sz w:val="16"/>
              </w:rPr>
              <w:t>EE</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14</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Finland</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23</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15</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IE</w:t>
            </w:r>
          </w:p>
        </w:tc>
      </w:tr>
      <w:tr>
        <w:tc>
          <w:tcPr>
            <w:tcW w:w="1800" w:type="dxa"/>
          </w:tcPr>
          <w:p>
            <w:pPr>
              <w:jc w:val="left"/>
              <w:spacing w:before="10" w:after="10"/>
            </w:pPr>
            <w:r/>
            <w:r>
              <w:rPr>
                <w:rFonts w:ascii="Times New Roman" w:hAnsi="Times New Roman"/>
                <w:sz w:val="16"/>
              </w:rPr>
              <w:t>Vietnam</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24</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16</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Brazil</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26</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17</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Turkmenistan</w:t>
            </w:r>
          </w:p>
        </w:tc>
        <w:tc>
          <w:tcPr>
            <w:tcW w:w="75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2</w:t>
            </w:r>
          </w:p>
        </w:tc>
        <w:tc>
          <w:tcPr>
            <w:tcW w:w="450" w:type="dxa"/>
          </w:tcPr>
          <w:p>
            <w:pPr>
              <w:jc w:val="center"/>
              <w:spacing w:before="10" w:after="10"/>
            </w:pPr>
            <w:r/>
            <w:r>
              <w:rPr>
                <w:rFonts w:ascii="Times New Roman" w:hAnsi="Times New Roman"/>
                <w:sz w:val="16"/>
              </w:rPr>
              <w:t>DD</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18</w:t>
            </w:r>
          </w:p>
        </w:tc>
        <w:tc>
          <w:tcPr>
            <w:tcW w:w="450" w:type="dxa"/>
          </w:tcPr>
          <w:p>
            <w:pPr>
              <w:jc w:val="center"/>
              <w:spacing w:before="10" w:after="10"/>
            </w:pPr>
            <w:r/>
            <w:r>
              <w:rPr>
                <w:rFonts w:ascii="Times New Roman" w:hAnsi="Times New Roman"/>
                <w:sz w:val="16"/>
              </w:rPr>
              <w:t>DD</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Egypt</w:t>
            </w:r>
          </w:p>
        </w:tc>
        <w:tc>
          <w:tcPr>
            <w:tcW w:w="7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5</w:t>
            </w:r>
          </w:p>
        </w:tc>
        <w:tc>
          <w:tcPr>
            <w:tcW w:w="450" w:type="dxa"/>
          </w:tcPr>
          <w:p>
            <w:pPr>
              <w:jc w:val="center"/>
              <w:spacing w:before="10" w:after="10"/>
            </w:pPr>
            <w:r/>
            <w:r>
              <w:rPr>
                <w:rFonts w:ascii="Times New Roman" w:hAnsi="Times New Roman"/>
                <w:sz w:val="16"/>
              </w:rPr>
              <w:t>EE</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19</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Sweden</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28</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20</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IE</w:t>
            </w:r>
          </w:p>
        </w:tc>
      </w:tr>
      <w:tr>
        <w:tc>
          <w:tcPr>
            <w:tcW w:w="1800" w:type="dxa"/>
          </w:tcPr>
          <w:p>
            <w:pPr>
              <w:jc w:val="left"/>
              <w:spacing w:before="10" w:after="10"/>
            </w:pPr>
            <w:r/>
            <w:r>
              <w:rPr>
                <w:rFonts w:ascii="Times New Roman" w:hAnsi="Times New Roman"/>
                <w:sz w:val="16"/>
              </w:rPr>
              <w:t>India</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29</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21</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Indonesia</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30</w:t>
            </w:r>
          </w:p>
        </w:tc>
        <w:tc>
          <w:tcPr>
            <w:tcW w:w="450" w:type="dxa"/>
          </w:tcPr>
          <w:p>
            <w:pPr>
              <w:jc w:val="center"/>
              <w:spacing w:before="10" w:after="10"/>
            </w:pPr>
            <w:r/>
            <w:r>
              <w:rPr>
                <w:rFonts w:ascii="Times New Roman" w:hAnsi="Times New Roman"/>
                <w:sz w:val="16"/>
              </w:rPr>
              <w:t>IE</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22</w:t>
            </w:r>
          </w:p>
        </w:tc>
        <w:tc>
          <w:tcPr>
            <w:tcW w:w="450" w:type="dxa"/>
          </w:tcPr>
          <w:p>
            <w:pPr>
              <w:jc w:val="center"/>
              <w:spacing w:before="10" w:after="10"/>
            </w:pPr>
            <w:r/>
            <w:r>
              <w:rPr>
                <w:rFonts w:ascii="Times New Roman" w:hAnsi="Times New Roman"/>
                <w:sz w:val="16"/>
              </w:rPr>
              <w:t>IE</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Kazakhstan</w:t>
            </w:r>
          </w:p>
        </w:tc>
        <w:tc>
          <w:tcPr>
            <w:tcW w:w="7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21</w:t>
            </w:r>
          </w:p>
        </w:tc>
        <w:tc>
          <w:tcPr>
            <w:tcW w:w="450" w:type="dxa"/>
          </w:tcPr>
          <w:p>
            <w:pPr>
              <w:jc w:val="center"/>
              <w:spacing w:before="10" w:after="10"/>
            </w:pPr>
            <w:r/>
            <w:r>
              <w:rPr>
                <w:rFonts w:ascii="Times New Roman" w:hAnsi="Times New Roman"/>
                <w:sz w:val="16"/>
              </w:rPr>
              <w:t>II</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23</w:t>
            </w:r>
          </w:p>
        </w:tc>
        <w:tc>
          <w:tcPr>
            <w:tcW w:w="450" w:type="dxa"/>
          </w:tcPr>
          <w:p>
            <w:pPr>
              <w:jc w:val="center"/>
              <w:spacing w:before="10" w:after="10"/>
            </w:pPr>
            <w:r/>
            <w:r>
              <w:rPr>
                <w:rFonts w:ascii="Times New Roman" w:hAnsi="Times New Roman"/>
                <w:sz w:val="16"/>
              </w:rPr>
              <w:t>II</w:t>
            </w:r>
          </w:p>
        </w:tc>
        <w:tc>
          <w:tcPr>
            <w:tcW w:w="500" w:type="dxa"/>
          </w:tcPr>
          <w:p>
            <w:pPr>
              <w:jc w:val="center"/>
              <w:spacing w:before="10" w:after="10"/>
            </w:pPr>
            <w:r/>
            <w:r>
              <w:rPr>
                <w:rFonts w:ascii="Times New Roman" w:hAnsi="Times New Roman"/>
                <w:sz w:val="16"/>
              </w:rPr>
              <w:t>DD</w:t>
            </w:r>
          </w:p>
        </w:tc>
      </w:tr>
      <w:tr>
        <w:tc>
          <w:tcPr>
            <w:tcW w:w="1800" w:type="dxa"/>
          </w:tcPr>
          <w:p>
            <w:pPr>
              <w:jc w:val="left"/>
              <w:spacing w:before="10" w:after="10"/>
            </w:pPr>
            <w:r/>
            <w:r>
              <w:rPr>
                <w:rFonts w:ascii="Times New Roman" w:hAnsi="Times New Roman"/>
                <w:sz w:val="16"/>
              </w:rPr>
              <w:t>Iran</w:t>
            </w:r>
          </w:p>
        </w:tc>
        <w:tc>
          <w:tcPr>
            <w:tcW w:w="750" w:type="dxa"/>
          </w:tcPr>
          <w:p>
            <w:pPr>
              <w:jc w:val="center"/>
              <w:spacing w:before="10" w:after="10"/>
            </w:pPr>
            <w:r/>
            <w:r>
              <w:rPr>
                <w:rFonts w:ascii="Times New Roman" w:hAnsi="Times New Roman"/>
                <w:sz w:val="16"/>
              </w:rPr>
              <w:t>$1.56</w:t>
            </w:r>
          </w:p>
        </w:tc>
        <w:tc>
          <w:tcPr>
            <w:tcW w:w="450" w:type="dxa"/>
          </w:tcPr>
          <w:p>
            <w:pPr>
              <w:jc w:val="center"/>
              <w:spacing w:before="10" w:after="10"/>
            </w:pPr>
            <w:r/>
            <w:r>
              <w:rPr>
                <w:rFonts w:ascii="Times New Roman" w:hAnsi="Times New Roman"/>
                <w:sz w:val="16"/>
              </w:rPr>
              <w:t>1</w:t>
            </w:r>
          </w:p>
        </w:tc>
        <w:tc>
          <w:tcPr>
            <w:tcW w:w="450" w:type="dxa"/>
          </w:tcPr>
          <w:p>
            <w:pPr>
              <w:jc w:val="center"/>
              <w:spacing w:before="10" w:after="10"/>
            </w:pPr>
            <w:r/>
            <w:r>
              <w:rPr>
                <w:rFonts w:ascii="Times New Roman" w:hAnsi="Times New Roman"/>
                <w:sz w:val="16"/>
              </w:rPr>
              <w:t>DD</w:t>
            </w:r>
          </w:p>
        </w:tc>
        <w:tc>
          <w:tcPr>
            <w:tcW w:w="7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24</w:t>
            </w:r>
          </w:p>
        </w:tc>
        <w:tc>
          <w:tcPr>
            <w:tcW w:w="450" w:type="dxa"/>
          </w:tcPr>
          <w:p>
            <w:pPr>
              <w:jc w:val="center"/>
              <w:spacing w:before="10" w:after="10"/>
            </w:pPr>
            <w:r/>
            <w:r>
              <w:rPr>
                <w:rFonts w:ascii="Times New Roman" w:hAnsi="Times New Roman"/>
                <w:sz w:val="16"/>
              </w:rPr>
              <w:t>DD</w:t>
            </w:r>
          </w:p>
        </w:tc>
        <w:tc>
          <w:tcPr>
            <w:tcW w:w="500" w:type="dxa"/>
          </w:tcPr>
          <w:p>
            <w:pPr>
              <w:jc w:val="center"/>
              <w:spacing w:before="10" w:after="10"/>
            </w:pPr>
            <w:r/>
            <w:r>
              <w:rPr>
                <w:rFonts w:ascii="Times New Roman" w:hAnsi="Times New Roman"/>
                <w:sz w:val="16"/>
              </w:rPr>
              <w:t>II</w:t>
            </w:r>
          </w:p>
        </w:tc>
      </w:tr>
      <w:tr>
        <w:tc>
          <w:tcPr>
            <w:tcBorders>
              <w:bottom w:val="double" w:sz="4" w:space="0" w:color="auto"/>
            </w:tcBorders>
            <w:tcW w:w="1800" w:type="dxa"/>
          </w:tcPr>
          <w:p>
            <w:pPr>
              <w:jc w:val="left"/>
              <w:spacing w:before="10" w:after="10"/>
            </w:pPr>
            <w:r/>
            <w:r>
              <w:rPr>
                <w:rFonts w:ascii="Times New Roman" w:hAnsi="Times New Roman"/>
                <w:sz w:val="16"/>
              </w:rPr>
              <w:t>Georgia</w:t>
            </w:r>
          </w:p>
        </w:tc>
        <w:tc>
          <w:tcPr>
            <w:tcBorders>
              <w:bottom w:val="double" w:sz="4" w:space="0" w:color="auto"/>
            </w:tcBorders>
            <w:tcW w:w="7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31</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7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25</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500" w:type="dxa"/>
          </w:tcPr>
          <w:p>
            <w:pPr>
              <w:jc w:val="center"/>
              <w:spacing w:before="10" w:after="10"/>
            </w:pPr>
            <w:r/>
            <w:r>
              <w:rPr>
                <w:rFonts w:ascii="Times New Roman" w:hAnsi="Times New Roman"/>
                <w:sz w:val="16"/>
              </w:rPr>
              <w:t>DD</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Specifications (1) and (2) show unit cost ($/GPU-hr), rank among 85 countries, and regime type. (3) shows regime type only (cost and rank unchanged from (2)). EE = training + inference exporter; IE = inference exporter; DD = domestic producer; II = full importer. (1) Raw: observed electricity tariffs. (2) Cost-recovery: subsidized tariffs replaced with LRMC. (3) Bilateral: bilateral sovereignty premium λᵢⱼ from </w:t>
      </w:r>
      <w:bookmarkStart w:id="904" w:name="Eq2txt904"/>
      <w:hyperlink w:anchor="Eq2" w:history="1">
        <w:r>
          <w:rPr>
            <w:rFonts w:ascii="Times New Roman" w:hAnsi="Times New Roman"/>
            <w:sz w:val="20"/>
            <w:color w:val="1F3864"/>
            <w:u w:val="single"/>
          </w:rPr>
          <w:t xml:space="preserve">equation (2)</w:t>
        </w:r>
      </w:hyperlink>
      <w:bookmarkEnd w:id="904"/>
      <w:r>
        <w:rPr>
          <w:rFonts w:ascii="Times New Roman" w:hAnsi="Times New Roman"/>
          <w:sz w:val="20"/>
        </w:rPr>
        <w:t xml:space="preserve">; only regime assignments change. * = sanctioned/GPU-blocked. † = developing-country exporter.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5" w:name="Eq4txt905"/>
      <w:hyperlink w:anchor="Eq4" w:history="1">
        <w:r>
          <w:rPr>
            <w:sz w:val="20"/>
            <w:color w:val="1F3864"/>
            <w:u w:val="single"/>
          </w:rPr>
          <w:t xml:space="preserve">equation (4)</w:t>
        </w:r>
      </w:hyperlink>
      <w:bookmarkEnd w:id="905"/>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6" w:name="Eq1txt906"/>
      <w:hyperlink w:anchor="Eq1" w:history="1">
        <w:r>
          <w:rPr>
            <w:color w:val="1F3864"/>
            <w:u w:val="single"/>
          </w:rPr>
          <w:t xml:space="preserve">equation (1)</w:t>
        </w:r>
      </w:hyperlink>
      <w:bookmarkEnd w:id="906"/>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7" w:name="Eq4txt907"/>
      <w:hyperlink w:anchor="Eq4" w:history="1">
        <w:r>
          <w:rPr>
            <w:color w:val="1F3864"/>
            <w:u w:val="single"/>
          </w:rPr>
          <w:t xml:space="preserve">equation (4)</w:t>
        </w:r>
      </w:hyperlink>
      <w:bookmarkEnd w:id="907"/>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8" w:name="Eq2txt908"/>
      <w:hyperlink w:anchor="Eq2" w:history="1">
        <w:r>
          <w:rPr>
            <w:color w:val="1F3864"/>
            <w:u w:val="single"/>
          </w:rPr>
          <w:t xml:space="preserve">equation (2)</w:t>
        </w:r>
      </w:hyperlink>
      <w:bookmarkEnd w:id="908"/>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10</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10</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Canada, Ethiopia, Kosovo, Tajikistan</w:t>
            </w:r>
          </w:p>
        </w:tc>
      </w:tr>
    </w:tbl>
    <w:p>
      <w:pPr>
        <w:spacing w:before="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Table A6.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spacing w:before="0" w:after="0"/>
      </w:pPr>
      <w:r>
        <w:br w:type="page"/>
      </w:r>
    </w:p>
    <w:p>
      <w:pPr>
        <w:pStyle w:val="Heading1"/>
      </w:pPr>
      <w:r>
        <w:rPr>
          <w:rFonts w:ascii="Times New Roman" w:hAnsi="Times New Roman"/>
          <w:b/>
          <w:color w:val="2F5496"/>
          <w:sz w:val="28"/>
        </w:rPr>
        <w:t>Appendix F: Workload Classification</w:t>
      </w:r>
    </w:p>
    <w:p>
      <w:pPr>
        <w:spacing w:before="0" w:after="160"/>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(Benz and Jaax 2020).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