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20:43</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0" w:name="IEA2025txt"/>
      <w:hyperlink w:anchor="IEA2025" w:history="1">
        <w:r>
          <w:rPr>
            <w:color w:val="1F3864"/>
            <w:u w:val="single"/>
          </w:rPr>
          <w:t xml:space="preserve">IEA 2025</w:t>
        </w:r>
      </w:hyperlink>
      <w:bookmarkEnd w:id="250"/>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1" w:name="Hausmann2007txt"/>
      <w:hyperlink w:anchor="Hausmann2007" w:history="1">
        <w:r>
          <w:rPr>
            <w:color w:val="1F3864"/>
            <w:u w:val="single"/>
          </w:rPr>
          <w:t xml:space="preserve">Hausmann et al. (2007)</w:t>
        </w:r>
      </w:hyperlink>
      <w:bookmarkEnd w:id="251"/>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6" w:name="Eurostat2025txt"/>
      <w:hyperlink w:anchor="Eurostat2025" w:history="1">
        <w:r>
          <w:rPr>
            <w:color w:val="1F3864"/>
            <w:u w:val="single"/>
          </w:rPr>
          <w:t xml:space="preserve">Eurostat 2025</w:t>
        </w:r>
      </w:hyperlink>
      <w:bookmarkEnd w:id="246"/>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5" w:name="Farole2011txt"/>
      <w:hyperlink w:anchor="Farole2011" w:history="1">
        <w:r>
          <w:rPr>
            <w:color w:val="1F3864"/>
            <w:u w:val="single"/>
          </w:rPr>
          <w:t xml:space="preserve">Farole 2011</w:t>
        </w:r>
      </w:hyperlink>
      <w:bookmarkEnd w:id="255"/>
      <w:r>
        <w:t xml:space="preserve">; </w:t>
      </w:r>
      <w:bookmarkStart w:id="247" w:name="WorldBank2017txt"/>
      <w:hyperlink w:anchor="WorldBank2017" w:history="1">
        <w:r>
          <w:rPr>
            <w:color w:val="1F3864"/>
            <w:u w:val="single"/>
          </w:rPr>
          <w:t xml:space="preserve">World Bank 2017</w:t>
        </w:r>
      </w:hyperlink>
      <w:bookmarkEnd w:id="247"/>
      <w:r>
        <w:t xml:space="preserve">; </w:t>
      </w:r>
      <w:bookmarkStart w:id="225" w:name="Frick2019txt"/>
      <w:hyperlink w:anchor="Frick2019" w:history="1">
        <w:r>
          <w:rPr>
            <w:color w:val="1F3864"/>
            <w:u w:val="single"/>
          </w:rPr>
          <w:t xml:space="preserve">Frick, Rodríguez-Pose, and Wong 2019</w:t>
        </w:r>
      </w:hyperlink>
      <w:bookmarkEnd w:id="225"/>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6" w:name="Lazard2025txt"/>
      <w:hyperlink w:anchor="Lazard2025" w:history="1">
        <w:r>
          <w:rPr>
            <w:color w:val="1F3864"/>
            <w:u w:val="single"/>
          </w:rPr>
          <w:t xml:space="preserve">Lazard 2025</w:t>
        </w:r>
      </w:hyperlink>
      <w:bookmarkEnd w:id="226"/>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89% of global inference demand (HHI = 0.30). </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7" w:name="EatonKortum2002txt"/>
      <w:hyperlink w:anchor="EatonKortum2002" w:history="1">
        <w:r>
          <w:rPr>
            <w:color w:val="1F3864"/>
            <w:u w:val="single"/>
          </w:rPr>
          <w:t xml:space="preserve">Eaton and Kortum 2002</w:t>
        </w:r>
      </w:hyperlink>
      <w:bookmarkEnd w:id="227"/>
      <w:r>
        <w:t xml:space="preserve">, </w:t>
      </w:r>
      <w:bookmarkStart w:id="249" w:name="ACR2012txt"/>
      <w:hyperlink w:anchor="ACR2012" w:history="1">
        <w:r>
          <w:rPr>
            <w:color w:val="1F3864"/>
            <w:u w:val="single"/>
          </w:rPr>
          <w:t xml:space="preserve">Arkolakis et al. 2012</w:t>
        </w:r>
      </w:hyperlink>
      <w:bookmarkEnd w:id="249"/>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extends the sovereignty logic to routine commercial computation.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w:t>
      </w:r>
      <w:bookmarkStart w:id="228" w:name="WorldBank2025txt"/>
      <w:hyperlink w:anchor="WorldBank2025" w:history="1">
        <w:r>
          <w:rPr>
            <w:color w:val="1F3864"/>
            <w:u w:val="single"/>
          </w:rPr>
          <w:t xml:space="preserve">World Bank (2025)</w:t>
        </w:r>
      </w:hyperlink>
      <w:bookmarkEnd w:id="228"/>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2" w:name="vanderPloeg2011txt"/>
      <w:hyperlink w:anchor="vanderPloeg2011" w:history="1">
        <w:r>
          <w:rPr>
            <w:color w:val="1F3864"/>
            <w:u w:val="single"/>
          </w:rPr>
          <w:t xml:space="preserve">van der Ploeg 2011</w:t>
        </w:r>
      </w:hyperlink>
      <w:bookmarkEnd w:id="232"/>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