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v25  —  February 23, 2026  18:20</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5" w:name="IEA2025txt"/>
      <w:hyperlink w:anchor="IEA2025" w:history="1">
        <w:r>
          <w:rPr>
            <w:color w:val="1F3864"/>
            <w:u w:val="single"/>
          </w:rPr>
          <w:t xml:space="preserve">IEA 2025</w:t>
        </w:r>
      </w:hyperlink>
      <w:bookmarkEnd w:id="245"/>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6" w:name="Hausmann2007txt"/>
      <w:hyperlink w:anchor="Hausmann2007" w:history="1">
        <w:r>
          <w:rPr>
            <w:color w:val="1F3864"/>
            <w:u w:val="single"/>
          </w:rPr>
          <w:t xml:space="preserve">Hausmann et al. (2007)</w:t>
        </w:r>
      </w:hyperlink>
      <w:bookmarkEnd w:id="246"/>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7" w:name="Liu2023txt"/>
      <w:hyperlink w:anchor="Liu2023" w:history="1">
        <w:r>
          <w:rPr>
            <w:color w:val="1F3864"/>
            <w:u w:val="single"/>
          </w:rPr>
          <w:t xml:space="preserve">Liu et al. (2023)</w:t>
        </w:r>
      </w:hyperlink>
      <w:bookmarkEnd w:id="247"/>
      <w:r>
        <w:t xml:space="preserve"> study data center placement under renewable energy constraints. These studies focus on where firms should build data centers.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1" w:name="Pilz2025txt"/>
      <w:hyperlink w:anchor="Pilz2025" w:history="1">
        <w:r>
          <w:rPr>
            <w:color w:val="1F3864"/>
            <w:u w:val="single"/>
          </w:rPr>
          <w:t xml:space="preserve">Pilz et al. (2025)</w:t>
        </w:r>
      </w:hyperlink>
      <w:bookmarkEnd w:id="251"/>
      <w:r>
        <w:t xml:space="preserve"> project that AI data center power demand could reach 327 GW by 2030 and that domestic power shortages may push compute infrastructure abroad. The </w:t>
      </w:r>
      <w:bookmarkStart w:id="252" w:name="WorldBank2025txt"/>
      <w:hyperlink w:anchor="WorldBank2025" w:history="1">
        <w:r>
          <w:rPr>
            <w:color w:val="1F3864"/>
            <w:u w:val="single"/>
          </w:rPr>
          <w:t xml:space="preserve">World Bank (2025)</w:t>
        </w:r>
      </w:hyperlink>
      <w:bookmarkEnd w:id="252"/>
      <w:r>
        <w:t xml:space="preserve"> documents the resulting global compute divide: high-income countries hold 77% of colocation data center capacity and account for 87% of cloud computing exports (</w:t>
      </w:r>
      <w:bookmarkStart w:id="248" w:name="Stojkoski2024txt"/>
      <w:hyperlink w:anchor="Stojkoski2024" w:history="1">
        <w:r>
          <w:rPr>
            <w:color w:val="1F3864"/>
            <w:u w:val="single"/>
          </w:rPr>
          <w:t xml:space="preserve">Stojkoski et al. 2024</w:t>
        </w:r>
      </w:hyperlink>
      <w:bookmarkEnd w:id="248"/>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a weighted geometric mean of governance quality and grid reliability: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49" w:name="EIA2025txt"/>
      <w:hyperlink w:anchor="EIA2025" w:history="1">
        <w:r>
          <w:rPr>
            <w:color w:val="1F3864"/>
            <w:u w:val="single"/>
          </w:rPr>
          <w:t xml:space="preserve">EIA 2025</w:t>
        </w:r>
      </w:hyperlink>
      <w:bookmarkEnd w:id="249"/>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a weighted geometric mean of governance quality and grid reliability with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0.52, Uzbekistan: 0.48, Ethiopia: 0.42). The sensitivity of results to </w:t>
      </w:r>
      <m:oMath>
        <m:r>
          <m:rPr>
            <m:sty m:val="i"/>
          </m:rPr>
          <w:rPr>
            <w:rFonts w:ascii="Cambria Math" w:hAnsi="Cambria Math"/>
          </w:rPr>
          <m:t xml:space="preserve">ω</m:t>
        </m:r>
      </m:oMath>
      <w:r>
        <w:t xml:space="preserve"> is examined in Section 7. ξ ranges from 0.62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42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Norway, Finland, Canada, Sweden, and South Africa. </w:t>
      </w:r>
      <w:r>
        <w:t>The Δ column shows the rank change from raw tariffs to the preferred specification (column 1 to column 4): Iran drops 82 places</w:t>
      </w:r>
      <w:r>
        <w:t>, Kyrgyzstan drops 67</w:t>
      </w:r>
      <w:r>
        <w:t xml:space="preserve">, while Switzerland rises 65 places, </w:t>
      </w:r>
      <w:r>
        <w:t>and Singapore rises 63</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41.3%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71.9%</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0.36).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Finland,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5.1%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0.992, the top five countries are unchanged in four of five cases, and the training price shifts by at most $0.272/hr.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weight.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Table [X] reports results for </w:t>
      </w:r>
      <m:oMath>
        <m:r>
          <m:rPr>
            <m:sty m:val="i"/>
          </m:rPr>
          <w:rPr>
            <w:rFonts w:ascii="Cambria Math" w:hAnsi="Cambria Math"/>
          </w:rPr>
          <m:t xml:space="preserve">ω</m:t>
        </m:r>
        <m:r>
          <m:rPr>
            <m:sty m:val="p"/>
          </m:rPr>
          <w:rPr>
            <w:rFonts w:ascii="Cambria Math" w:hAnsi="Cambria Math"/>
          </w:rPr>
          <m:t xml:space="preserve"> = 0.70, 0.85,</m:t>
        </m:r>
      </m:oMath>
      <w:r>
        <w:t xml:space="preserve"> and </w:t>
      </w:r>
      <m:oMath>
        <m:r>
          <m:rPr>
            <m:sty m:val="p"/>
          </m:rPr>
          <w:rPr>
            <w:rFonts w:ascii="Cambria Math" w:hAnsi="Cambria Math"/>
          </w:rPr>
          <m:t xml:space="preserve">1.00</m:t>
        </m:r>
      </m:oMath>
      <w:r>
        <w:t xml:space="preserve">. At </w:t>
      </w:r>
      <m:oMath>
        <m:r>
          <m:rPr>
            <m:sty m:val="i"/>
          </m:rPr>
          <w:rPr>
            <w:rFonts w:ascii="Cambria Math" w:hAnsi="Cambria Math"/>
          </w:rPr>
          <m:t xml:space="preserve">ω</m:t>
        </m:r>
        <m:r>
          <m:rPr>
            <m:sty m:val="p"/>
          </m:rPr>
          <w:rPr>
            <w:rFonts w:ascii="Cambria Math" w:hAnsi="Cambria Math"/>
          </w:rPr>
          <m:t xml:space="preserve"> = 1.00</m:t>
        </m:r>
      </m:oMath>
      <w:r>
        <w:t xml:space="preserve"> (governance only), grid reliability drops out entirely; at </w:t>
      </w:r>
      <m:oMath>
        <m:r>
          <m:rPr>
            <m:sty m:val="i"/>
          </m:rPr>
          <w:rPr>
            <w:rFonts w:ascii="Cambria Math" w:hAnsi="Cambria Math"/>
          </w:rPr>
          <m:t xml:space="preserve">ω</m:t>
        </m:r>
        <m:r>
          <m:rPr>
            <m:sty m:val="p"/>
          </m:rPr>
          <w:rPr>
            <w:rFonts w:ascii="Cambria Math" w:hAnsi="Cambria Math"/>
          </w:rPr>
          <m:t xml:space="preserve"> = 0.70</m:t>
        </m:r>
      </m:oMath>
      <w:r>
        <w:t xml:space="preserve">, it receives moderate weight. The top five exporters are unchanged across all three specifications, and the Spearman rank correlation with the baseline exceeds 0.99 in both alternatives. The qualitative finding — that developing countries with cheap energy and adequate governance can compete — is robust to the choice of </w:t>
      </w:r>
      <m:oMath>
        <m:r>
          <m:rPr>
            <m:sty m:val="i"/>
          </m:rPr>
          <w:rPr>
            <w:rFonts w:ascii="Cambria Math" w:hAnsi="Cambria Math"/>
          </w:rPr>
          <m:t xml:space="preserve">ω</m:t>
        </m:r>
      </m:oMath>
      <w:r>
        <w:t>.</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5.1%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r>
        <w:rPr>
          <w:color w:val="1F3864"/>
          <w:u w:val="single"/>
        </w:rPr>
        <w:t xml:space="preserve">NVIDIA. </w:t>
      </w:r>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+12</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540" w:type="dxa"/>
          </w:tcPr>
          <w:p>
            <w:pPr>
              <w:jc w:val="center"/>
              <w:spacing w:before="10" w:after="10"/>
            </w:pPr>
            <w:r/>
            <w:r>
              <w:rPr>
                <w:rFonts w:ascii="Times New Roman" w:hAnsi="Times New Roman"/>
                <w:b/>
                <w:sz w:val="16"/>
              </w:rPr>
              <w:t>40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$2.25</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$2.25</w:t>
            </w:r>
          </w:p>
        </w:tc>
        <w:tc>
          <w:tcPr>
            <w:tcW w:w="540" w:type="dxa"/>
          </w:tcPr>
          <w:p>
            <w:pPr>
              <w:jc w:val="center"/>
              <w:spacing w:before="10" w:after="10"/>
            </w:pPr>
            <w:r/>
            <w:r>
              <w:rPr>
                <w:rFonts w:ascii="Times New Roman" w:hAnsi="Times New Roman"/>
                <w:b/>
                <w:sz w:val="16"/>
              </w:rPr>
              <w:t>54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-37</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$2.35</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$2.35</w:t>
            </w:r>
          </w:p>
        </w:tc>
        <w:tc>
          <w:tcPr>
            <w:tcW w:w="540" w:type="dxa"/>
          </w:tcPr>
          <w:p>
            <w:pPr>
              <w:jc w:val="center"/>
              <w:spacing w:before="10" w:after="10"/>
            </w:pPr>
            <w:r/>
            <w:r>
              <w:rPr>
                <w:rFonts w:ascii="Times New Roman" w:hAnsi="Times New Roman"/>
                <w:b/>
                <w:sz w:val="16"/>
              </w:rPr>
              <w:t>61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$2.36</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$2.36</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$2.53</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$2.53</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$2.74</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-72</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$3.37</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$3.37</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-69</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$3.43</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$3.43</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-79</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−4.3%</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−1.4%</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−1.3%</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−0.0%</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$1.60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0.6%</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$1.82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40</w:t>
            </w:r>
          </w:p>
        </w:tc>
        <w:tc>
          <w:tcPr>
            <w:tcW w:w="1100" w:type="dxa"/>
          </w:tcPr>
          <w:p>
            <w:pPr>
              <w:jc w:val="center"/>
              <w:spacing w:before="10" w:after="10"/>
            </w:pPr>
            <w:r/>
            <w:r>
              <w:rPr>
                <w:rFonts w:ascii="Times New Roman" w:hAnsi="Times New Roman"/>
                <w:sz w:val="16"/>
              </w:rPr>
              <w:t>14.1%</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$1.95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22.8%</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$2.25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54</w:t>
            </w:r>
          </w:p>
        </w:tc>
        <w:tc>
          <w:tcPr>
            <w:tcW w:w="1100" w:type="dxa"/>
          </w:tcPr>
          <w:p>
            <w:pPr>
              <w:jc w:val="center"/>
              <w:spacing w:before="10" w:after="10"/>
            </w:pPr>
            <w:r/>
            <w:r>
              <w:rPr>
                <w:rFonts w:ascii="Times New Roman" w:hAnsi="Times New Roman"/>
                <w:sz w:val="16"/>
              </w:rPr>
              <w:t>41.3%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$2.32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45.7%</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$2.35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61</w:t>
            </w:r>
          </w:p>
        </w:tc>
        <w:tc>
          <w:tcPr>
            <w:tcW w:w="1100" w:type="dxa"/>
          </w:tcPr>
          <w:p>
            <w:pPr>
              <w:jc w:val="center"/>
              <w:spacing w:before="10" w:after="10"/>
            </w:pPr>
            <w:r/>
            <w:r>
              <w:rPr>
                <w:rFonts w:ascii="Times New Roman" w:hAnsi="Times New Roman"/>
                <w:sz w:val="16"/>
              </w:rPr>
              <w:t>47.9%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$2.36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48.0%</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68</w:t>
            </w:r>
          </w:p>
        </w:tc>
        <w:tc>
          <w:tcPr>
            <w:tcW w:w="1100" w:type="dxa"/>
          </w:tcPr>
          <w:p>
            <w:pPr>
              <w:jc w:val="center"/>
              <w:spacing w:before="10" w:after="10"/>
            </w:pPr>
            <w:r/>
            <w:r>
              <w:rPr>
                <w:rFonts w:ascii="Times New Roman" w:hAnsi="Times New Roman"/>
                <w:sz w:val="16"/>
              </w:rPr>
              <w:t>58.9%</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$2.74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71.9%</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75.3%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$3.27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105.3%</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$3.37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111.4%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$3.43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82</w:t>
            </w:r>
          </w:p>
        </w:tc>
        <w:tc>
          <w:tcPr>
            <w:tcW w:w="1100" w:type="dxa"/>
          </w:tcPr>
          <w:p>
            <w:pPr>
              <w:jc w:val="center"/>
              <w:spacing w:before="10" w:after="10"/>
            </w:pPr>
            <w:r/>
            <w:r>
              <w:rPr>
                <w:rFonts w:ascii="Times New Roman" w:hAnsi="Times New Roman"/>
                <w:sz w:val="16"/>
              </w:rPr>
              <w:t>115.6%</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$3.77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136.7%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$4.27</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168.4%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0.52</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0.97</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0.58</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0.45</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0.66</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0.39</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0.93</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0.46</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0.82</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0.92</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0.84</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0.93</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+65</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-72</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-69</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-79</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