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v24  —  February 22, 2026  14:58</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9" w:name="IEA2025txt"/>
      <w:hyperlink w:anchor="IEA2025" w:history="1">
        <w:r>
          <w:rPr>
            <w:color w:val="1F3864"/>
            <w:u w:val="single"/>
          </w:rPr>
          <w:t xml:space="preserve">IEA 2025</w:t>
        </w:r>
      </w:hyperlink>
      <w:bookmarkEnd w:id="249"/>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varying with geopolitical alignment, regulatory compatibility, and sanctions exposure.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production-efficiency penalties for grid outages and weak governance are applied, the cost ranking changes substantially. Bilateral trade frictions—geopolitical distance, regulatory incompatibility, and sanctions—further reshape trade patterns. Several energy-abundant but institutionally fragile economies fall out of the top tier, replaced by countries with more reliable grids and stronger institutions at moderately higher energy costs.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0" w:name="Hausmann2007txt"/>
      <w:hyperlink w:anchor="Hausmann2007" w:history="1">
        <w:r>
          <w:rPr>
            <w:color w:val="1F3864"/>
            <w:u w:val="single"/>
          </w:rPr>
          <w:t xml:space="preserve">Hausmann et al. (2007)</w:t>
        </w:r>
      </w:hyperlink>
      <w:bookmarkEnd w:id="250"/>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1" w:name="Liu2023txt"/>
      <w:hyperlink w:anchor="Liu2023" w:history="1">
        <w:r>
          <w:rPr>
            <w:color w:val="1F3864"/>
            <w:u w:val="single"/>
          </w:rPr>
          <w:t xml:space="preserve">Liu et al. (2023)</w:t>
        </w:r>
      </w:hyperlink>
      <w:bookmarkEnd w:id="251"/>
      <w:r>
        <w:t xml:space="preserve"> study data center placement under renewable energy constraints. These studies focus on where firms should build data centers. In international trade theory, </w:t>
      </w:r>
      <w:bookmarkStart w:id="256" w:name="Brainard1997txt"/>
      <w:hyperlink w:anchor="Brainard1997" w:history="1">
        <w:r>
          <w:rPr>
            <w:color w:val="1F3864"/>
            <w:u w:val="single"/>
          </w:rPr>
          <w:t xml:space="preserve">Brainard (1997)</w:t>
        </w:r>
      </w:hyperlink>
      <w:bookmarkEnd w:id="256"/>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7" w:name="Pilz2025txt"/>
      <w:hyperlink w:anchor="Pilz2025" w:history="1">
        <w:r>
          <w:rPr>
            <w:color w:val="1F3864"/>
            <w:u w:val="single"/>
          </w:rPr>
          <w:t xml:space="preserve">Pilz et al. (2025)</w:t>
        </w:r>
      </w:hyperlink>
      <w:bookmarkEnd w:id="257"/>
      <w:r>
        <w:t xml:space="preserve"> project that AI data center power demand could reach 327 GW by 2030 and that domestic power shortages may push compute infrastructure abroad. The </w:t>
      </w:r>
      <w:bookmarkStart w:id="258" w:name="WorldBank2025txt"/>
      <w:hyperlink w:anchor="WorldBank2025" w:history="1">
        <w:r>
          <w:rPr>
            <w:color w:val="1F3864"/>
            <w:u w:val="single"/>
          </w:rPr>
          <w:t xml:space="preserve">World Bank (2025)</w:t>
        </w:r>
      </w:hyperlink>
      <w:bookmarkEnd w:id="258"/>
      <w:r>
        <w:t xml:space="preserve"> documents the resulting global compute divide: high-income countries hold 77% of colocation data center capacity and account for 87% of cloud computing exports (</w:t>
      </w:r>
      <w:bookmarkStart w:id="252" w:name="Stojkoski2024txt"/>
      <w:hyperlink w:anchor="Stojkoski2024" w:history="1">
        <w:r>
          <w:rPr>
            <w:color w:val="1F3864"/>
            <w:u w:val="single"/>
          </w:rPr>
          <w:t xml:space="preserve">Stojkoski et al. 2024</w:t>
        </w:r>
      </w:hyperlink>
      <w:bookmarkEnd w:id="252"/>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by buyer </w:t>
      </w:r>
      <m:oMath>
        <m:r>
          <m:rPr>
            <m:sty m:val="i"/>
          </m:rPr>
          <w:rPr>
            <w:rFonts w:ascii="Cambria Math" w:hAnsi="Cambria Math"/>
          </w:rPr>
          <m:t xml:space="preserve">i</m:t>
        </m:r>
      </m:oMath>
      <w:r>
        <w:t xml:space="preserve"> from foreign seller </w:t>
      </w:r>
      <m:oMath>
        <m:r>
          <m:rPr>
            <m:sty m:val="i"/>
          </m:rPr>
          <w:rPr>
            <w:rFonts w:ascii="Cambria Math" w:hAnsi="Cambria Math"/>
          </w:rPr>
          <m:t xml:space="preserve">j</m:t>
        </m:r>
      </m:oMath>
      <w:r>
        <w:t xml:space="preserve">. When country </w:t>
      </w:r>
      <m:oMath>
        <m:r>
          <m:rPr>
            <m:sty m:val="i"/>
          </m:rPr>
          <w:rPr>
            <w:rFonts w:ascii="Cambria Math" w:hAnsi="Cambria Math"/>
          </w:rPr>
          <m:t xml:space="preserve">i</m:t>
        </m:r>
      </m:oMath>
      <w:r>
        <w:t xml:space="preserve"> sources compute from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i</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The coefficients are calibrated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constructed as the product of two normalized scores: grid reliability (inverse of hours without electricity per firm per year) and operational risk (a composite of contract enforcement, expropriation risk, and regulatory predictability). It approaches one for countries with reliable power and sound institutions, and falls below one where outages or operational risk reduce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1" w:name="Hummels2013txt"/>
      <w:hyperlink w:anchor="Hummels2013" w:history="1">
        <w:r>
          <w:rPr>
            <w:color w:val="1F3864"/>
            <w:u w:val="single"/>
          </w:rPr>
          <w:t xml:space="preserve">Hummels and Schaur (2013)</w:t>
        </w:r>
      </w:hyperlink>
      <w:bookmarkEnd w:id="211"/>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so the bilateral sovereignty premium is large enough to justify domestic production of both training and inference.(v)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53" w:name="EIA2025txt"/>
      <w:hyperlink w:anchor="EIA2025" w:history="1">
        <w:r>
          <w:rPr>
            <w:color w:val="1F3864"/>
            <w:u w:val="single"/>
          </w:rPr>
          <w:t xml:space="preserve">EIA 2025</w:t>
        </w:r>
      </w:hyperlink>
      <w:bookmarkEnd w:id="253"/>
      <w:r>
        <w:t xml:space="preserve">) for the United States, KEPCO for South Korea,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0" w:name="Barroso2018txt"/>
      <w:hyperlink w:anchor="Barroso2018" w:history="1">
        <w:r>
          <w:rPr>
            <w:color w:val="1F3864"/>
            <w:u w:val="single"/>
          </w:rPr>
          <w:t xml:space="preserve">Barroso et al. 2018</w:t>
        </w:r>
      </w:hyperlink>
      <w:bookmarkEnd w:id="220"/>
      <w:r>
        <w:t xml:space="preserve">; </w:t>
      </w:r>
      <w:bookmarkStart w:id="254" w:name="NVIDIA2024txt"/>
      <w:hyperlink w:anchor="NVIDIA2024" w:history="1">
        <w:r>
          <w:rPr>
            <w:color w:val="1F3864"/>
            <w:u w:val="single"/>
          </w:rPr>
          <w:t xml:space="preserve">NVIDIA 2024</w:t>
        </w:r>
      </w:hyperlink>
      <w:bookmarkEnd w:id="254"/>
      <w:r>
        <w:t xml:space="preserve">). Google’s fleet-wide GPU utilization, after years of optimization, runs in the 60–75% range (</w:t>
      </w:r>
      <w:bookmarkStart w:id="243" w:name="Barroso2018txt"/>
      <w:hyperlink w:anchor="Barroso2018" w:history="1">
        <w:r>
          <w:rPr>
            <w:color w:val="1F3864"/>
            <w:u w:val="single"/>
          </w:rPr>
          <w:t xml:space="preserve">Barroso et al. 2018</w:t>
        </w:r>
      </w:hyperlink>
      <w:bookmarkEnd w:id="243"/>
      <w:r>
        <w:t xml:space="preserve">). A new entrant would likely achieve 40–60% utilization in the early years, doubling the effective hardware cost per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our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2" w:name="Deloitte2020txt"/>
      <w:hyperlink w:anchor="Deloitte2020" w:history="1">
        <w:r>
          <w:rPr>
            <w:color w:val="1F3864"/>
            <w:u w:val="single"/>
          </w:rPr>
          <w:t xml:space="preserve">Deloitte (2020)</w:t>
        </w:r>
      </w:hyperlink>
      <w:bookmarkEnd w:id="222"/>
      <w:r>
        <w:t xml:space="preserve"> that a 0.1-second improvement in page load time raises e-commerce conversion rates by 8.4%.</w:t>
      </w:r>
      <w:r>
        <w:rPr>
          <w:rStyle w:val="FootnoteReference"/>
        </w:rPr>
        <w:footnoteReference w:id="14"/>
      </w:r>
      <w:r>
        <w:t xml:space="preserv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The coefficient weights are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constructed as the geometric mean of two normalized scores: governance quality (</w:t>
      </w:r>
      <w:bookmarkStart w:id="224" w:name="WorldBank2024txt"/>
      <w:hyperlink w:anchor="WorldBank2024" w:history="1">
        <w:r>
          <w:rPr>
            <w:color w:val="1F3864"/>
            <w:u w:val="single"/>
          </w:rPr>
          <w:t xml:space="preserve">World Bank</w:t>
        </w:r>
      </w:hyperlink>
      <w:bookmarkEnd w:id="224"/>
      <w:r>
        <w:t xml:space="preserve"> Worldwide Governance Indicators, Rule of Law percentile, rescaled to [0, 1]) and grid reliability (inverse of hours without electricity per firm per year, from the </w:t>
      </w:r>
      <w:bookmarkStart w:id="244" w:name="WorldBank2024txt"/>
      <w:hyperlink w:anchor="WorldBank2024" w:history="1">
        <w:r>
          <w:rPr>
            <w:color w:val="1F3864"/>
            <w:u w:val="single"/>
          </w:rPr>
          <w:t xml:space="preserve">World Bank</w:t>
        </w:r>
      </w:hyperlink>
      <w:bookmarkEnd w:id="244"/>
      <w:r>
        <w:t xml:space="preserve"> Enterprise Surveys). Sanctions exposure, previously part of ξ, is now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4" w:name="Eq2txt904"/>
      <w:hyperlink w:anchor="Eq2" w:history="1">
        <w:r>
          <w:rPr>
            <w:color w:val="1F3864"/>
            <w:u w:val="single"/>
          </w:rPr>
          <w:t xml:space="preserve">equation (2)</w:t>
        </w:r>
      </w:hyperlink>
      <w:bookmarkEnd w:id="904"/>
      <w:r>
        <w:t xml:space="preserve">. For OECD countries with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with weak grids and governance fall in between (e.g., Kyrgyzstan: 0.57, Iran: 0.51). Note that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after efficiency adjustment: penalizing low-ξ competitors pushes them down, mechanically raising higher-ξ countries. Moreover, ξ ranges from 0.95 to 1.00 even within the OECD, and the tight cross-country cost spread (≈20%) means small efficiency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w:t>
      </w:r>
    </w:p>
    <w:p>
      <w:pPr>
        <w:spacing w:before="0" w:after="160"/>
        <w:ind w:firstLine="0"/>
        <w:jc w:val="both"/>
      </w:pPr>
      <w:r>
        <w:t xml:space="preserve">For comparison, under observed electricity tariffs and without efficiency adjustment, the cheapest producer is Iran ($1.41/hr), followed by Turkmenistan ($1.42/hr) and Ethiopia ($1.43/hr),as shown in column (1) of </w:t>
      </w:r>
      <w:bookmarkStart w:id="112" w:name="Table3txt"/>
      <w:hyperlink w:anchor="Table3" w:history="1">
        <w:r>
          <w:rPr>
            <w:color w:val="1F3864"/>
            <w:u w:val="single"/>
          </w:rPr>
          <w:t xml:space="preserve">Table 3a</w:t>
        </w:r>
      </w:hyperlink>
      <w:bookmarkEnd w:id="112"/>
      <w:r>
        <w:t xml:space="preserve">. But this ranking is misleading. Iran’s headline cost rests on electricity priced at $0.005/kWh, a figure sustained by one of the world’s largest fossil fuel subsidies. Turkmenistan, Algeria, Qatar, and several other low-cost producers face similar distortions. </w:t>
      </w:r>
    </w:p>
    <w:p>
      <w:pPr>
        <w:spacing w:before="0" w:after="160"/>
        <w:ind w:firstLine="0"/>
        <w:jc w:val="both"/>
      </w:pPr>
      <w:r>
        <w:t xml:space="preserve">To distinguish genuine comparative advantage from fiscal artifact, we replace subsidized tariffs with cost-recovery prices. These are defined as the long-run marginal cost (LRMC) of the dominant generation technology at opportunity-cost fuel prices (</w:t>
      </w:r>
      <w:bookmarkStart w:id="245" w:name="IMF2025txt"/>
      <w:hyperlink w:anchor="IMF2025" w:history="1">
        <w:r>
          <w:rPr>
            <w:color w:val="1F3864"/>
            <w:u w:val="single"/>
          </w:rPr>
          <w:t xml:space="preserve">IMF 2025</w:t>
        </w:r>
      </w:hyperlink>
      <w:bookmarkEnd w:id="245"/>
      <w:r>
        <w:t xml:space="preserve">, </w:t>
      </w:r>
      <w:bookmarkStart w:id="225" w:name="Lazard2025txt"/>
      <w:hyperlink w:anchor="Lazard2025" w:history="1">
        <w:r>
          <w:rPr>
            <w:color w:val="1F3864"/>
            <w:u w:val="single"/>
          </w:rPr>
          <w:t xml:space="preserve">Lazard 2025</w:t>
        </w:r>
      </w:hyperlink>
      <w:bookmarkEnd w:id="225"/>
      <w:r>
        <w:t xml:space="preserve">). This adjustment is applied to 13 countries whose retail electricity prices fall below the estimated LRMC.  The resulting cost-recovery ranking—column (2) of </w:t>
      </w:r>
      <w:hyperlink w:anchor="Table3" w:history="1">
        <w:r>
          <w:rPr>
            <w:color w:val="1F3864"/>
            <w:u w:val="single"/>
          </w:rPr>
          <w:t xml:space="preserve">Table 3a</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the export scale, this fiscal arithmetic becomes unsustainable. Iran drops from first to 24th. 42 countries change their trade regimes.</w:t>
      </w:r>
    </w:p>
    <w:p>
      <w:pPr>
        <w:spacing w:before="0" w:after="160"/>
        <w:ind w:firstLine="0"/>
        <w:jc w:val="both"/>
      </w:pPr>
      <w:r>
        <w:t xml:space="preserve">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with weak governance and unreliable grids. Column (3) of </w:t>
      </w:r>
      <w:hyperlink w:anchor="Table3" w:history="1">
        <w:r>
          <w:rPr>
            <w:color w:val="1F3864"/>
            <w:u w:val="single"/>
          </w:rPr>
          <w:t xml:space="preserve">Table 3a</w:t>
        </w:r>
      </w:hyperlink>
      <w:r>
        <w:t xml:space="preserve"> reports the preferred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Norway ($1.62/hr), Canada ($1.62/hr), Finland ($1.62/hr), Sweden ($1.63/hr), and Iceland ($1.64/hr). </w:t>
      </w:r>
      <w:r>
        <w:t>The Δ column records the rank change from raw tariffs to the preferred specification: Iran drops 80 places</w:t>
      </w:r>
      <w:r>
        <w:t>, Kyrgyzstan drops 70</w:t>
      </w:r>
      <w:r>
        <w:t xml:space="preserve">, while Switzerland rises 63 places, </w:t>
      </w:r>
      <w:r>
        <w:t>and Singapore rises 62</w:t>
      </w:r>
      <w:r>
        <w:t xml:space="preserve">. Nine of the ten cheapest countries under the pure engineering cost ranking fall out of the top ten after efficiency adjustment, replaced by countries with stronger institutions and more reliable grids.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p>
    <w:p>
      <w:pPr>
        <w:spacing w:before="0" w:after="160"/>
        <w:ind w:firstLine="0"/>
        <w:jc w:val="both"/>
      </w:pPr>
      <w:r>
        <w:t xml:space="preserve">The efficiency-adjusted ranking captures governance quality and grid stability, while the bilateral sovereignty premium captures sanctions, geopolitical distance, and regulatory incompatibility.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fully captured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GPU export controls (Section 6.1) and water scarcity in Iran, Turkmenistan, Egypt, and Saudi Arabia further constrain several low-cost producers.</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hyperlink w:anchor="Table3b" w:history="1">
        <w:r>
          <w:rPr>
            <w:color w:val="1F3864"/>
            <w:u w:val="single"/>
          </w:rPr>
          <w:t xml:space="preserve">Table 3b</w:t>
        </w:r>
      </w:hyperlink>
      <w:r>
        <w:t xml:space="preserve"> reports the bilateral specification. The frontier price is </w:t>
      </w:r>
      <m:oMath>
        <m:sSup>
          <m:sSupPr/>
          <m:e>
            <m:r>
              <m:rPr>
                <m:sty m:val="i"/>
              </m:rPr>
              <w:rPr>
                <w:rFonts w:ascii="Cambria Math" w:hAnsi="Cambria Math"/>
              </w:rPr>
              <m:t xml:space="preserve">p</m:t>
            </m:r>
          </m:e>
          <m:sup>
            <m:r>
              <m:rPr>
                <m:sty m:val="i"/>
              </m:rPr>
              <w:rPr>
                <w:rFonts w:ascii="Cambria Math" w:hAnsi="Cambria Math"/>
              </w:rPr>
              <m:t xml:space="preserve">*</m:t>
            </m:r>
          </m:sup>
        </m:sSup>
        <m:r>
          <m:rPr>
            <m:sty m:val="p"/>
          </m:rPr>
          <w:rPr>
            <w:rFonts w:ascii="Cambria Math" w:hAnsi="Cambria Math"/>
          </w:rPr>
          <m:t xml:space="preserve"> = $1.49</m:t>
        </m:r>
      </m:oMath>
      <w:r>
        <w:t xml:space="preserve">/hr. The country-specific switching threshold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from Proposition 3 varies widely: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Column (5) of </w:t>
      </w:r>
      <w:hyperlink w:anchor="Table3b" w:history="1">
        <w:r>
          <w:rPr>
            <w:color w:val="1F3864"/>
            <w:u w:val="single"/>
          </w:rPr>
          <w:t xml:space="preserve">Table 3b</w:t>
        </w:r>
      </w:hyperlink>
      <w:r>
        <w:t xml:space="preserve"> introduces demand tiering, segmenting each country’s compute demand into three tiers: sovereign workloads (10% of demand, domestic only), regulated workloads (20%, higher regulatory compatibility weight), and commercial workloads (70%, geopolitical alignment only). Tiering has a modest effect on aggregate trade patterns because the sovereign tier is small and most countries already produce domestically under the bilateral specification. The main impact is on inference sourcing: regulated workloads shift toward suppliers with strong data governance frameworks, favoring EU member states and APEC CBPR participants over geographically closer but less regulated alternatives.</w:t>
      </w:r>
      <w:r>
        <w:rPr>
          <w:rStyle w:val="FootnoteReference"/>
        </w:rPr>
        <w:footnoteReference w:id="17"/>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0.35). Under the bilateral sovereignty premium, most training demand is served domestically, and the smaller export market is served by 1 exporter (HHI = 1.00) at $1.58/hr.</w:t>
      </w:r>
    </w:p>
    <w:p>
      <w:pPr>
        <w:spacing w:before="0" w:after="160"/>
        <w:ind w:firstLine="0"/>
        <w:jc w:val="both"/>
      </w:pP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4.7%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6" w:name="ACR2012txt"/>
      <w:hyperlink w:anchor="ACR2012" w:history="1">
        <w:r>
          <w:rPr>
            <w:color w:val="1F3864"/>
            <w:u w:val="single"/>
          </w:rPr>
          <w:t xml:space="preserve">Arkolakis et al. 2012</w:t>
        </w:r>
      </w:hyperlink>
      <w:bookmarkEnd w:id="246"/>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the resulting tension as the central policy choice for developing countries: whether to build domestic compute capacity or secure affordable access to international cloud services—a trade-off the present model formalizes through the bilateral sovereignty premium and capacity constraints.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($1.69/hr). For Germany, inference is sourced from Norway ($1.66/hr), for the United Kingdom from Finland ($1.67/hr), and for France from Finland ($1.67/hr). For China, the cheapest source of inference is Finland ($1.92/hr), a neighboring country with hydropower-based electricity. These patterns illustrate the model’s core prediction that inference organizes around latency-bounded regional hubs, and each major market has a distinct optimal supplier determined by geography. With the bilateral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installed generation capacity is approximately 3,800 MW (</w:t>
      </w:r>
      <w:bookmarkStart w:id="228" w:name="ABD2020txt"/>
      <w:hyperlink w:anchor="ABD2020" w:history="1">
        <w:r>
          <w:rPr>
            <w:color w:val="1F3864"/>
            <w:u w:val="single"/>
          </w:rPr>
          <w:t xml:space="preserve">ABD 2020</w:t>
        </w:r>
      </w:hyperlink>
      <w:bookmarkEnd w:id="228"/>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8"/>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9" w:name="Calcaterra2024txt"/>
      <w:hyperlink w:anchor="Calcaterra2024" w:history="1">
        <w:r>
          <w:rPr>
            <w:color w:val="1F3864"/>
            <w:u w:val="single"/>
          </w:rPr>
          <w:t xml:space="preserve">Calcaterra et al. 2024</w:t>
        </w:r>
      </w:hyperlink>
      <w:bookmarkEnd w:id="229"/>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efficiency adjustment: the same institutional weaknesses that lower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spacing w:before="0" w:after="160"/>
        <w:ind w:firstLine="0"/>
        <w:jc w:val="both"/>
      </w:pPr>
      <w:r>
        <w:rPr>
          <w:rFonts w:ascii="Times New Roman" w:hAnsi="Times New Roman"/>
          <w:b w:val="0"/>
          <w:i/>
          <w:sz w:val="24"/>
        </w:rPr>
        <w:t xml:space="preserve">Uniform sovereignty premium. </w:t>
      </w:r>
      <w:r>
        <w:t xml:space="preserve">As a robustness check, column (6) of </w:t>
      </w:r>
      <w:hyperlink w:anchor="Table3b" w:history="1">
        <w:r>
          <w:rPr>
            <w:color w:val="1F3864"/>
            <w:u w:val="single"/>
          </w:rPr>
          <w:t xml:space="preserve">Table 3b</w:t>
        </w:r>
      </w:hyperlink>
      <w:r>
        <w:t xml:space="preserve"> reports results under a uniform sovereignty premium </w:t>
      </w:r>
      <m:oMath>
        <m:r>
          <m:rPr>
            <m:sty m:val="i"/>
          </m:rPr>
          <w:rPr>
            <w:rFonts w:ascii="Cambria Math" w:hAnsi="Cambria Math"/>
          </w:rPr>
          <m:t xml:space="preserve">λ</m:t>
        </m:r>
        <m:r>
          <m:rPr>
            <m:sty m:val="p"/>
          </m:rPr>
          <w:rPr>
            <w:rFonts w:ascii="Cambria Math" w:hAnsi="Cambria Math"/>
          </w:rPr>
          <m:t xml:space="preserve"> = 10%</m:t>
        </m:r>
      </m:oMath>
      <w:r>
        <w:t>, the specification used in earlier versions of the model. The uniform premium produces broadly similar regime assignments: most countries produce domestically under either specification. The main difference is that the bilateral premium excludes sanctioned countries from serving any demand center, while the uniform premium treats all country pairs identically. The bilateral specification is preferred because it captures the observed heterogeneity in sovereignty preferences across country pairs.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0" w:name="Krugman1991txt"/>
      <w:hyperlink w:anchor="Krugman1991" w:history="1">
        <w:r>
          <w:rPr>
            <w:color w:val="1F3864"/>
            <w:u w:val="single"/>
          </w:rPr>
          <w:t xml:space="preserve">Krugman 1991</w:t>
        </w:r>
      </w:hyperlink>
      <w:bookmarkEnd w:id="230"/>
      <w:r>
        <w:t xml:space="preserve">). The concentration of data centers in locations such as Northern Virginia reflects these centripetal forces.</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4.7% of average compute spending, comparable in magnitude to the 0.2–10% welfare losses from trade barriers estimated for goods trade (</w:t>
      </w:r>
      <w:bookmarkStart w:id="247" w:name="EatonKortum2002txt"/>
      <w:hyperlink w:anchor="EatonKortum2002" w:history="1">
        <w:r>
          <w:rPr>
            <w:color w:val="1F3864"/>
            <w:u w:val="single"/>
          </w:rPr>
          <w:t xml:space="preserve">Eaton and Kortum 2002</w:t>
        </w:r>
      </w:hyperlink>
      <w:bookmarkEnd w:id="247"/>
      <w:r>
        <w:t xml:space="preserve">, </w:t>
      </w:r>
      <w:bookmarkStart w:id="255" w:name="ACR2012txt"/>
      <w:hyperlink w:anchor="ACR2012" w:history="1">
        <w:r>
          <w:rPr>
            <w:color w:val="1F3864"/>
            <w:u w:val="single"/>
          </w:rPr>
          <w:t xml:space="preserve">Arkolakis et al. 2012</w:t>
        </w:r>
      </w:hyperlink>
      <w:bookmarkEnd w:id="255"/>
      <w:r>
        <w:t xml:space="preserve">). The model generates a country taxonomy (full importers, training exporters, inference hubs, and hybrid regimes) that maps onto observed investment patterns. This geographic structure is consistent with </w:t>
      </w:r>
      <w:bookmarkStart w:id="231" w:name="Lehdonvirta2024txt"/>
      <w:hyperlink w:anchor="Lehdonvirta2024" w:history="1">
        <w:r>
          <w:rPr>
            <w:color w:val="1F3864"/>
            <w:u w:val="single"/>
          </w:rPr>
          <w:t xml:space="preserve">Lehdonvirta et al. (2024)</w:t>
        </w:r>
      </w:hyperlink>
      <w:bookmarkEnd w:id="231"/>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48" w:name="vanderPloeg2011txt"/>
      <w:hyperlink w:anchor="vanderPloeg2011" w:history="1">
        <w:r>
          <w:rPr>
            <w:color w:val="1F3864"/>
            <w:u w:val="single"/>
          </w:rPr>
          <w:t xml:space="preserve">van der Ploeg 2011</w:t>
        </w:r>
      </w:hyperlink>
      <w:bookmarkEnd w:id="248"/>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2"/>
    </w:p>
    <w:p>
      <w:pPr>
        <w:spacing w:before="0" w:after="80" w:line="240" w:lineRule="exact"/>
        <w:ind w:hanging="720" w:left="720"/>
        <w:jc w:val="both"/>
      </w:pPr>
      <w:bookmarkStart w:id="523" w:name="IEA2025"/>
      <w:hyperlink w:anchor="IEA2025txt" w:history="1">
        <w:r>
          <w:rPr>
            <w:color w:val="1F3864"/>
            <w:u w:val="single"/>
          </w:rPr>
          <w:t xml:space="preserve">IEA. (2025). </w:t>
        </w:r>
      </w:hyperlink>
      <w:r>
        <w:t>“Energy Demand from AI.” Published online at iea.org.</w:t>
      </w:r>
      <w:bookmarkEnd w:id="523"/>
    </w:p>
    <w:p>
      <w:pPr>
        <w:spacing w:before="0" w:after="80" w:line="240" w:lineRule="exact"/>
        <w:ind w:hanging="720" w:left="720"/>
        <w:jc w:val="both"/>
      </w:pPr>
      <w:bookmarkStart w:id="524"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4"/>
    </w:p>
    <w:p>
      <w:pPr>
        <w:spacing w:before="0" w:after="80" w:line="240" w:lineRule="exact"/>
        <w:ind w:hanging="720" w:left="720"/>
        <w:jc w:val="both"/>
      </w:pPr>
      <w:bookmarkStart w:id="52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5"/>
    </w:p>
    <w:p>
      <w:pPr>
        <w:spacing w:before="0" w:after="80" w:line="240" w:lineRule="exact"/>
        <w:ind w:hanging="720" w:left="720"/>
        <w:jc w:val="both"/>
      </w:pPr>
      <w:bookmarkStart w:id="52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6"/>
    </w:p>
    <w:p>
      <w:pPr>
        <w:spacing w:before="0" w:after="80" w:line="240" w:lineRule="exact"/>
        <w:ind w:hanging="720" w:left="720"/>
        <w:jc w:val="both"/>
      </w:pPr>
      <w:bookmarkStart w:id="52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7"/>
    </w:p>
    <w:p>
      <w:pPr>
        <w:spacing w:before="0" w:after="80" w:line="240" w:lineRule="exact"/>
        <w:ind w:hanging="720" w:left="720"/>
        <w:jc w:val="both"/>
      </w:pPr>
      <w:bookmarkStart w:id="52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8"/>
    </w:p>
    <w:p>
      <w:pPr>
        <w:spacing w:before="0" w:after="80" w:line="240" w:lineRule="exact"/>
        <w:ind w:hanging="720" w:left="720"/>
        <w:jc w:val="both"/>
      </w:pPr>
      <w:bookmarkStart w:id="52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9"/>
    </w:p>
    <w:p>
      <w:pPr>
        <w:spacing w:before="0" w:after="80" w:line="240" w:lineRule="exact"/>
        <w:ind w:hanging="720" w:left="720"/>
        <w:jc w:val="both"/>
      </w:pPr>
      <w:bookmarkStart w:id="53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0"/>
    </w:p>
    <w:p>
      <w:pPr>
        <w:spacing w:before="0" w:after="80" w:line="240" w:lineRule="exact"/>
        <w:ind w:hanging="720" w:left="720"/>
        <w:jc w:val="both"/>
      </w:pPr>
      <w:bookmarkStart w:id="531" w:name="NVIDIA2024"/>
      <w:hyperlink w:anchor="NVIDIA2024txt" w:history="1">
        <w:r>
          <w:rPr>
            <w:color w:val="1F3864"/>
            <w:u w:val="single"/>
          </w:rPr>
          <w:t xml:space="preserve">NVIDIA. </w:t>
        </w:r>
      </w:hyperlink>
      <w:r>
        <w:t xml:space="preserve">(2024). </w:t>
      </w:r>
      <w:r>
        <w:rPr>
          <w:i/>
        </w:rPr>
        <w:t>NVIDIA H100 Tensor Core GPU Datasheet</w:t>
      </w:r>
      <w:r>
        <w:t>. nvidia.com.</w:t>
      </w:r>
      <w:bookmarkEnd w:id="531"/>
    </w:p>
    <w:p>
      <w:pPr>
        <w:spacing w:before="0" w:after="80" w:line="240" w:lineRule="exact"/>
        <w:ind w:hanging="720" w:left="720"/>
        <w:jc w:val="both"/>
      </w:pPr>
      <w:bookmarkStart w:id="53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2"/>
    </w:p>
    <w:p>
      <w:pPr>
        <w:spacing w:before="0" w:after="80" w:line="240" w:lineRule="exact"/>
        <w:ind w:hanging="720" w:left="720"/>
        <w:jc w:val="both"/>
      </w:pPr>
      <w:bookmarkStart w:id="53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3"/>
    </w:p>
    <w:p>
      <w:pPr>
        <w:spacing w:before="0" w:after="80" w:line="240" w:lineRule="exact"/>
        <w:ind w:hanging="720" w:left="720"/>
        <w:jc w:val="both"/>
      </w:pPr>
      <w:bookmarkStart w:id="534" w:name="Sastry2024"/>
      <w:hyperlink w:anchor="Sastry2024txt" w:history="1">
        <w:r>
          <w:rPr>
            <w:color w:val="1F3864"/>
            <w:u w:val="single"/>
          </w:rPr>
          <w:t xml:space="preserve">Sastry, G., L. Heim, et al. (2024). </w:t>
        </w:r>
      </w:hyperlink>
      <w:r>
        <w:t>“Computing Power and the Governance of Artificial Intelligence.” arXiv:2402.08797.</w:t>
      </w:r>
      <w:bookmarkEnd w:id="534"/>
    </w:p>
    <w:p>
      <w:pPr>
        <w:spacing w:before="0" w:after="80" w:line="240" w:lineRule="exact"/>
        <w:ind w:hanging="720" w:left="720"/>
        <w:jc w:val="both"/>
      </w:pPr>
      <w:bookmarkStart w:id="535"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5"/>
    </w:p>
    <w:p>
      <w:pPr>
        <w:spacing w:before="0" w:after="80" w:line="240" w:lineRule="exact"/>
        <w:ind w:hanging="720" w:left="720"/>
        <w:jc w:val="both"/>
      </w:pPr>
      <w:bookmarkStart w:id="53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6"/>
    </w:p>
    <w:p>
      <w:pPr>
        <w:spacing w:before="0" w:after="80" w:line="240" w:lineRule="exact"/>
        <w:ind w:hanging="720" w:left="720"/>
        <w:jc w:val="both"/>
      </w:pPr>
      <w:bookmarkStart w:id="537" w:name="TurnerLee2025"/>
      <w:hyperlink w:anchor="TurnerLee2025txt" w:history="1">
        <w:r>
          <w:rPr>
            <w:color w:val="1F3864"/>
            <w:u w:val="single"/>
          </w:rPr>
          <w:t xml:space="preserve">Turner Lee, N., and D. West. (2025). </w:t>
        </w:r>
      </w:hyperlink>
      <w:r>
        <w:t>“The Future of Data Centers.” Brookings Institution, November 2025.</w:t>
      </w:r>
      <w:bookmarkEnd w:id="537"/>
    </w:p>
    <w:p>
      <w:pPr>
        <w:spacing w:before="0" w:after="80" w:line="240" w:lineRule="exact"/>
        <w:ind w:hanging="720" w:left="720"/>
        <w:jc w:val="both"/>
      </w:pPr>
      <w:bookmarkStart w:id="538" w:name="DOJFTC2010"/>
      <w:r>
        <w:rPr>
          <w:color w:val="1F3864"/>
          <w:u w:val="single"/>
        </w:rPr>
        <w:t xml:space="preserve">U.S. Department of Justice and Federal Trade Commission. </w:t>
      </w:r>
      <w:r>
        <w:t xml:space="preserve">(2010). </w:t>
      </w:r>
      <w:r>
        <w:rPr>
          <w:i/>
        </w:rPr>
        <w:t>Horizontal Merger Guidelines</w:t>
      </w:r>
      <w:r>
        <w:t>. Washington, DC.</w:t>
      </w:r>
      <w:bookmarkEnd w:id="538"/>
    </w:p>
    <w:p>
      <w:pPr>
        <w:spacing w:before="0" w:after="80" w:line="240" w:lineRule="exact"/>
        <w:ind w:hanging="720" w:left="720"/>
        <w:jc w:val="both"/>
      </w:pPr>
      <w:bookmarkStart w:id="539" w:name="UNCTAD2025"/>
      <w:r>
        <w:rPr>
          <w:color w:val="1F3864"/>
          <w:u w:val="single"/>
        </w:rPr>
        <w:t xml:space="preserve">UNCTAD. </w:t>
      </w:r>
      <w:r>
        <w:t xml:space="preserve">(2025). </w:t>
      </w:r>
      <w:r>
        <w:rPr>
          <w:i/>
        </w:rPr>
        <w:t>Technology and Innovation Report 2025</w:t>
      </w:r>
      <w:r>
        <w:t>. Geneva: United Nations.</w:t>
      </w:r>
      <w:bookmarkEnd w:id="539"/>
    </w:p>
    <w:p>
      <w:pPr>
        <w:spacing w:before="0" w:after="80" w:line="240" w:lineRule="exact"/>
        <w:ind w:hanging="720" w:left="720"/>
        <w:jc w:val="both"/>
      </w:pPr>
      <w:bookmarkStart w:id="540"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0"/>
    </w:p>
    <w:p>
      <w:pPr>
        <w:spacing w:before="0" w:after="80" w:line="240" w:lineRule="exact"/>
        <w:ind w:hanging="720" w:left="720"/>
        <w:jc w:val="both"/>
      </w:pPr>
      <w:bookmarkStart w:id="541"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1"/>
    </w:p>
    <w:p>
      <w:pPr>
        <w:spacing w:before="0" w:after="80" w:line="240" w:lineRule="exact"/>
        <w:ind w:hanging="720" w:left="720"/>
        <w:jc w:val="both"/>
      </w:pPr>
      <w:bookmarkStart w:id="54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2"/>
    </w:p>
    <w:p>
      <w:pPr>
        <w:spacing w:before="0" w:after="80" w:line="240" w:lineRule="exact"/>
        <w:ind w:hanging="720" w:left="720"/>
        <w:jc w:val="both"/>
      </w:pPr>
      <w:bookmarkStart w:id="54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3"/>
    </w:p>
    <w:p>
      <w:pPr>
        <w:spacing w:before="0" w:after="80" w:line="240" w:lineRule="exact"/>
        <w:ind w:hanging="720" w:left="720"/>
        <w:jc w:val="both"/>
      </w:pPr>
      <w:bookmarkStart w:id="544"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4"/>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 ≈ 1 shift off the diagonal because penalizing low-ξ competitors pushes them down, mechanically raising higher-ξ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 (baseline)</w:t>
            </w:r>
          </w:p>
        </w:tc>
        <w:tc>
          <w:tcPr>
            <w:tcW w:type="dxa" w:w="864"/>
          </w:tcPr>
          <w:p>
            <w:pPr>
              <w:jc w:val="center"/>
              <w:spacing w:before="10" w:after="10"/>
            </w:pPr>
            <w:r/>
            <w:r>
              <w:rPr>
                <w:rFonts w:ascii="Times New Roman" w:hAnsi="Times New Roman"/>
                <w:sz w:val="20"/>
              </w:rPr>
              <w:t>λ</w:t>
            </w:r>
          </w:p>
        </w:tc>
        <w:tc>
          <w:tcPr>
            <w:tcW w:type="dxa" w:w="2160"/>
          </w:tcPr>
          <w:p>
            <w:pPr>
              <w:jc w:val="center"/>
              <w:spacing w:before="10" w:after="10"/>
            </w:pPr>
            <w:r/>
            <w:r>
              <w:rPr>
                <w:rFonts w:ascii="Times New Roman" w:hAnsi="Times New Roman"/>
                <w:sz w:val="20"/>
              </w:rPr>
              <w:t>0.10</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combines governance quality and grid reliability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+54</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41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45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b/>
                <w:sz w:val="16"/>
              </w:rPr>
              <w:t>52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sz w:val="16"/>
              </w:rPr>
              <w:t>65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b/>
                <w:sz w:val="16"/>
              </w:rPr>
              <w:t>65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sz w:val="16"/>
              </w:rPr>
              <w:t>74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b/>
                <w:sz w:val="16"/>
              </w:rPr>
              <w:t>74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b/>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-82</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spacing w:before="0" w:after="60"/>
        <w:ind w:firstLine="0"/>
        <w:jc w:val="both"/>
      </w:pPr>
      <w:bookmarkStart w:id="114" w:name="Table3b"/>
      <w:r>
        <w:rPr>
          <w:b/>
          <w:sz w:val="20"/>
        </w:rPr>
        <w:t>Table 3b</w:t>
      </w:r>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tcBorders>
            <w:tcW w:w="2200" w:type="dxa"/>
          </w:tcPr>
          <w:p>
            <w:pPr>
              <w:jc w:val="center"/>
              <w:spacing w:before="10" w:after="10"/>
            </w:pPr>
            <w:r/>
            <w:r>
              <w:rPr>
                <w:rFonts w:ascii="Times New Roman" w:hAnsi="Times New Roman"/>
                <w:sz w:val="16"/>
              </w:rPr>
            </w:r>
          </w:p>
        </w:tc>
        <w:tc>
          <w:tcPr>
            <w:tcBorders>
              <w:top w:val="single" w:sz="4" w:space="0" w:color="auto"/>
            </w:tcBorders>
            <w:tcW w:w="1200" w:type="dxa"/>
          </w:tcPr>
          <w:p>
            <w:pPr>
              <w:jc w:val="center"/>
              <w:spacing w:before="10" w:after="10"/>
            </w:pPr>
            <w:r/>
            <w:r>
              <w:rPr>
                <w:rFonts w:ascii="Times New Roman" w:hAnsi="Times New Roman"/>
                <w:sz w:val="16"/>
              </w:rPr>
            </w:r>
          </w:p>
        </w:tc>
        <w:tc>
          <w:tcPr>
            <w:tcBorders>
              <w:top w:val="single" w:sz="4" w:space="0" w:color="auto"/>
            </w:tcBorders>
            <w:tcW w:w="900" w:type="dxa"/>
          </w:tcPr>
          <w:p>
            <w:pPr>
              <w:jc w:val="center"/>
              <w:spacing w:before="10" w:after="10"/>
            </w:pPr>
            <w:r/>
            <w:r>
              <w:rPr>
                <w:rFonts w:ascii="Times New Roman" w:hAnsi="Times New Roman"/>
                <w:b/>
                <w:sz w:val="16"/>
              </w:rPr>
              <w:t>(4) Bilateral</w:t>
            </w:r>
          </w:p>
        </w:tc>
        <w:tc>
          <w:tcPr>
            <w:tcBorders>
              <w:top w:val="single" w:sz="4" w:space="0" w:color="auto"/>
            </w:tcBorders>
            <w:tcW w:w="900" w:type="dxa"/>
          </w:tcPr>
          <w:p>
            <w:pPr>
              <w:jc w:val="center"/>
              <w:spacing w:before="10" w:after="10"/>
            </w:pPr>
            <w:r/>
            <w:r>
              <w:rPr>
                <w:rFonts w:ascii="Times New Roman" w:hAnsi="Times New Roman"/>
                <w:b/>
                <w:sz w:val="16"/>
              </w:rPr>
              <w:t>(5) Tiered</w:t>
            </w:r>
          </w:p>
        </w:tc>
        <w:tc>
          <w:tcPr>
            <w:tcBorders>
              <w:top w:val="single" w:sz="4" w:space="0" w:color="auto"/>
            </w:tcBorders>
            <w:tcW w:w="9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700" w:type="dxa"/>
          </w:tcPr>
          <w:p>
            <w:pPr>
              <w:jc w:val="center"/>
              <w:spacing w:before="10" w:after="10"/>
            </w:pPr>
            <w:r/>
            <w:r>
              <w:rPr>
                <w:rFonts w:ascii="Times New Roman" w:hAnsi="Times New Roman"/>
                <w:sz w:val="16"/>
              </w:rPr>
            </w:r>
          </w:p>
        </w:tc>
      </w:tr>
      <w:tr>
        <w:tc>
          <w:tcPr>
            <w:tcBorders>
              <w:bottom w:val="single" w:sz="4" w:space="0" w:color="auto"/>
            </w:tcBorders>
            <w:tcW w:w="2200" w:type="dxa"/>
          </w:tcPr>
          <w:p>
            <w:pPr>
              <w:jc w:val="left"/>
              <w:spacing w:before="10" w:after="10"/>
            </w:pPr>
            <w:r/>
            <w:r>
              <w:rPr>
                <w:rFonts w:ascii="Times New Roman" w:hAnsi="Times New Roman"/>
                <w:b/>
                <w:sz w:val="16"/>
              </w:rPr>
              <w:t>Country</w:t>
            </w:r>
          </w:p>
        </w:tc>
        <w:tc>
          <w:tcPr>
            <w:tcBorders>
              <w:bottom w:val="single" w:sz="4" w:space="0" w:color="auto"/>
            </w:tcBorders>
            <w:tcW w:w="1200" w:type="dxa"/>
          </w:tcPr>
          <w:p>
            <w:pPr>
              <w:jc w:val="center"/>
              <w:spacing w:before="10" w:after="10"/>
            </w:pPr>
            <w:r/>
            <w:r>
              <w:rPr>
                <w:rFonts w:ascii="Times New Roman" w:hAnsi="Times New Roman"/>
                <w:b/>
                <w:sz w:val="16"/>
              </w:rPr>
              <w:t>cⱼ/ξⱼᵉᶠᶠ</w:t>
            </w:r>
          </w:p>
        </w:tc>
        <w:tc>
          <w:tcPr>
            <w:tcBorders>
              <w:bottom w:val="single" w:sz="4" w:space="0" w:color="auto"/>
            </w:tcBorders>
            <w:tcW w:w="9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700" w:type="dxa"/>
          </w:tcPr>
          <w:p>
            <w:pPr>
              <w:jc w:val="center"/>
              <w:spacing w:before="10" w:after="10"/>
            </w:pPr>
            <w:r/>
            <w:r>
              <w:rPr>
                <w:rFonts w:ascii="Times New Roman" w:hAnsi="Times New Roman"/>
                <w:b/>
                <w:sz w:val="16"/>
              </w:rPr>
              <w:t>Δₛ</w:t>
            </w:r>
          </w:p>
        </w:tc>
      </w:tr>
      <w:tr>
        <w:tc>
          <w:tcPr>
            <w:tcW w:w="2200" w:type="dxa"/>
          </w:tcPr>
          <w:p>
            <w:pPr>
              <w:jc w:val="left"/>
              <w:spacing w:before="10" w:after="10"/>
            </w:pPr>
            <w:r/>
            <w:r>
              <w:rPr>
                <w:rFonts w:ascii="Times New Roman" w:hAnsi="Times New Roman"/>
                <w:sz w:val="16"/>
              </w:rPr>
              <w:t>Canada</w:t>
            </w:r>
          </w:p>
        </w:tc>
        <w:tc>
          <w:tcPr>
            <w:tcW w:w="1200" w:type="dxa"/>
          </w:tcPr>
          <w:p>
            <w:pPr>
              <w:jc w:val="center"/>
              <w:spacing w:before="10" w:after="10"/>
            </w:pPr>
            <w:r/>
            <w:r>
              <w:rPr>
                <w:rFonts w:ascii="Times New Roman" w:hAnsi="Times New Roman"/>
                <w:sz w:val="16"/>
              </w:rPr>
              <w:t>$1.46</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Norway</w:t>
            </w:r>
          </w:p>
        </w:tc>
        <w:tc>
          <w:tcPr>
            <w:tcW w:w="12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Finland</w:t>
            </w:r>
          </w:p>
        </w:tc>
        <w:tc>
          <w:tcPr>
            <w:tcW w:w="12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Sweden</w:t>
            </w:r>
          </w:p>
        </w:tc>
        <w:tc>
          <w:tcPr>
            <w:tcW w:w="12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South Africa</w:t>
            </w:r>
          </w:p>
        </w:tc>
        <w:tc>
          <w:tcPr>
            <w:tcW w:w="12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Australia</w:t>
            </w:r>
          </w:p>
        </w:tc>
        <w:tc>
          <w:tcPr>
            <w:tcW w:w="12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France</w:t>
            </w:r>
          </w:p>
        </w:tc>
        <w:tc>
          <w:tcPr>
            <w:tcW w:w="1200" w:type="dxa"/>
          </w:tcPr>
          <w:p>
            <w:pPr>
              <w:jc w:val="center"/>
              <w:spacing w:before="10" w:after="10"/>
            </w:pPr>
            <w:r/>
            <w:r>
              <w:rPr>
                <w:rFonts w:ascii="Times New Roman" w:hAnsi="Times New Roman"/>
                <w:sz w:val="16"/>
              </w:rPr>
              <w:t>$1.55</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UK</w:t>
            </w:r>
          </w:p>
        </w:tc>
        <w:tc>
          <w:tcPr>
            <w:tcW w:w="1200" w:type="dxa"/>
          </w:tcPr>
          <w:p>
            <w:pPr>
              <w:jc w:val="center"/>
              <w:spacing w:before="10" w:after="10"/>
            </w:pPr>
            <w:r/>
            <w:r>
              <w:rPr>
                <w:rFonts w:ascii="Times New Roman" w:hAnsi="Times New Roman"/>
                <w:sz w:val="16"/>
              </w:rPr>
              <w:t>$1.55</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Germany</w:t>
            </w:r>
          </w:p>
        </w:tc>
        <w:tc>
          <w:tcPr>
            <w:tcW w:w="1200" w:type="dxa"/>
          </w:tcPr>
          <w:p>
            <w:pPr>
              <w:jc w:val="center"/>
              <w:spacing w:before="10" w:after="10"/>
            </w:pPr>
            <w:r/>
            <w:r>
              <w:rPr>
                <w:rFonts w:ascii="Times New Roman" w:hAnsi="Times New Roman"/>
                <w:sz w:val="16"/>
              </w:rPr>
              <w:t>$1.58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USA</w:t>
            </w:r>
          </w:p>
        </w:tc>
        <w:tc>
          <w:tcPr>
            <w:tcW w:w="1200" w:type="dxa"/>
          </w:tcPr>
          <w:p>
            <w:pPr>
              <w:jc w:val="center"/>
              <w:spacing w:before="10" w:after="10"/>
            </w:pPr>
            <w:r/>
            <w:r>
              <w:rPr>
                <w:rFonts w:ascii="Times New Roman" w:hAnsi="Times New Roman"/>
                <w:sz w:val="16"/>
              </w:rPr>
              <w:t>$1.58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Japan</w:t>
            </w:r>
          </w:p>
        </w:tc>
        <w:tc>
          <w:tcPr>
            <w:tcW w:w="1200" w:type="dxa"/>
          </w:tcPr>
          <w:p>
            <w:pPr>
              <w:jc w:val="center"/>
              <w:spacing w:before="10" w:after="10"/>
            </w:pPr>
            <w:r/>
            <w:r>
              <w:rPr>
                <w:rFonts w:ascii="Times New Roman" w:hAnsi="Times New Roman"/>
                <w:sz w:val="16"/>
              </w:rPr>
              <w:t>$1.59</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Qatar</w:t>
            </w:r>
          </w:p>
        </w:tc>
        <w:tc>
          <w:tcPr>
            <w:tcW w:w="1200" w:type="dxa"/>
          </w:tcPr>
          <w:p>
            <w:pPr>
              <w:jc w:val="center"/>
              <w:spacing w:before="10" w:after="10"/>
            </w:pPr>
            <w:r/>
            <w:r>
              <w:rPr>
                <w:rFonts w:ascii="Times New Roman" w:hAnsi="Times New Roman"/>
                <w:sz w:val="16"/>
              </w:rPr>
              <w:t>$1.73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Saudi Arabia</w:t>
            </w:r>
          </w:p>
        </w:tc>
        <w:tc>
          <w:tcPr>
            <w:tcW w:w="1200" w:type="dxa"/>
          </w:tcPr>
          <w:p>
            <w:pPr>
              <w:jc w:val="center"/>
              <w:spacing w:before="10" w:after="10"/>
            </w:pPr>
            <w:r/>
            <w:r>
              <w:rPr>
                <w:rFonts w:ascii="Times New Roman" w:hAnsi="Times New Roman"/>
                <w:sz w:val="16"/>
              </w:rPr>
              <w:t>$1.80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41</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China</w:t>
            </w:r>
          </w:p>
        </w:tc>
        <w:tc>
          <w:tcPr>
            <w:tcW w:w="1200" w:type="dxa"/>
          </w:tcPr>
          <w:p>
            <w:pPr>
              <w:jc w:val="center"/>
              <w:spacing w:before="10" w:after="10"/>
            </w:pPr>
            <w:r/>
            <w:r>
              <w:rPr>
                <w:rFonts w:ascii="Times New Roman" w:hAnsi="Times New Roman"/>
                <w:sz w:val="16"/>
              </w:rPr>
              <w:t>$1.92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45</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Vietnam</w:t>
            </w:r>
          </w:p>
        </w:tc>
        <w:tc>
          <w:tcPr>
            <w:tcW w:w="1200" w:type="dxa"/>
          </w:tcPr>
          <w:p>
            <w:pPr>
              <w:jc w:val="center"/>
              <w:spacing w:before="10" w:after="10"/>
            </w:pPr>
            <w:r/>
            <w:r>
              <w:rPr>
                <w:rFonts w:ascii="Times New Roman" w:hAnsi="Times New Roman"/>
                <w:sz w:val="16"/>
              </w:rPr>
              <w:t>$2.05</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52</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Argentina</w:t>
            </w:r>
          </w:p>
        </w:tc>
        <w:tc>
          <w:tcPr>
            <w:tcW w:w="1200" w:type="dxa"/>
          </w:tcPr>
          <w:p>
            <w:pPr>
              <w:jc w:val="center"/>
              <w:spacing w:before="10" w:after="10"/>
            </w:pPr>
            <w:r/>
            <w:r>
              <w:rPr>
                <w:rFonts w:ascii="Times New Roman" w:hAnsi="Times New Roman"/>
                <w:sz w:val="16"/>
              </w:rPr>
              <w:t>$2.18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Kosovo</w:t>
            </w:r>
          </w:p>
        </w:tc>
        <w:tc>
          <w:tcPr>
            <w:tcW w:w="1200" w:type="dxa"/>
          </w:tcPr>
          <w:p>
            <w:pPr>
              <w:jc w:val="center"/>
              <w:spacing w:before="10" w:after="10"/>
            </w:pPr>
            <w:r/>
            <w:r>
              <w:rPr>
                <w:rFonts w:ascii="Times New Roman" w:hAnsi="Times New Roman"/>
                <w:sz w:val="16"/>
              </w:rPr>
              <w:t>$2.23</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Ukraine</w:t>
            </w:r>
          </w:p>
        </w:tc>
        <w:tc>
          <w:tcPr>
            <w:tcW w:w="1200" w:type="dxa"/>
          </w:tcPr>
          <w:p>
            <w:pPr>
              <w:jc w:val="center"/>
              <w:spacing w:before="10" w:after="10"/>
            </w:pPr>
            <w:r/>
            <w:r>
              <w:rPr>
                <w:rFonts w:ascii="Times New Roman" w:hAnsi="Times New Roman"/>
                <w:sz w:val="16"/>
              </w:rPr>
              <w:t>$2.27</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65</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Egypt</w:t>
            </w:r>
          </w:p>
        </w:tc>
        <w:tc>
          <w:tcPr>
            <w:tcW w:w="1200" w:type="dxa"/>
          </w:tcPr>
          <w:p>
            <w:pPr>
              <w:jc w:val="center"/>
              <w:spacing w:before="10" w:after="10"/>
            </w:pPr>
            <w:r/>
            <w:r>
              <w:rPr>
                <w:rFonts w:ascii="Times New Roman" w:hAnsi="Times New Roman"/>
                <w:sz w:val="16"/>
              </w:rPr>
              <w:t>$2.48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Kyrgyzstan</w:t>
            </w:r>
          </w:p>
        </w:tc>
        <w:tc>
          <w:tcPr>
            <w:tcW w:w="1200" w:type="dxa"/>
          </w:tcPr>
          <w:p>
            <w:pPr>
              <w:jc w:val="center"/>
              <w:spacing w:before="10" w:after="10"/>
            </w:pPr>
            <w:r/>
            <w:r>
              <w:rPr>
                <w:rFonts w:ascii="Times New Roman" w:hAnsi="Times New Roman"/>
                <w:sz w:val="16"/>
              </w:rPr>
              <w:t>$2.50</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74</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Russia</w:t>
            </w:r>
          </w:p>
        </w:tc>
        <w:tc>
          <w:tcPr>
            <w:tcW w:w="1200" w:type="dxa"/>
          </w:tcPr>
          <w:p>
            <w:pPr>
              <w:jc w:val="center"/>
              <w:spacing w:before="10" w:after="10"/>
            </w:pPr>
            <w:r/>
            <w:r>
              <w:rPr>
                <w:rFonts w:ascii="Times New Roman" w:hAnsi="Times New Roman"/>
                <w:sz w:val="16"/>
              </w:rPr>
              <w:t>$2.51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75</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Tajikistan</w:t>
            </w:r>
          </w:p>
        </w:tc>
        <w:tc>
          <w:tcPr>
            <w:tcW w:w="1200" w:type="dxa"/>
          </w:tcPr>
          <w:p>
            <w:pPr>
              <w:jc w:val="center"/>
              <w:spacing w:before="10" w:after="10"/>
            </w:pPr>
            <w:r/>
            <w:r>
              <w:rPr>
                <w:rFonts w:ascii="Times New Roman" w:hAnsi="Times New Roman"/>
                <w:sz w:val="16"/>
              </w:rPr>
              <w:t>$2.84</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Iran</w:t>
            </w:r>
          </w:p>
        </w:tc>
        <w:tc>
          <w:tcPr>
            <w:tcW w:w="1200" w:type="dxa"/>
          </w:tcPr>
          <w:p>
            <w:pPr>
              <w:jc w:val="center"/>
              <w:spacing w:before="10" w:after="10"/>
            </w:pPr>
            <w:r/>
            <w:r>
              <w:rPr>
                <w:rFonts w:ascii="Times New Roman" w:hAnsi="Times New Roman"/>
                <w:sz w:val="16"/>
              </w:rPr>
              <w:t>$2.89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Ethiopia</w:t>
            </w:r>
          </w:p>
        </w:tc>
        <w:tc>
          <w:tcPr>
            <w:tcW w:w="1200" w:type="dxa"/>
          </w:tcPr>
          <w:p>
            <w:pPr>
              <w:jc w:val="center"/>
              <w:spacing w:before="10" w:after="10"/>
            </w:pPr>
            <w:r/>
            <w:r>
              <w:rPr>
                <w:rFonts w:ascii="Times New Roman" w:hAnsi="Times New Roman"/>
                <w:sz w:val="16"/>
              </w:rPr>
              <w:t>$3.07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700" w:type="dxa"/>
          </w:tcPr>
          <w:p>
            <w:pPr>
              <w:jc w:val="center"/>
              <w:spacing w:before="10" w:after="10"/>
            </w:pPr>
            <w:r/>
            <w:r>
              <w:rPr>
                <w:rFonts w:ascii="Times New Roman" w:hAnsi="Times New Roman"/>
                <w:sz w:val="16"/>
              </w:rPr>
              <w:t>0</w:t>
            </w:r>
          </w:p>
        </w:tc>
      </w:tr>
      <w:tr>
        <w:tc>
          <w:tcPr>
            <w:tcBorders>
              <w:bottom w:val="double" w:sz="4" w:space="0" w:color="auto"/>
            </w:tcBorders>
            <w:tcW w:w="2200" w:type="dxa"/>
          </w:tcPr>
          <w:p>
            <w:pPr>
              <w:jc w:val="left"/>
              <w:spacing w:before="10" w:after="10"/>
            </w:pPr>
            <w:r/>
            <w:r>
              <w:rPr>
                <w:rFonts w:ascii="Times New Roman" w:hAnsi="Times New Roman"/>
                <w:sz w:val="16"/>
              </w:rPr>
              <w:t>Turkmenistan</w:t>
            </w:r>
          </w:p>
        </w:tc>
        <w:tc>
          <w:tcPr>
            <w:tcBorders>
              <w:bottom w:val="double" w:sz="4" w:space="0" w:color="auto"/>
            </w:tcBorders>
            <w:tcW w:w="1200" w:type="dxa"/>
          </w:tcPr>
          <w:p>
            <w:pPr>
              <w:jc w:val="center"/>
              <w:spacing w:before="10" w:after="10"/>
            </w:pPr>
            <w:r/>
            <w:r>
              <w:rPr>
                <w:rFonts w:ascii="Times New Roman" w:hAnsi="Times New Roman"/>
                <w:sz w:val="16"/>
              </w:rPr>
              <w:t>$3.10</w:t>
            </w:r>
          </w:p>
        </w:tc>
        <w:tc>
          <w:tcPr>
            <w:tcBorders>
              <w:bottom w:val="double" w:sz="4" w:space="0" w:color="auto"/>
            </w:tcBorders>
            <w:tcW w:w="9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84</w:t>
            </w:r>
          </w:p>
        </w:tc>
        <w:tc>
          <w:tcPr>
            <w:tcBorders>
              <w:bottom w:val="double" w:sz="4" w:space="0" w:color="auto"/>
            </w:tcBorders>
            <w:tcW w:w="700" w:type="dxa"/>
          </w:tcPr>
          <w:p>
            <w:pPr>
              <w:jc w:val="center"/>
              <w:spacing w:before="10" w:after="10"/>
            </w:pPr>
            <w:r/>
            <w:r>
              <w:rPr>
                <w:rFonts w:ascii="Times New Roman" w:hAnsi="Times New Roman"/>
                <w:sz w:val="16"/>
              </w:rPr>
              <w:t>0</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(5) Tiered: bilateral λᵢⱼ with demand segmented into sovereign (10%), regulated (20%), and commercial (70%) tiers. (6) Uniform: uniform λ = 10% premium (robustness check). Rank₆ and Δₛ are rank and rank change under specification (6).</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0.98</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0.75</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0.71</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0.67</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0.74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0.47</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0.98</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0.90</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combining governance quality and grid reliability (geometric mean;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-71</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-82</w:t>
            </w:r>
          </w:p>
        </w:tc>
      </w:tr>
      <w:tr>
        <w:tc>
          <w:tcPr>
            <w:tcBorders>
              <w:bottom w:val="double" w:sz="4" w:space="0" w:color="auto"/>
            </w:tcBorders>
            <w:tcW w:w="1800" w:type="dxa"/>
          </w:tcPr>
          <w:p>
            <w:pPr>
              <w:jc w:val="left"/>
              <w:spacing w:before="5" w:after="5"/>
            </w:pPr>
            <w:r/>
            <w:r>
              <w:rPr>
                <w:rFonts w:ascii="Times New Roman" w:hAnsi="Times New Roman"/>
                <w:sz w:val="14"/>
              </w:rPr>
              <w:t>Nigeria</w:t>
            </w:r>
          </w:p>
        </w:tc>
        <w:tc>
          <w:tcPr>
            <w:tcBorders>
              <w:bottom w:val="double" w:sz="4" w:space="0" w:color="auto"/>
            </w:tcBorders>
            <w:tcW w:w="900" w:type="dxa"/>
          </w:tcPr>
          <w:p>
            <w:pPr>
              <w:jc w:val="center"/>
              <w:spacing w:before="5" w:after="5"/>
            </w:pPr>
            <w:r/>
            <w:r>
              <w:rPr>
                <w:rFonts w:ascii="Times New Roman" w:hAnsi="Times New Roman"/>
                <w:sz w:val="14"/>
              </w:rPr>
              <w:t>$1.45</w:t>
            </w:r>
          </w:p>
        </w:tc>
        <w:tc>
          <w:tcPr>
            <w:tcBorders>
              <w:bottom w:val="double" w:sz="4" w:space="0" w:color="auto"/>
            </w:tcBorders>
            <w:tcW w:w="540" w:type="dxa"/>
          </w:tcPr>
          <w:p>
            <w:pPr>
              <w:jc w:val="center"/>
              <w:spacing w:before="5" w:after="5"/>
            </w:pPr>
            <w:r/>
            <w:r>
              <w:rPr>
                <w:rFonts w:ascii="Times New Roman" w:hAnsi="Times New Roman"/>
                <w:sz w:val="14"/>
              </w:rPr>
              <w:t>13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$1.49</w:t>
            </w:r>
          </w:p>
        </w:tc>
        <w:tc>
          <w:tcPr>
            <w:tcBorders>
              <w:bottom w:val="double" w:sz="4" w:space="0" w:color="auto"/>
            </w:tcBorders>
            <w:tcW w:w="540" w:type="dxa"/>
          </w:tcPr>
          <w:p>
            <w:pPr>
              <w:jc w:val="center"/>
              <w:spacing w:before="5" w:after="5"/>
            </w:pPr>
            <w:r/>
            <w:r>
              <w:rPr>
                <w:rFonts w:ascii="Times New Roman" w:hAnsi="Times New Roman"/>
                <w:sz w:val="14"/>
              </w:rPr>
              <w:t>31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-72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18">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