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v32  —  April 10, 2026  22:35</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primitives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0" w:name="KatzEtAl2025txt"/>
      <w:hyperlink w:anchor="KatzEtAl2025" w:history="1">
        <w:r>
          <w:rPr>
            <w:color w:val="1F3864"/>
            <w:u w:val="single"/>
          </w:rPr>
          <w:t xml:space="preserve">Katz et al. 2025</w:t>
        </w:r>
      </w:hyperlink>
      <w:bookmarkEnd w:id="250"/>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1" w:name="ACR2012txt"/>
      <w:hyperlink w:anchor="ACR2012" w:history="1">
        <w:r>
          <w:rPr>
            <w:color w:val="1F3864"/>
            <w:u w:val="single"/>
          </w:rPr>
          <w:t xml:space="preserve">Arkolakis et al. 2012</w:t>
        </w:r>
      </w:hyperlink>
      <w:bookmarkEnd w:id="25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2" w:name="IMF2025txt"/>
      <w:hyperlink w:anchor="IMF2025" w:history="1">
        <w:r>
          <w:rPr>
            <w:color w:val="1F3864"/>
            <w:u w:val="single"/>
          </w:rPr>
          <w:t xml:space="preserve">IMF 2025</w:t>
        </w:r>
      </w:hyperlink>
      <w:bookmarkEnd w:id="252"/>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primitives (gray) determine production cost cⱼ, which together with capacity Kⱼ (purple) sets the world training price pₜ* and regional inference price pₗ*(d). Regime conditions sort countries into five equilibrium regimes (coral) from Proposition 1.</w:t>
      </w:r>
    </w:p>
    <w:p>
      <w:pPr>
        <w:spacing w:before="0" w:after="0"/>
      </w:pPr>
      <w:r>
        <w:br w:type="page"/>
      </w:r>
    </w:p>
    <w:p>
      <w:pPr>
        <w:spacing w:before="120" w:after="80"/>
        <w:ind w:firstLine="0"/>
        <w:jc w:val="both"/>
      </w:pPr>
      <w:bookmarkStart w:id="153" w:name="Figure1b"/>
      <w:r>
        <w:rPr>
          <w:b/>
          <w:sz w:val="20"/>
        </w:rPr>
        <w:t>Figure 1b</w:t>
      </w:r>
      <w:bookmarkEnd w:id="153"/>
      <w:r>
        <w:rPr>
          <w:b/>
          <w:sz w:val="20"/>
        </w:rPr>
        <w:t>. Regime feasibility grid</w:t>
      </w:r>
    </w:p>
    <w:p>
      <w:pPr>
        <w:spacing w:before="80" w:after="80"/>
        <w:jc w:val="center"/>
      </w:pPr>
      <w:r>
        <w:drawing>
          <wp:inline xmlns:a="http://schemas.openxmlformats.org/drawingml/2006/main" xmlns:pic="http://schemas.openxmlformats.org/drawingml/2006/picture">
            <wp:extent cx="5943600" cy="4370294"/>
            <wp:docPr id="2" name="Picture 2"/>
            <wp:cNvGraphicFramePr>
              <a:graphicFrameLocks noChangeAspect="1"/>
            </wp:cNvGraphicFramePr>
            <a:graphic>
              <a:graphicData uri="http://schemas.openxmlformats.org/drawingml/2006/picture">
                <pic:pic>
                  <pic:nvPicPr>
                    <pic:cNvPr id="0" name="figure1b_regime_grid.png"/>
                    <pic:cNvPicPr/>
                  </pic:nvPicPr>
                  <pic:blipFill>
                    <a:blip r:embed="rId11"/>
                    <a:stretch>
                      <a:fillRect/>
                    </a:stretch>
                  </pic:blipFill>
                  <pic:spPr>
                    <a:xfrm>
                      <a:off x="0" y="0"/>
                      <a:ext cx="5943600" cy="4370294"/>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Rows = training status, columns = inference status. Five of nine combinations are feasible (✓); four are ruled out (✗) by Proposition 4 or cost ordering.</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