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June 25, 2026  19:53</w:t>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4" w:name="IEA2025txt"/>
      <w:hyperlink w:anchor="IEA2025" w:history="1">
        <w:r>
          <w:rPr>
            <w:color w:val="1F3864"/>
            <w:u w:val="single"/>
          </w:rPr>
          <w:t xml:space="preserve">IEA 2025</w:t>
        </w:r>
      </w:hyperlink>
      <w:bookmarkEnd w:id="244"/>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5" w:name="Firebird2026txt"/>
      <w:hyperlink w:anchor="Firebird2026" w:history="1">
        <w:r>
          <w:rPr>
            <w:color w:val="1F3864"/>
            <w:u w:val="single"/>
          </w:rPr>
          <w:t xml:space="preserve">Firebird 2026</w:t>
        </w:r>
      </w:hyperlink>
      <w:bookmarkEnd w:id="245"/>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6" w:name="AykutEtAl2026txt"/>
      <w:hyperlink w:anchor="AykutEtAl2026" w:history="1">
        <w:r>
          <w:rPr>
            <w:color w:val="1F3864"/>
            <w:u w:val="single"/>
          </w:rPr>
          <w:t xml:space="preserve">Aykut et al. 2026</w:t>
        </w:r>
      </w:hyperlink>
      <w:bookmarkEnd w:id="246"/>
      <w:r>
        <w:t xml:space="preserve">) and annual cloud computing exports exceeded $9 billion (</w:t>
      </w:r>
      <w:bookmarkStart w:id="261" w:name="WorldBank2025txt"/>
      <w:hyperlink w:anchor="WorldBank2025" w:history="1">
        <w:r>
          <w:rPr>
            <w:color w:val="1F3864"/>
            <w:u w:val="single"/>
          </w:rPr>
          <w:t xml:space="preserve">World Bank 2025</w:t>
        </w:r>
      </w:hyperlink>
      <w:bookmarkEnd w:id="261"/>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We ask why, and what would have to change.</w:t>
      </w:r>
    </w:p>
    <w:p>
      <w:pPr>
        <w:spacing w:before="0" w:after="160" w:line="360" w:lineRule="auto"/>
        <w:ind w:firstLine="0"/>
        <w:jc w:val="both"/>
      </w:pPr>
      <w:r>
        <w:t xml:space="preserve">Recent work examines compute governance and the geography of AI infrastructure (</w:t>
      </w:r>
      <w:bookmarkStart w:id="247" w:name="Sastry2024txt"/>
      <w:hyperlink w:anchor="Sastry2024" w:history="1">
        <w:r>
          <w:rPr>
            <w:color w:val="1F3864"/>
            <w:u w:val="single"/>
          </w:rPr>
          <w:t xml:space="preserve">Sastry et al. 2024</w:t>
        </w:r>
      </w:hyperlink>
      <w:bookmarkEnd w:id="247"/>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8" w:name="Pilz2025txt"/>
      <w:hyperlink w:anchor="Pilz2025" w:history="1">
        <w:r>
          <w:rPr>
            <w:color w:val="1F3864"/>
            <w:u w:val="single"/>
          </w:rPr>
          <w:t xml:space="preserve">Pilz et al. 2025</w:t>
        </w:r>
      </w:hyperlink>
      <w:bookmarkEnd w:id="248"/>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Cheap power and favorable cooling conditions are not sufficient to generate compute exports. Hardware amortization is about 90 percent of unit cost and priced globally, so the cross-country cost spread is only 12–20 percent, narrow enough for institutional frictions to overturn. Several developing countries rank among the cheapest producers under cost-recovery pricing. But once bilateral sovereignty frictions are added, trust deficits with OECD buyers eliminate nearly all of their exports. The cost of capital does the rest. A 10-percentage-point WACC gap between OECD hyperscalers (8 percent) and locally financed developing-country operators (18 percent) adds about $0.29/GPU-hour to unit cost. That is roughly four times the electricity-cost spread across the top twenty producers (</w:t>
      </w:r>
      <w:bookmarkStart w:id="204" w:name="Calcaterra2024txt"/>
      <w:hyperlink w:anchor="Calcaterra2024" w:history="1">
        <w:r>
          <w:rPr>
            <w:color w:val="1F3864"/>
            <w:u w:val="single"/>
          </w:rPr>
          <w:t xml:space="preserve">Calcaterra et al. 2024</w:t>
        </w:r>
      </w:hyperlink>
      <w:bookmarkEnd w:id="204"/>
      <w:r>
        <w:t xml:space="preserve">). Both frictions reflect the same underlying constraint: institutional credibility.</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49" w:name="Korinek2021txt"/>
      <w:hyperlink w:anchor="Korinek2021" w:history="1">
        <w:r>
          <w:rPr>
            <w:color w:val="1F3864"/>
            <w:u w:val="single"/>
          </w:rPr>
          <w:t xml:space="preserve">Korinek and Stiglitz (2021)</w:t>
        </w:r>
      </w:hyperlink>
      <w:bookmarkEnd w:id="249"/>
      <w:r>
        <w:t xml:space="preserve"> warn that developing countries may be left behind in the AI revolution; FLOP exporting offers a route in. The concept relates to </w:t>
      </w:r>
      <w:bookmarkStart w:id="268" w:name="Hausmann2007txt"/>
      <w:hyperlink w:anchor="Hausmann2007" w:history="1">
        <w:r>
          <w:rPr>
            <w:color w:val="1F3864"/>
            <w:u w:val="single"/>
          </w:rPr>
          <w:t xml:space="preserve">Hausmann et al. (2007)</w:t>
        </w:r>
      </w:hyperlink>
      <w:bookmarkEnd w:id="268"/>
      <w:r>
        <w:t xml:space="preserve"> on export composition and growth, and to </w:t>
      </w:r>
      <w:bookmarkStart w:id="262" w:name="Limao2001txt"/>
      <w:hyperlink w:anchor="Limao2001" w:history="1">
        <w:r>
          <w:rPr>
            <w:color w:val="1F3864"/>
            <w:u w:val="single"/>
          </w:rPr>
          <w:t xml:space="preserve">Limão and Venables (2001)</w:t>
        </w:r>
      </w:hyperlink>
      <w:bookmarkEnd w:id="262"/>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so the likely exporters are energy-rich rather than labor-abundant countries. A more important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advantages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3" w:name="Liu2023txt"/>
      <w:hyperlink w:anchor="Liu2023" w:history="1">
        <w:r>
          <w:rPr>
            <w:color w:val="1F3864"/>
            <w:u w:val="single"/>
          </w:rPr>
          <w:t xml:space="preserve">Liu et al. (2023)</w:t>
        </w:r>
      </w:hyperlink>
      <w:bookmarkEnd w:id="263"/>
      <w:r>
        <w:t xml:space="preserve"> study data center placement under renewable energy constraints. In international trade theory, </w:t>
      </w:r>
      <w:bookmarkStart w:id="269" w:name="Brainard1997txt"/>
      <w:hyperlink w:anchor="Brainard1997" w:history="1">
        <w:r>
          <w:rPr>
            <w:color w:val="1F3864"/>
            <w:u w:val="single"/>
          </w:rPr>
          <w:t xml:space="preserve">Brainard (1997)</w:t>
        </w:r>
      </w:hyperlink>
      <w:bookmarkEnd w:id="269"/>
      <w:r>
        <w:t xml:space="preserve"> formalizes the proximity-concentration trade-off between serving a market locally and concentrating production abroad. </w:t>
      </w:r>
      <w:bookmarkStart w:id="250" w:name="HMY2004txt"/>
      <w:hyperlink w:anchor="HMY2004" w:history="1">
        <w:r>
          <w:rPr>
            <w:color w:val="1F3864"/>
            <w:u w:val="single"/>
          </w:rPr>
          <w:t xml:space="preserve">Helpman et al. (2004)</w:t>
        </w:r>
      </w:hyperlink>
      <w:bookmarkEnd w:id="250"/>
      <w:r>
        <w:t xml:space="preserve"> extend this to heterogeneous firms choosing between exporting and FDI.</w:t>
      </w:r>
    </w:p>
    <w:p>
      <w:pPr>
        <w:spacing w:before="0" w:after="160" w:line="360" w:lineRule="auto"/>
        <w:ind w:firstLine="0"/>
        <w:jc w:val="both"/>
      </w:pPr>
      <w:r>
        <w:t xml:space="preserve">On governance, </w:t>
      </w:r>
      <w:bookmarkStart w:id="251" w:name="Sastry2024txt"/>
      <w:hyperlink w:anchor="Sastry2024" w:history="1">
        <w:r>
          <w:rPr>
            <w:color w:val="1F3864"/>
            <w:u w:val="single"/>
          </w:rPr>
          <w:t xml:space="preserve">Sastry et al. (2024)</w:t>
        </w:r>
      </w:hyperlink>
      <w:bookmarkEnd w:id="251"/>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4" w:name="Pilz2025txt"/>
      <w:hyperlink w:anchor="Pilz2025" w:history="1">
        <w:r>
          <w:rPr>
            <w:color w:val="1F3864"/>
            <w:u w:val="single"/>
          </w:rPr>
          <w:t xml:space="preserve">Pilz et al. (2025)</w:t>
        </w:r>
      </w:hyperlink>
      <w:bookmarkEnd w:id="264"/>
      <w:r>
        <w:t xml:space="preserve"> project that data center power demand could reach 327 GW by 2030. The </w:t>
      </w:r>
      <w:bookmarkStart w:id="270" w:name="WorldBank2025txt"/>
      <w:hyperlink w:anchor="WorldBank2025" w:history="1">
        <w:r>
          <w:rPr>
            <w:color w:val="1F3864"/>
            <w:u w:val="single"/>
          </w:rPr>
          <w:t xml:space="preserve">World Bank (2025)</w:t>
        </w:r>
      </w:hyperlink>
      <w:bookmarkEnd w:id="270"/>
      <w:r>
        <w:t xml:space="preserve"> documents the resulting divide (high-income countries hold 77 percent of colocation capacity), but does not offer a formal framework linking costs to trade patterns. </w:t>
      </w:r>
      <w:bookmarkStart w:id="252" w:name="Biglaiser2024txt"/>
      <w:hyperlink w:anchor="Biglaiser2024" w:history="1">
        <w:r>
          <w:rPr>
            <w:color w:val="1F3864"/>
            <w:u w:val="single"/>
          </w:rPr>
          <w:t xml:space="preserve">Biglaiser et al. (2024)</w:t>
        </w:r>
      </w:hyperlink>
      <w:bookmarkEnd w:id="252"/>
      <w:r>
        <w:t xml:space="preserve"> survey cloud market IO, and </w:t>
      </w:r>
      <w:bookmarkStart w:id="265" w:name="Stojkoski2024txt"/>
      <w:hyperlink w:anchor="Stojkoski2024" w:history="1">
        <w:r>
          <w:rPr>
            <w:color w:val="1F3864"/>
            <w:u w:val="single"/>
          </w:rPr>
          <w:t xml:space="preserve">Stojkoski et al. (2024)</w:t>
        </w:r>
      </w:hyperlink>
      <w:bookmarkEnd w:id="265"/>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3" w:name="Ohlin1933txt"/>
      <w:hyperlink w:anchor="Ohlin1933" w:history="1">
        <w:r>
          <w:rPr>
            <w:color w:val="1F3864"/>
            <w:u w:val="single"/>
          </w:rPr>
          <w:t xml:space="preserve">Ohlin 1933</w:t>
        </w:r>
      </w:hyperlink>
      <w:bookmarkEnd w:id="253"/>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4" w:name="Antras2003txt"/>
      <w:hyperlink w:anchor="Antras2003" w:history="1">
        <w:r>
          <w:rPr>
            <w:color w:val="1F3864"/>
            <w:u w:val="single"/>
          </w:rPr>
          <w:t xml:space="preserve">Antràs 2003</w:t>
        </w:r>
      </w:hyperlink>
      <w:bookmarkEnd w:id="254"/>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economies of scale and self-reinforcing colocation dynamics that the competitive framework abstracts away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the prices are obtained from national regulator tariff sheets and secondary sources, including the U.S. Energy Information Administration (</w:t>
      </w:r>
      <w:bookmarkStart w:id="255" w:name="EIA2025txt"/>
      <w:hyperlink w:anchor="EIA2025" w:history="1">
        <w:r>
          <w:rPr>
            <w:color w:val="1F3864"/>
            <w:u w:val="single"/>
          </w:rPr>
          <w:t xml:space="preserve">EIA 2025</w:t>
        </w:r>
      </w:hyperlink>
      <w:bookmarkEnd w:id="255"/>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percent upper bound for regulatory barriers to communication services estimated by </w:t>
      </w:r>
      <w:bookmarkStart w:id="227" w:name="BenzJaax2020txt"/>
      <w:hyperlink w:anchor="BenzJaax2020" w:history="1">
        <w:r>
          <w:rPr>
            <w:color w:val="1F3864"/>
            <w:u w:val="single"/>
          </w:rPr>
          <w:t xml:space="preserve">Benz and Jaax (2020)</w:t>
        </w:r>
      </w:hyperlink>
      <w:bookmarkEnd w:id="227"/>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6" w:name="IMF2025txt"/>
      <w:hyperlink w:anchor="IMF2025" w:history="1">
        <w:r>
          <w:rPr>
            <w:color w:val="1F3864"/>
            <w:u w:val="single"/>
          </w:rPr>
          <w:t xml:space="preserve">IMF 2025</w:t>
        </w:r>
      </w:hyperlink>
      <w:bookmarkEnd w:id="256"/>
      <w:r>
        <w:t xml:space="preserve">, </w:t>
      </w:r>
      <w:bookmarkStart w:id="229" w:name="Lazard2025txt"/>
      <w:hyperlink w:anchor="Lazard2025" w:history="1">
        <w:r>
          <w:rPr>
            <w:color w:val="1F3864"/>
            <w:u w:val="single"/>
          </w:rPr>
          <w:t xml:space="preserve">Lazard 2025</w:t>
        </w:r>
      </w:hyperlink>
      <w:bookmarkEnd w:id="229"/>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6" w:name="AykutEtAl2026txt"/>
      <w:hyperlink w:anchor="AykutEtAl2026" w:history="1">
        <w:r>
          <w:rPr>
            <w:color w:val="1F3864"/>
            <w:u w:val="single"/>
          </w:rPr>
          <w:t xml:space="preserve">Aykut et al. 2026</w:t>
        </w:r>
      </w:hyperlink>
      <w:bookmarkEnd w:id="266"/>
      <w:r>
        <w:t xml:space="preserve">). Most investment flows between geopolitical allies, consistent with the bilateral sovereignty premium, rather than cost alone driving where capacity is built (</w:t>
      </w:r>
      <w:bookmarkStart w:id="257" w:name="StraubEtAl2026txt"/>
      <w:hyperlink w:anchor="StraubEtAl2026" w:history="1">
        <w:r>
          <w:rPr>
            <w:color w:val="1F3864"/>
            <w:u w:val="single"/>
          </w:rPr>
          <w:t xml:space="preserve">Straub et al. 2026</w:t>
        </w:r>
      </w:hyperlink>
      <w:bookmarkEnd w:id="257"/>
      <w:r>
        <w:t xml:space="preserve">). Econometric evidence confirms that electricity costs are not a robust predictor of data center location once market size and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Evidence on policy readiness points in the same direction. Economies with advanced AI and cloud strategies—such as Singapore, Australia, Japan, and South Korea—record estimated economic impacts from AI and cloud investment of 3–4 percent of GDP, compared with less than 1 percent in Indonesia and Viet Nam (</w:t>
      </w:r>
      <w:bookmarkStart w:id="258" w:name="KatzEtAl2025txt"/>
      <w:hyperlink w:anchor="KatzEtAl2025" w:history="1">
        <w:r>
          <w:rPr>
            <w:color w:val="1F3864"/>
            <w:u w:val="single"/>
          </w:rPr>
          <w:t xml:space="preserve">Katz et al. 2025</w:t>
        </w:r>
      </w:hyperlink>
      <w:bookmarkEnd w:id="258"/>
      <w:r>
        <w:t xml:space="preserve">). In the model, institutional quality stands in for the complementary investments that separate these groups: digital skills, regulatory predictability, and grid modernization. Countries that align digital ambitions with energy-sector planning are becoming preferred destinations for hyperscalers. Examples include Malaysia’s National Energy Transition Roadmap, Brazil’s electricity mix of more than 80 percent renewables, and the UAE’s nuclear- and solar-powered AI hubs. These cases fit the model’s emphasis on moderate costs combined with institutional credibility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matters especially for inference. Within Europe, latency adds only 1–3 percent to costs, so even a small domestic preference can shift sourcing away from imports.</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small and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w:t>
      </w:r>
      <w:r>
        <w:t xml:space="preserve">For Germany, France, and the United Kingdom, inference is sourced from Kosovo. </w:t>
      </w:r>
      <w:r>
        <w:t>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59" w:name="ACR2012txt"/>
      <w:hyperlink w:anchor="ACR2012" w:history="1">
        <w:r>
          <w:rPr>
            <w:color w:val="1F3864"/>
            <w:u w:val="single"/>
          </w:rPr>
          <w:t xml:space="preserve">Arkolakis et al. 2012</w:t>
        </w:r>
      </w:hyperlink>
      <w:bookmarkEnd w:id="259"/>
      <w:r>
        <w:t xml:space="preserve">). At current demand levels (approximately 6 × 10¹⁰ GPU-hours at $1.50/hr), this amounts to roughly $1.44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depend on whether the sovereignty premium reflects real security concerns or overly broad regulatory restrictions.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The sensitivity results can be read as comparative statics.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7" w:name="IMF2025txt"/>
      <w:hyperlink w:anchor="IMF2025" w:history="1">
        <w:r>
          <w:rPr>
            <w:color w:val="1F3864"/>
            <w:u w:val="single"/>
          </w:rPr>
          <w:t xml:space="preserve">IMF 2025</w:t>
        </w:r>
      </w:hyperlink>
      <w:bookmarkEnd w:id="267"/>
      <w:r>
        <w:t xml:space="preserve">). </w:t>
      </w:r>
      <w:bookmarkStart w:id="260" w:name="AlvarezEtAl2026txt"/>
      <w:hyperlink w:anchor="AlvarezEtAl2026" w:history="1">
        <w:r>
          <w:rPr>
            <w:color w:val="1F3864"/>
            <w:u w:val="single"/>
          </w:rPr>
          <w:t xml:space="preserve">Alvarez et al. (2026)</w:t>
        </w:r>
      </w:hyperlink>
      <w:bookmarkEnd w:id="260"/>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is likely to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is standard in services trade, but it simplifies how sovereignty frictions operate. Many sovereignty frictions are closer to fixed entry costs than variable markups. Cloud-security certifications, sanctions screening, export-control compliance, and bilateral digital-services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changes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This mechanism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Column (4) is therefore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weaken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would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would distinguish centralized GPU clusters for training from distributed edge nodes for inference.</w:t>
      </w:r>
    </w:p>
    <w:p>
      <w:pPr>
        <w:pStyle w:val="Heading1"/>
      </w:pPr>
      <w:r>
        <w:rPr>
          <w:rFonts w:ascii="Times New Roman" w:hAnsi="Times New Roman"/>
          <w:b/>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production-cost differences.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a developing country pursuing compute exports, the binding policy levers are mostly outside the power tariff. Financing is the first constraint. Hardware dominates the cost stack, and the WACC gap exceeds the energy advantage several times over. Sovereign guarantees, blended finance, multilateral risk insurance, and hyperscaler co-investment can all narrow that gap more than any feasible reduction in electricity tariffs. Regulatory credibility is the second lever. Data-adequacy status, mutual-recognition agreements, and recognized cloud-security certifications lower the trust premium foreign buyers apply, while broad data-localization mandates raise it and can foreclose export opportunities.</w:t>
      </w:r>
    </w:p>
    <w:p>
      <w:pPr>
        <w:spacing w:before="0" w:after="160" w:line="360" w:lineRule="auto"/>
        <w:ind w:firstLine="0"/>
        <w:jc w:val="both"/>
      </w:pPr>
      <w:r>
        <w:t>The final policy question is surplus capture. The Kyrgyzstan facility in Appendix D is NPV-positive, but under outright foreign-hyperscaler ownership, the host country retains little beyond electricity payments and construction-phase jobs. Taxation, equity participation, and royalty terms determine how much operating surplus stays onshore. Cheap energy can place a country in the cost-competitive set,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in which imported equipment converts local energy into an exportable digital service with limited domestic labor input. Unlike extractive commodities, however, the input energy can be renewable, and demand for compute is growing faster than demand for most physical commodities. The resource-curse literature still matters because concentrated export revenues can generate exchange-rate pressure, institutional risks, and exposure to demand cycles. Whether compute-exporting countries face those risks will depend on the ownership and fiscal structures they adopt. As bilateral compute-trade data become available, this framework can be estimated directly using gravity-style methods.</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1" w:name="WorldBank2024txt"/>
      <w:hyperlink w:anchor="WorldBank2024" w:history="1">
        <w:r>
          <w:rPr>
            <w:color w:val="1F3864"/>
            <w:u w:val="single"/>
          </w:rPr>
          <w:t xml:space="preserve">World Bank</w:t>
        </w:r>
      </w:hyperlink>
      <w:bookmarkEnd w:id="241"/>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