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v23  —  February 22, 2026  13:27</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8" w:name="IEA2025txt"/>
      <w:hyperlink w:anchor="IEA2025" w:history="1">
        <w:r>
          <w:rPr>
            <w:color w:val="1F3864"/>
            <w:u w:val="single"/>
          </w:rPr>
          <w:t xml:space="preserve">IEA 2025</w:t>
        </w:r>
      </w:hyperlink>
      <w:bookmarkEnd w:id="248"/>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9" w:name="Hausmann2007txt"/>
      <w:hyperlink w:anchor="Hausmann2007" w:history="1">
        <w:r>
          <w:rPr>
            <w:color w:val="1F3864"/>
            <w:u w:val="single"/>
          </w:rPr>
          <w:t xml:space="preserve">Hausmann et al. (2007)</w:t>
        </w:r>
      </w:hyperlink>
      <w:bookmarkEnd w:id="249"/>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0" w:name="Liu2023txt"/>
      <w:hyperlink w:anchor="Liu2023" w:history="1">
        <w:r>
          <w:rPr>
            <w:color w:val="1F3864"/>
            <w:u w:val="single"/>
          </w:rPr>
          <w:t xml:space="preserve">Liu et al. (2023)</w:t>
        </w:r>
      </w:hyperlink>
      <w:bookmarkEnd w:id="250"/>
      <w:r>
        <w:t xml:space="preserve"> study data center placement under renewable energy constraints. These studies focus on where firms should build data centers. In international trade theory, </w:t>
      </w:r>
      <w:bookmarkStart w:id="255" w:name="Brainard1997txt"/>
      <w:hyperlink w:anchor="Brainard1997" w:history="1">
        <w:r>
          <w:rPr>
            <w:color w:val="1F3864"/>
            <w:u w:val="single"/>
          </w:rPr>
          <w:t xml:space="preserve">Brainard (1997)</w:t>
        </w:r>
      </w:hyperlink>
      <w:bookmarkEnd w:id="255"/>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et al. (2025)</w:t>
        </w:r>
      </w:hyperlink>
      <w:bookmarkEnd w:id="256"/>
      <w:r>
        <w:t xml:space="preserve"> project that AI data center power demand could reach 327 GW by 2030 and that domestic power shortages may push compute infrastructure abroad. The </w:t>
      </w:r>
      <w:bookmarkStart w:id="257" w:name="WorldBank2025txt"/>
      <w:hyperlink w:anchor="WorldBank2025" w:history="1">
        <w:r>
          <w:rPr>
            <w:color w:val="1F3864"/>
            <w:u w:val="single"/>
          </w:rPr>
          <w:t xml:space="preserve">World Bank (2025)</w:t>
        </w:r>
      </w:hyperlink>
      <w:bookmarkEnd w:id="257"/>
      <w:r>
        <w:t xml:space="preserve"> documents the resulting global compute divide: high-income countries hold 77% of colocation data center capacity and account for 87% of cloud computing exports (</w:t>
      </w:r>
      <w:bookmarkStart w:id="251" w:name="Stojkoski2024txt"/>
      <w:hyperlink w:anchor="Stojkoski2024" w:history="1">
        <w:r>
          <w:rPr>
            <w:color w:val="1F3864"/>
            <w:u w:val="single"/>
          </w:rPr>
          <w:t xml:space="preserve">Stojkoski et al. 2024</w:t>
        </w:r>
      </w:hyperlink>
      <w:bookmarkEnd w:id="251"/>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2" w:name="EIA2025txt"/>
      <w:hyperlink w:anchor="EIA2025" w:history="1">
        <w:r>
          <w:rPr>
            <w:color w:val="1F3864"/>
            <w:u w:val="single"/>
          </w:rPr>
          <w:t xml:space="preserve">EIA 2025</w:t>
        </w:r>
      </w:hyperlink>
      <w:bookmarkEnd w:id="252"/>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3" w:name="NVIDIA2024txt"/>
      <w:hyperlink w:anchor="NVIDIA2024" w:history="1">
        <w:r>
          <w:rPr>
            <w:color w:val="1F3864"/>
            <w:u w:val="single"/>
          </w:rPr>
          <w:t xml:space="preserve">NVIDIA 2024</w:t>
        </w:r>
      </w:hyperlink>
      <w:bookmarkEnd w:id="253"/>
      <w:r>
        <w:t xml:space="preserve">). Google’s fleet-wide GPU utilization, after years of optimization,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doubling the effective hardware cost per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our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Eleven countries change their trade regimes.</w:t>
      </w:r>
    </w:p>
    <w:p>
      <w:pPr>
        <w:spacing w:before="0" w:after="160"/>
        <w:ind w:firstLine="0"/>
        <w:jc w:val="both"/>
      </w:pPr>
      <w:r>
        <w:t xml:space="preserve">Dividing the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w:t>
      </w:r>
      <w:hyperlink w:anchor="Table3" w:history="1">
        <w:r>
          <w:rPr>
            <w:color w:val="1F3864"/>
            <w:u w:val="single"/>
          </w:rPr>
          <w:t xml:space="preserve">Table 3</w:t>
        </w:r>
      </w:hyperlink>
      <w:r>
        <w:t xml:space="preserve">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reliability adjustment, the five cheapest producers are </w:t>
      </w:r>
      <w:r>
        <w:t xml:space="preserve">Canada ($1.61/hr), Norway ($1.62/hr), Finland ($1.62/hr), Sweden ($1.63/hr), and Iceland ($1.64/hr). </w:t>
      </w:r>
      <w:r>
        <w:t>The Δ column records the rank change from raw tariffs to the preferred specification: Iran drops 84 places</w:t>
      </w:r>
      <w:r>
        <w:t>, Kyrgyzstan drops 64</w:t>
      </w:r>
      <w:r>
        <w:t xml:space="preserve">, while Austria rises 56 places, </w:t>
      </w:r>
      <w:r>
        <w:t>and Switzerland rises 50</w:t>
      </w:r>
      <w:r>
        <w:t xml:space="preserve">. 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w:t>
      </w:r>
      <w:hyperlink w:anchor="Table3" w:history="1">
        <w:r>
          <w:rPr>
            <w:color w:val="1F3864"/>
            <w:u w:val="single"/>
          </w:rPr>
          <w:t xml:space="preserve">Table 3</w:t>
        </w:r>
      </w:hyperlink>
      <w:r>
        <w:t xml:space="preserve">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3" w:name="Eq3txt903"/>
      <w:hyperlink w:anchor="Eq3" w:history="1">
        <w:r>
          <w:rPr>
            <w:color w:val="1F3864"/>
            <w:u w:val="single"/>
          </w:rPr>
          <w:t xml:space="preserve">equation (3)</w:t>
        </w:r>
      </w:hyperlink>
      <w:bookmarkEnd w:id="903"/>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4" w:name="ACR2012txt"/>
      <w:hyperlink w:anchor="ACR2012" w:history="1">
        <w:r>
          <w:rPr>
            <w:color w:val="1F3864"/>
            <w:u w:val="single"/>
          </w:rPr>
          <w:t xml:space="preserve">Arkolakis et al. 2012</w:t>
        </w:r>
      </w:hyperlink>
      <w:bookmarkEnd w:id="254"/>
      <w:r>
        <w:t xml:space="preserve">).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institutional quality, sovereignty preferences, and access to GPU hardware are often decisive in determining actual data center location.For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7" w:name="vanderPloeg2011txt"/>
      <w:hyperlink w:anchor="vanderPloeg2011" w:history="1">
        <w:r>
          <w:rPr>
            <w:color w:val="1F3864"/>
            <w:u w:val="single"/>
          </w:rPr>
          <w:t xml:space="preserve">van der Ploeg 2011</w:t>
        </w:r>
      </w:hyperlink>
      <w:bookmarkEnd w:id="247"/>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5"/>
    </w:p>
    <w:p>
      <w:pPr>
        <w:spacing w:before="0" w:after="80" w:line="240" w:lineRule="exact"/>
        <w:ind w:hanging="720" w:left="720"/>
        <w:jc w:val="both"/>
      </w:pPr>
      <w:bookmarkStart w:id="50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6"/>
    </w:p>
    <w:p>
      <w:pPr>
        <w:spacing w:before="0" w:after="80" w:line="240" w:lineRule="exact"/>
        <w:ind w:hanging="720" w:left="720"/>
        <w:jc w:val="both"/>
      </w:pPr>
      <w:bookmarkStart w:id="507" w:name="Deloitte2020"/>
      <w:hyperlink w:anchor="Deloitte2020txt" w:history="1">
        <w:r>
          <w:rPr>
            <w:color w:val="1F3864"/>
            <w:u w:val="single"/>
          </w:rPr>
          <w:t xml:space="preserve">Deloitte and Google. (2020). </w:t>
        </w:r>
      </w:hyperlink>
      <w:r>
        <w:t>“Milliseconds Make Millions.” Deloitte Digital and Google.</w:t>
      </w:r>
      <w:bookmarkEnd w:id="507"/>
    </w:p>
    <w:p>
      <w:pPr>
        <w:spacing w:before="0" w:after="80" w:line="240" w:lineRule="exact"/>
        <w:ind w:hanging="720" w:left="720"/>
        <w:jc w:val="both"/>
      </w:pPr>
      <w:bookmarkStart w:id="50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oogle2024"/>
      <w:r>
        <w:rPr>
          <w:color w:val="1F3864"/>
          <w:u w:val="single"/>
        </w:rPr>
        <w:t xml:space="preserve">Google. </w:t>
      </w:r>
      <w:r>
        <w:t xml:space="preserve">(2024). </w:t>
      </w:r>
      <w:r>
        <w:rPr>
          <w:i/>
        </w:rPr>
        <w:t>2024 Environmental Report</w:t>
      </w:r>
      <w:r>
        <w:t>. sustainability.google.</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4" w:name="Eq3txt904"/>
      <w:hyperlink w:anchor="Eq3" w:history="1">
        <w:r>
          <w:rPr>
            <w:sz w:val="20"/>
            <w:color w:val="1F3864"/>
            <w:u w:val="single"/>
          </w:rPr>
          <w:t xml:space="preserve">equation (3)</w:t>
        </w:r>
      </w:hyperlink>
      <w:bookmarkEnd w:id="904"/>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5" w:name="Eq1txt905"/>
      <w:hyperlink w:anchor="Eq1" w:history="1">
        <w:r>
          <w:rPr>
            <w:color w:val="1F3864"/>
            <w:u w:val="single"/>
          </w:rPr>
          <w:t xml:space="preserve">equation (1)</w:t>
        </w:r>
      </w:hyperlink>
      <w:bookmarkEnd w:id="905"/>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6" w:name="Eq3txt906"/>
      <w:hyperlink w:anchor="Eq3" w:history="1">
        <w:r>
          <w:rPr>
            <w:color w:val="1F3864"/>
            <w:u w:val="single"/>
          </w:rPr>
          <w:t xml:space="preserve">equation (3)</w:t>
        </w:r>
      </w:hyperlink>
      <w:bookmarkEnd w:id="906"/>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