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t>A Trade Model of AI Compute Services</w:t>
      </w:r>
    </w:p>
    <w:p>
      <w:pPr>
        <w:spacing w:before="240" w:after="240" w:line="360" w:lineRule="auto"/>
        <w:ind w:firstLine="0"/>
        <w:jc w:val="center"/>
      </w:pPr>
      <w:r>
        <w:rPr>
          <w:i/>
        </w:rPr>
        <w:t>Michael Lokshin</w:t>
      </w:r>
      <w:r>
        <w:rPr>
          <w:rStyle w:val="FootnoteReference"/>
        </w:rPr>
        <w:footnoteReference w:id="1"/>
      </w:r>
    </w:p>
    <w:p>
      <w:pPr>
        <w:spacing w:before="40" w:after="240" w:line="360" w:lineRule="auto"/>
        <w:ind w:firstLine="0"/>
        <w:jc w:val="center"/>
      </w:pPr>
      <w:r>
        <w:rPr>
          <w:rFonts w:ascii="Times New Roman" w:hAnsi="Times New Roman"/>
          <w:color w:val="808080"/>
          <w:sz w:val="18"/>
        </w:rPr>
        <w:t>v30  —  March 01, 2026  18:21</w:t>
      </w:r>
    </w:p>
    <w:p>
      <w:pPr>
        <w:spacing w:before="240" w:after="0" w:line="240" w:lineRule="auto"/>
        <w:ind w:firstLine="0" w:left="720" w:right="720"/>
        <w:jc w:val="both"/>
      </w:pPr>
      <w:r>
        <w:rPr>
          <w:b/>
        </w:rPr>
        <w:t>Abstract</w:t>
      </w:r>
      <w:r>
        <w:t>: Energy-rich developing countries could convert cheap electricity into high-value AI compute exports. This paper develops a trade model of compute services, distinguishing latency-insensitive training from latency-sensitive inference and incorporating a bilateral sovereignty premium. Calibration across 85 countries shows that several developing countries rank among the cheapest producers under cost-recovery pricing, but bilateral trust deficits sharply curtail developing-country exports. Because hardware dominates unit cost, the cross-country cost spread is only 12–20 percent, making compute both the easiest sector for developing countries to enter on cost grounds and the most vulnerable to small policy-induced frictions. The binding constraint for FLOP exporting is not electricity cost, but the institutional credibility needed to overcome bilateral trust deficits.</w:t>
      </w:r>
    </w:p>
    <w:p>
      <w:pPr>
        <w:spacing w:before="0" w:after="160" w:line="240" w:lineRule="auto"/>
        <w:ind w:firstLine="0" w:left="720" w:right="720"/>
        <w:jc w:val="both"/>
      </w:pPr>
      <w:r>
        <w:rPr>
          <w:b/>
        </w:rPr>
        <w:t xml:space="preserve">JEL Classification: </w:t>
      </w:r>
      <w:r>
        <w:t>F14, F18, L86, O14, O33, Q40</w:t>
      </w:r>
    </w:p>
    <w:p>
      <w:pPr>
        <w:spacing w:before="4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line="360" w:lineRule="auto"/>
        <w:ind w:firstLine="0"/>
        <w:jc w:val="both"/>
      </w:pPr>
      <w:r>
        <w:t xml:space="preserve">The expansion of artificial intelligence drives the demand for computational resources. The compute used to train the largest AI models has been doubling every six months since 2010 (</w:t>
      </w:r>
      <w:bookmarkStart w:id="200" w:name="EpochAI2024txt"/>
      <w:hyperlink w:anchor="EpochAI2024" w:history="1">
        <w:r>
          <w:rPr>
            <w:color w:val="1F3864"/>
            <w:u w:val="single"/>
          </w:rPr>
          <w:t xml:space="preserve">Epoch AI 2024</w:t>
        </w:r>
      </w:hyperlink>
      <w:bookmarkEnd w:id="200"/>
      <w:r>
        <w:t xml:space="preserve">). Data centers accounted for approximately 1.5% of global electricity demand in 2024, and that share is projected to more than double by 2030 (</w:t>
      </w:r>
      <w:bookmarkStart w:id="231" w:name="IEA2025txt"/>
      <w:hyperlink w:anchor="IEA2025" w:history="1">
        <w:r>
          <w:rPr>
            <w:color w:val="1F3864"/>
            <w:u w:val="single"/>
          </w:rPr>
          <w:t xml:space="preserve">IEA 2025</w:t>
        </w:r>
      </w:hyperlink>
      <w:bookmarkEnd w:id="231"/>
      <w:r>
        <w:t xml:space="preserve">).</w:t>
      </w:r>
    </w:p>
    <w:p>
      <w:pPr>
        <w:spacing w:before="0" w:after="160" w:line="360" w:lineRule="auto"/>
        <w:ind w:firstLine="0"/>
        <w:jc w:val="both"/>
      </w:pPr>
      <w:r>
        <w:t xml:space="preserve">This surge in demand for compute creates an export opportunity. We refer to the production of compute services in one country for consumption in another as </w:t>
      </w:r>
      <w:r>
        <w:rPr>
          <w:i/>
        </w:rPr>
        <w:t>FLOP exporting</w:t>
      </w:r>
      <w:r>
        <w:t>. Rather than exporting raw energy resources as primary commodities, countries can use cheap electricity to produce a higher value-added digital service. For resource-rich developing countries, FLOP exporting could offer a route up the value chain.</w:t>
      </w:r>
    </w:p>
    <w:p>
      <w:pPr>
        <w:spacing w:before="0" w:after="160" w:line="360" w:lineRule="auto"/>
        <w:ind w:firstLine="0"/>
        <w:jc w:val="both"/>
      </w:pPr>
      <w:r>
        <w:t xml:space="preserve">Several megaprojects confirm that FLOP exporting is technically and commercially feasible. Armenia is deploying 50,000 GPUs in a $4 billion investment (</w:t>
      </w:r>
      <w:bookmarkStart w:id="232" w:name="Firebird2026txt"/>
      <w:hyperlink w:anchor="Firebird2026" w:history="1">
        <w:r>
          <w:rPr>
            <w:color w:val="1F3864"/>
            <w:u w:val="single"/>
          </w:rPr>
          <w:t xml:space="preserve">Firebird 2026</w:t>
        </w:r>
      </w:hyperlink>
      <w:bookmarkEnd w:id="232"/>
      <w:r>
        <w:t xml:space="preserve">), Kenya, Saudi Arabia, and Malaysia have each attracted billion-dollar data center commitments, and cloud computing exports already exceed $9 billion annually (</w:t>
      </w:r>
      <w:bookmarkStart w:id="201" w:name="WorldBank2025txt"/>
      <w:hyperlink w:anchor="WorldBank2025" w:history="1">
        <w:r>
          <w:rPr>
            <w:color w:val="1F3864"/>
            <w:u w:val="single"/>
          </w:rPr>
          <w:t xml:space="preserve">World Bank 2025</w:t>
        </w:r>
      </w:hyperlink>
      <w:bookmarkEnd w:id="201"/>
      <w:r>
        <w:t xml:space="preserve">). If Kyrgyzstan builds a 40 MW AI data center, it could generate annual revenue of $630–950 million at wholesale contract rates, equivalent to over 15% of Kyrgyzstan’s $3.8 billion in goods exports (</w:t>
      </w:r>
      <w:bookmarkStart w:id="233" w:name="WorldBank2024txt"/>
      <w:hyperlink w:anchor="WorldBank2024" w:history="1">
        <w:r>
          <w:rPr>
            <w:color w:val="1F3864"/>
            <w:u w:val="single"/>
          </w:rPr>
          <w:t xml:space="preserve">World Bank 2024</w:t>
        </w:r>
      </w:hyperlink>
      <w:bookmarkEnd w:id="233"/>
      <w:r>
        <w:t xml:space="preserve">).</w:t>
      </w:r>
      <w:r>
        <w:rPr>
          <w:rStyle w:val="FootnoteReference"/>
        </w:rPr>
        <w:footnoteReference w:id="5"/>
      </w:r>
    </w:p>
    <w:p>
      <w:pPr>
        <w:spacing w:before="0" w:after="160" w:line="360" w:lineRule="auto"/>
        <w:ind w:firstLine="0"/>
        <w:jc w:val="both"/>
      </w:pPr>
      <w:r>
        <w:t xml:space="preserve">Recent work examines compute governance and the geography of AI infrastructure (</w:t>
      </w:r>
      <w:bookmarkStart w:id="234" w:name="Sastry2024txt"/>
      <w:hyperlink w:anchor="Sastry2024" w:history="1">
        <w:r>
          <w:rPr>
            <w:color w:val="1F3864"/>
            <w:u w:val="single"/>
          </w:rPr>
          <w:t xml:space="preserve">Sastry et al. 2024</w:t>
        </w:r>
      </w:hyperlink>
      <w:bookmarkEnd w:id="234"/>
      <w:r>
        <w:t xml:space="preserve">, </w:t>
      </w:r>
      <w:bookmarkStart w:id="202" w:name="Lehdonvirta2024txt"/>
      <w:hyperlink w:anchor="Lehdonvirta2024" w:history="1">
        <w:r>
          <w:rPr>
            <w:color w:val="1F3864"/>
            <w:u w:val="single"/>
          </w:rPr>
          <w:t xml:space="preserve">Lehdonvirta et al. 2024</w:t>
        </w:r>
      </w:hyperlink>
      <w:bookmarkEnd w:id="202"/>
      <w:r>
        <w:t xml:space="preserve">, </w:t>
      </w:r>
      <w:bookmarkStart w:id="235" w:name="Pilz2025txt"/>
      <w:hyperlink w:anchor="Pilz2025" w:history="1">
        <w:r>
          <w:rPr>
            <w:color w:val="1F3864"/>
            <w:u w:val="single"/>
          </w:rPr>
          <w:t xml:space="preserve">Pilz et al. 2025</w:t>
        </w:r>
      </w:hyperlink>
      <w:bookmarkEnd w:id="235"/>
      <w:r>
        <w:t xml:space="preserve">), but no formal trade model of compute exists. This paper offers the first such model, making three contributions. First, it develops a capacity-constrained Ricardian model of compute trade with an iceberg trade cost for latency degradation and a bilateral sovereignty premium for geopolitical frictions. Second, it calibrates the model across 85 countries, correcting for energy subsidies that distort headline cost rankings. Third, it characterizes the resulting trade regimes and quantifies the welfare cost of sovereignty premia.</w:t>
      </w:r>
    </w:p>
    <w:p>
      <w:pPr>
        <w:spacing w:before="0" w:after="160" w:line="360" w:lineRule="auto"/>
        <w:ind w:firstLine="0"/>
        <w:jc w:val="both"/>
      </w:pPr>
      <w:r>
        <w:t>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roughly 12–20 percent. Several developing countries rank among the cheapest producers under cost-recovery pricing, but under the bilateral sovereignty specification, trust deficits eliminate all developing-country exports. For energy-rich developing countries, the binding constraint is not electricity cost but the institutional credibility needed to overcome bilateral trust deficits.</w:t>
      </w:r>
    </w:p>
    <w:p>
      <w:pPr>
        <w:pStyle w:val="Heading1"/>
      </w:pPr>
      <w:r>
        <w:rPr>
          <w:rFonts w:ascii="Times New Roman" w:hAnsi="Times New Roman"/>
          <w:b/>
          <w:color w:val="2F5496"/>
          <w:sz w:val="28"/>
        </w:rPr>
        <w:t>2. Related Literature</w:t>
      </w:r>
    </w:p>
    <w:p>
      <w:pPr>
        <w:spacing w:before="0" w:after="160" w:line="360" w:lineRule="auto"/>
        <w:ind w:firstLine="0"/>
        <w:jc w:val="both"/>
      </w:pPr>
      <w:r>
        <w:t xml:space="preserve"/>
      </w:r>
      <w:bookmarkStart w:id="203" w:name="Goldfarb2018txt"/>
      <w:hyperlink w:anchor="Goldfarb2018" w:history="1">
        <w:r>
          <w:rPr>
            <w:color w:val="1F3864"/>
            <w:u w:val="single"/>
          </w:rPr>
          <w:t xml:space="preserve">Goldfarb and Trefler (2018)</w:t>
        </w:r>
      </w:hyperlink>
      <w:bookmarkEnd w:id="203"/>
      <w:r>
        <w:t xml:space="preserve"> argue that AI shifts comparative advantage toward data and human capital; our model shows that compute production depends instead on electricity costs and climate, so resource-rich countries could export compute without domestic AI industries. </w:t>
      </w:r>
      <w:bookmarkStart w:id="236" w:name="Korinek2021txt"/>
      <w:hyperlink w:anchor="Korinek2021" w:history="1">
        <w:r>
          <w:rPr>
            <w:color w:val="1F3864"/>
            <w:u w:val="single"/>
          </w:rPr>
          <w:t xml:space="preserve">Korinek and Stiglitz (2021)</w:t>
        </w:r>
      </w:hyperlink>
      <w:bookmarkEnd w:id="236"/>
      <w:r>
        <w:t xml:space="preserve"> warn that developing countries may be left behind in the AI revolution; FLOP exporting offers a route in. The concept connects to </w:t>
      </w:r>
      <w:bookmarkStart w:id="247" w:name="Hausmann2007txt"/>
      <w:hyperlink w:anchor="Hausmann2007" w:history="1">
        <w:r>
          <w:rPr>
            <w:color w:val="1F3864"/>
            <w:u w:val="single"/>
          </w:rPr>
          <w:t xml:space="preserve">Hausmann et al. (2007)</w:t>
        </w:r>
      </w:hyperlink>
      <w:bookmarkEnd w:id="247"/>
      <w:r>
        <w:t xml:space="preserve"> on export composition and growth, and to </w:t>
      </w:r>
      <w:bookmarkStart w:id="243" w:name="Limao2001txt"/>
      <w:hyperlink w:anchor="Limao2001" w:history="1">
        <w:r>
          <w:rPr>
            <w:color w:val="1F3864"/>
            <w:u w:val="single"/>
          </w:rPr>
          <w:t xml:space="preserve">Limão and Venables (2001)</w:t>
        </w:r>
      </w:hyperlink>
      <w:bookmarkEnd w:id="243"/>
      <w:r>
        <w:t xml:space="preserve"> on infrastructure as a trade cost determinant. In our setting, network latency plays analogous role.</w:t>
      </w:r>
    </w:p>
    <w:p>
      <w:pPr>
        <w:spacing w:before="0" w:after="160" w:line="360" w:lineRule="auto"/>
        <w:ind w:firstLine="0"/>
        <w:jc w:val="both"/>
      </w:pPr>
      <w:r>
        <w:t xml:space="preserve">The closest precedent to our model is IT services offshoring, which is labor-intensive and skill-biased (</w:t>
      </w:r>
      <w:bookmarkStart w:id="204" w:name="Blinder2006txt"/>
      <w:hyperlink w:anchor="Blinder2006" w:history="1">
        <w:r>
          <w:rPr>
            <w:color w:val="1F3864"/>
            <w:u w:val="single"/>
          </w:rPr>
          <w:t xml:space="preserve">Blinder 2006</w:t>
        </w:r>
      </w:hyperlink>
      <w:bookmarkEnd w:id="204"/>
      <w:r>
        <w:t xml:space="preserve">),  FLOP exporting is capital- and energy-intensive, so the set of potential exporters is fundamentally different — energy-rich countries rather than labor-abundant ones. A deeper difference is structural: because the key traded input (GPUs) is globally priced, cross-country cost variation comes entirely from energy and facilities, which together account for a small share of unit cost. Comparative advantages in compute is therefore narrower and more fragile than in services offshoring, where factor-price gaps are large.</w:t>
      </w:r>
    </w:p>
    <w:p>
      <w:pPr>
        <w:spacing w:before="0" w:after="160" w:line="360" w:lineRule="auto"/>
        <w:ind w:firstLine="0"/>
        <w:jc w:val="both"/>
      </w:pPr>
      <w:r>
        <w:t xml:space="preserve">Several studies examine where firms should build data centers. </w:t>
      </w:r>
      <w:bookmarkStart w:id="205" w:name="Flucker2013txt"/>
      <w:hyperlink w:anchor="Flucker2013" w:history="1">
        <w:r>
          <w:rPr>
            <w:color w:val="1F3864"/>
            <w:u w:val="single"/>
          </w:rPr>
          <w:t xml:space="preserve">Flucker et al. (2013)</w:t>
        </w:r>
      </w:hyperlink>
      <w:bookmarkEnd w:id="205"/>
      <w:r>
        <w:t xml:space="preserve"> show that climate affects data center cooling costs. </w:t>
      </w:r>
      <w:bookmarkStart w:id="244" w:name="Liu2023txt"/>
      <w:hyperlink w:anchor="Liu2023" w:history="1">
        <w:r>
          <w:rPr>
            <w:color w:val="1F3864"/>
            <w:u w:val="single"/>
          </w:rPr>
          <w:t xml:space="preserve">Liu et al. (2023)</w:t>
        </w:r>
      </w:hyperlink>
      <w:bookmarkEnd w:id="244"/>
      <w:r>
        <w:t xml:space="preserve"> study data center placement under renewable energy constraints. In international trade theory, </w:t>
      </w:r>
      <w:bookmarkStart w:id="248" w:name="Brainard1997txt"/>
      <w:hyperlink w:anchor="Brainard1997" w:history="1">
        <w:r>
          <w:rPr>
            <w:color w:val="1F3864"/>
            <w:u w:val="single"/>
          </w:rPr>
          <w:t xml:space="preserve">Brainard (1997)</w:t>
        </w:r>
      </w:hyperlink>
      <w:bookmarkEnd w:id="248"/>
      <w:r>
        <w:t xml:space="preserve"> formalizes the proximity-concentration trade-off between serving a market locally and concentrating production abroad, and </w:t>
      </w:r>
      <w:bookmarkStart w:id="237" w:name="HMY2004txt"/>
      <w:hyperlink w:anchor="HMY2004" w:history="1">
        <w:r>
          <w:rPr>
            <w:color w:val="1F3864"/>
            <w:u w:val="single"/>
          </w:rPr>
          <w:t xml:space="preserve">Helpman et al. (2004)</w:t>
        </w:r>
      </w:hyperlink>
      <w:bookmarkEnd w:id="237"/>
      <w:r>
        <w:t xml:space="preserve"> extend this to heterogeneous firms choosing between exporting and FDI.</w:t>
      </w:r>
    </w:p>
    <w:p>
      <w:pPr>
        <w:spacing w:before="0" w:after="160" w:line="360" w:lineRule="auto"/>
        <w:ind w:firstLine="0"/>
        <w:jc w:val="both"/>
      </w:pPr>
      <w:r>
        <w:t xml:space="preserve">On governance, </w:t>
      </w:r>
      <w:bookmarkStart w:id="238" w:name="Sastry2024txt"/>
      <w:hyperlink w:anchor="Sastry2024" w:history="1">
        <w:r>
          <w:rPr>
            <w:color w:val="1F3864"/>
            <w:u w:val="single"/>
          </w:rPr>
          <w:t xml:space="preserve">Sastry et al. (2024)</w:t>
        </w:r>
      </w:hyperlink>
      <w:bookmarkEnd w:id="238"/>
      <w:r>
        <w:t xml:space="preserve"> argue that compute is well-suited for regulation. </w:t>
      </w:r>
      <w:bookmarkStart w:id="206" w:name="Lehdonvirta2024txt"/>
      <w:hyperlink w:anchor="Lehdonvirta2024" w:history="1">
        <w:r>
          <w:rPr>
            <w:color w:val="1F3864"/>
            <w:u w:val="single"/>
          </w:rPr>
          <w:t xml:space="preserve">Lehdonvirta et al. (2024)</w:t>
        </w:r>
      </w:hyperlink>
      <w:bookmarkEnd w:id="206"/>
      <w:r>
        <w:t xml:space="preserve"> map a “Compute North” with training-capable hardware versus a “Compute South” limited to inference chips. </w:t>
      </w:r>
      <w:bookmarkStart w:id="245" w:name="Pilz2025txt"/>
      <w:hyperlink w:anchor="Pilz2025" w:history="1">
        <w:r>
          <w:rPr>
            <w:color w:val="1F3864"/>
            <w:u w:val="single"/>
          </w:rPr>
          <w:t xml:space="preserve">Pilz et al. (2025)</w:t>
        </w:r>
      </w:hyperlink>
      <w:bookmarkEnd w:id="245"/>
      <w:r>
        <w:t xml:space="preserve"> project that data center power demand could reach 327 GW by 2030. The </w:t>
      </w:r>
      <w:bookmarkStart w:id="249" w:name="WorldBank2025txt"/>
      <w:hyperlink w:anchor="WorldBank2025" w:history="1">
        <w:r>
          <w:rPr>
            <w:color w:val="1F3864"/>
            <w:u w:val="single"/>
          </w:rPr>
          <w:t xml:space="preserve">World Bank (2025)</w:t>
        </w:r>
      </w:hyperlink>
      <w:bookmarkEnd w:id="249"/>
      <w:r>
        <w:t xml:space="preserve"> documents the resulting divide,  high-income countries hold 77% of colocation capacity,  but without a formal framework linking costs to trade patterns. </w:t>
      </w:r>
      <w:bookmarkStart w:id="239" w:name="Biglaiser2024txt"/>
      <w:hyperlink w:anchor="Biglaiser2024" w:history="1">
        <w:r>
          <w:rPr>
            <w:color w:val="1F3864"/>
            <w:u w:val="single"/>
          </w:rPr>
          <w:t xml:space="preserve">Biglaiser et al. (2024)</w:t>
        </w:r>
      </w:hyperlink>
      <w:bookmarkEnd w:id="239"/>
      <w:r>
        <w:t xml:space="preserve"> survey cloud market IO, and </w:t>
      </w:r>
      <w:bookmarkStart w:id="246" w:name="Stojkoski2024txt"/>
      <w:hyperlink w:anchor="Stojkoski2024" w:history="1">
        <w:r>
          <w:rPr>
            <w:color w:val="1F3864"/>
            <w:u w:val="single"/>
          </w:rPr>
          <w:t xml:space="preserve">Stojkoski et al. (2024)</w:t>
        </w:r>
      </w:hyperlink>
      <w:bookmarkEnd w:id="246"/>
      <w:r>
        <w:t xml:space="preserve"> estimate cloud export geography but treat services as homogeneous. The present model adds supply-side cost structure and a training–inference distinction.</w:t>
      </w:r>
    </w:p>
    <w:p>
      <w:pPr>
        <w:pStyle w:val="Heading1"/>
      </w:pPr>
      <w:r>
        <w:rPr>
          <w:rFonts w:ascii="Times New Roman" w:hAnsi="Times New Roman"/>
          <w:b/>
          <w:color w:val="2F5496"/>
          <w:sz w:val="28"/>
        </w:rPr>
        <w:t>3. Model of Compute Production and Trade</w:t>
      </w:r>
    </w:p>
    <w:p>
      <w:pPr>
        <w:spacing w:before="0" w:after="160" w:line="360" w:lineRule="auto"/>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line="360" w:lineRule="auto"/>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80" w:line="360" w:lineRule="auto"/>
        <w:ind w:firstLine="0"/>
        <w:jc w:val="both"/>
      </w:pPr>
      <w:r>
        <w:t xml:space="preserve">A data center consumes electricity for its Graphic Processing Units (GPU),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720" w:type="dxa"/>
            <w:vAlign w:val="center"/>
          </w:tcPr>
          <w:p>
            <w:pPr>
              <w:jc w:val="right"/>
              <w:spacing w:before="60" w:after="60"/>
            </w:pPr>
            <w:bookmarkStart w:id="801" w:name="Eq1"/>
            <w:r>
              <w:t>(1)</w:t>
            </w:r>
            <w:bookmarkEnd w:id="801"/>
          </w:p>
        </w:tc>
      </w:tr>
    </w:tbl>
    <w:p>
      <w:pPr>
        <w:spacing w:before="80" w:after="160" w:line="360" w:lineRule="auto"/>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line="360" w:lineRule="auto"/>
        <w:ind w:firstLine="0"/>
        <w:jc w:val="both"/>
      </w:pPr>
      <w:r>
        <w:t xml:space="preserve">Countries export goods intensive in their abundant factors (</w:t>
      </w:r>
      <w:bookmarkStart w:id="207" w:name="Ohlin1933txt"/>
      <w:hyperlink w:anchor="Ohlin1933" w:history="1">
        <w:r>
          <w:rPr>
            <w:color w:val="1F3864"/>
            <w:u w:val="single"/>
          </w:rPr>
          <w:t xml:space="preserve">Ohlin 1933</w:t>
        </w:r>
      </w:hyperlink>
      <w:bookmarkEnd w:id="207"/>
      <w:r>
        <w:t xml:space="preserve">). For compute production, the relevant endowment is not electricity, but the natural resources that generate it, such as hydropower (Kyrgyzstan, Ethiopia, Georgia), oil and gas (Iran, Turkmenistan, Qatar), solar irradiance (North Africa, the Gulf), and geothermal energy (Kenya, Iceland).</w:t>
      </w:r>
    </w:p>
    <w:p>
      <w:pPr>
        <w:pStyle w:val="Heading2"/>
      </w:pPr>
      <w:r>
        <w:rPr>
          <w:rFonts w:ascii="Times New Roman" w:hAnsi="Times New Roman"/>
          <w:b w:val="0"/>
          <w:i/>
          <w:color w:val="2F5496"/>
          <w:sz w:val="24"/>
        </w:rPr>
        <w:t>3.2 Trade Costs</w:t>
      </w:r>
    </w:p>
    <w:p>
      <w:pPr>
        <w:spacing w:before="0" w:after="160" w:line="360" w:lineRule="auto"/>
        <w:ind w:firstLine="0"/>
        <w:jc w:val="both"/>
      </w:pPr>
      <w:r>
        <w:t xml:space="preserve">Countries produce and trade two types of compute services that differ in their offshoring costs. </w:t>
      </w:r>
      <w:r>
        <w:rPr>
          <w:i/>
        </w:rPr>
        <w:t>Training services</w:t>
      </w:r>
      <w:r>
        <w:t xml:space="preserve"> (denoted T) includes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80" w:line="360" w:lineRule="auto"/>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markup on the cost of compute sourced from seller country </w:t>
      </w:r>
      <m:oMath>
        <m:r>
          <m:rPr>
            <m:sty m:val="i"/>
          </m:rPr>
          <w:rPr>
            <w:rFonts w:ascii="Cambria Math" w:hAnsi="Cambria Math"/>
          </w:rPr>
          <m:t xml:space="preserve">i</m:t>
        </m:r>
      </m:oMath>
      <w:r>
        <w:t xml:space="preserve"> by buyer country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08" w:name="BaileyEtAl2017txt"/>
      <w:hyperlink w:anchor="BaileyEtAl2017" w:history="1">
        <w:r>
          <w:rPr>
            <w:color w:val="1F3864"/>
            <w:u w:val="single"/>
          </w:rPr>
          <w:t xml:space="preserve">Bailey, Strezhnev, and Voeten 2017</w:t>
        </w:r>
      </w:hyperlink>
      <w:bookmarkEnd w:id="208"/>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720" w:type="dxa"/>
            <w:vAlign w:val="center"/>
          </w:tcPr>
          <w:p>
            <w:pPr>
              <w:jc w:val="right"/>
              <w:spacing w:before="60" w:after="60"/>
            </w:pPr>
            <w:bookmarkStart w:id="802" w:name="Eq2"/>
            <w:r>
              <w:t>(2)</w:t>
            </w:r>
            <w:bookmarkEnd w:id="802"/>
          </w:p>
        </w:tc>
      </w:tr>
    </w:tbl>
    <w:p>
      <w:pPr>
        <w:spacing w:before="80" w:after="80" w:line="360" w:lineRule="auto"/>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803" w:name="Eq3"/>
            <w:r>
              <w:t>(3)</w:t>
            </w:r>
            <w:bookmarkEnd w:id="803"/>
          </w:p>
        </w:tc>
      </w:tr>
    </w:tbl>
    <w:p>
      <w:pPr>
        <w:spacing w:before="80" w:after="160" w:line="360" w:lineRule="auto"/>
        <w:ind w:firstLine="0"/>
        <w:jc w:val="both"/>
      </w:pPr>
      <w:r>
        <w:t xml:space="preserve">where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 unit cost of producing one GPU-hour in country </w:t>
      </w:r>
      <m:oMath>
        <m:r>
          <m:rPr>
            <m:sty m:val="i"/>
          </m:rPr>
          <w:rPr>
            <w:rFonts w:ascii="Cambria Math" w:hAnsi="Cambria Math"/>
          </w:rPr>
          <m:t xml:space="preserve">j</m:t>
        </m:r>
      </m:oMath>
      <w:r>
        <w:t xml:space="preserve">  (</w:t>
      </w:r>
      <w:bookmarkStart w:id="900" w:name="Eq1txt900"/>
      <w:hyperlink w:anchor="Eq1" w:history="1">
        <w:r>
          <w:rPr>
            <w:color w:val="1F3864"/>
            <w:u w:val="single"/>
          </w:rPr>
          <w:t xml:space="preserve">equation (1)</w:t>
        </w:r>
      </w:hyperlink>
      <w:bookmarkEnd w:id="900"/>
      <w:r>
        <w:t xml:space="preserve">). Governance quality, grid reliability, and other institutional factors that affect the willingness of buyers to source compute from a particular country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rather than by a production cost adjustment.</w:t>
      </w:r>
    </w:p>
    <w:p>
      <w:pPr>
        <w:spacing w:before="0" w:after="160" w:line="360" w:lineRule="auto"/>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80" w:line="360" w:lineRule="auto"/>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720" w:type="dxa"/>
            <w:vAlign w:val="center"/>
          </w:tcPr>
          <w:p>
            <w:pPr>
              <w:jc w:val="right"/>
              <w:spacing w:before="60" w:after="60"/>
            </w:pPr>
            <w:bookmarkStart w:id="804" w:name="Eq4"/>
            <w:r>
              <w:t>(4)</w:t>
            </w:r>
            <w:bookmarkEnd w:id="804"/>
          </w:p>
        </w:tc>
      </w:tr>
    </w:tbl>
    <w:p>
      <w:pPr>
        <w:spacing w:before="80" w:after="160" w:line="360" w:lineRule="auto"/>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 xml:space="preserve">’s share of global demand, measured by its share of installed data center capacity </w:t>
      </w:r>
      <m:oMath>
        <m:sSub>
          <m:sSubPr/>
          <m:e>
            <m:r>
              <m:rPr>
                <m:sty m:val="i"/>
              </m:rPr>
              <w:rPr>
                <w:rFonts w:ascii="Cambria Math" w:hAnsi="Cambria Math"/>
              </w:rPr>
              <m:t xml:space="preserve">M</m:t>
            </m:r>
          </m:e>
          <m:sub>
            <m:r>
              <m:rPr>
                <m:sty m:val="i"/>
              </m:rPr>
              <w:rPr>
                <w:rFonts w:ascii="Cambria Math" w:hAnsi="Cambria Math"/>
              </w:rPr>
              <m:t xml:space="preserve">k</m:t>
            </m:r>
          </m:sub>
        </m:sSub>
      </m:oMath>
      <w:r>
        <w:t xml:space="preserve"> in MW.</w:t>
      </w:r>
      <w:r>
        <w:rPr>
          <w:rStyle w:val="FootnoteReference"/>
        </w:rPr>
        <w:footnoteReference w:id="20"/>
      </w:r>
    </w:p>
    <w:p>
      <w:pPr>
        <w:spacing w:before="0" w:after="160" w:line="360" w:lineRule="auto"/>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80" w:line="360" w:lineRule="auto"/>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720" w:type="dxa"/>
            <w:vAlign w:val="center"/>
          </w:tcPr>
          <w:p>
            <w:pPr>
              <w:jc w:val="right"/>
              <w:spacing w:before="60" w:after="60"/>
            </w:pPr>
            <w:bookmarkStart w:id="805" w:name="Eq5"/>
            <w:r>
              <w:t>(5)</w:t>
            </w:r>
            <w:bookmarkEnd w:id="805"/>
          </w:p>
        </w:tc>
      </w:tr>
    </w:tbl>
    <w:p>
      <w:pPr>
        <w:spacing w:before="80" w:after="160" w:line="360" w:lineRule="auto"/>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line="360" w:lineRule="auto"/>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index of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line="360" w:lineRule="auto"/>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When a country allocates capacity across multiple uses,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equals the margin on the marginal activity — the least profitable use that still receives capacity. In the training-only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in the multi-market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because training, as the higher-margin activity, is served first.</w:t>
      </w:r>
    </w:p>
    <w:p>
      <w:pPr>
        <w:spacing w:before="0" w:after="80" w:line="360" w:lineRule="auto"/>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720" w:type="dxa"/>
            <w:vAlign w:val="center"/>
          </w:tcPr>
          <w:p>
            <w:pPr>
              <w:jc w:val="right"/>
              <w:spacing w:before="60" w:after="60"/>
            </w:pPr>
            <w:bookmarkStart w:id="806" w:name="Eq6"/>
            <w:r>
              <w:t>(6)</w:t>
            </w:r>
            <w:bookmarkEnd w:id="806"/>
          </w:p>
        </w:tc>
      </w:tr>
    </w:tbl>
    <w:p>
      <w:pPr>
        <w:spacing w:before="80" w:after="160" w:line="360" w:lineRule="auto"/>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line="360" w:lineRule="auto"/>
        <w:ind w:firstLine="0"/>
        <w:jc w:val="both"/>
      </w:pPr>
      <w:r>
        <w:t xml:space="preserve">The cost-based equilibrium identifies the set of countries that could profitably produce and export compute. Which countries from this set attract investment depends additionally on agglomeration economies, hyperscaler market structure, and network connectivity (</w:t>
      </w:r>
      <w:bookmarkStart w:id="209" w:name="Krugman1991txt"/>
      <w:hyperlink w:anchor="Krugman1991" w:history="1">
        <w:r>
          <w:rPr>
            <w:color w:val="1F3864"/>
            <w:u w:val="single"/>
          </w:rPr>
          <w:t xml:space="preserve">Krugman 1991</w:t>
        </w:r>
      </w:hyperlink>
      <w:bookmarkEnd w:id="209"/>
      <w:r>
        <w:t xml:space="preserve">). The cloud compute market is dominated by three firms (AWS, Azure, Google Cloud) whose location decisions reflect scale economies and self-reinforcing colocation dynamics that the competitive framework abstracts from. The capacity ceilings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further.</w:t>
      </w:r>
    </w:p>
    <w:p>
      <w:pPr>
        <w:pStyle w:val="Heading1"/>
      </w:pPr>
      <w:r>
        <w:rPr>
          <w:rFonts w:ascii="Times New Roman" w:hAnsi="Times New Roman"/>
          <w:b/>
          <w:color w:val="2F5496"/>
          <w:sz w:val="28"/>
        </w:rPr>
        <w:t>4. Equilibrium Properties</w:t>
      </w:r>
    </w:p>
    <w:p>
      <w:pPr>
        <w:spacing w:before="0" w:after="160" w:line="360" w:lineRule="auto"/>
        <w:ind w:firstLine="0"/>
        <w:jc w:val="both"/>
      </w:pPr>
      <w:r>
        <w:t>This section derives the formal properties of the capacity-constrained equilibrium defined in Section 3. Full derivations are shown in Appendix B.</w:t>
      </w:r>
    </w:p>
    <w:p>
      <w:pPr>
        <w:spacing w:before="0" w:after="160" w:line="360" w:lineRule="auto"/>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and import), there are nine potential regime combinations. In equilibrium, only five are realized. Each regime is coded by two letters: the first for training status, the second for inference (E = export, D = domestic production, I = import).</w:t>
      </w:r>
    </w:p>
    <w:p>
      <w:pPr>
        <w:spacing w:before="0" w:after="160" w:line="360" w:lineRule="auto"/>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w:t>
      </w:r>
    </w:p>
    <w:p>
      <w:pPr>
        <w:spacing w:before="0" w:after="160" w:line="360" w:lineRule="auto"/>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line="360" w:lineRule="auto"/>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line="360" w:lineRule="auto"/>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line="360" w:lineRule="auto"/>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line="360" w:lineRule="auto"/>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line="360" w:lineRule="auto"/>
        <w:ind w:firstLine="0"/>
        <w:jc w:val="both"/>
      </w:pPr>
      <w:r>
        <w:rPr>
          <w:b/>
          <w:i/>
        </w:rPr>
        <w:t xml:space="preserve">Proposition 2 (Capacity Constraints Reduce Concentration). </w:t>
      </w:r>
      <w:r>
        <w:t xml:space="preserve">Define the Herfindahl–Hirschman Index (HHI), a standard measure of market concentration that is equal to the sum of squared market shares,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line="360" w:lineRule="auto"/>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160" w:line="360" w:lineRule="auto"/>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line="360" w:lineRule="auto"/>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line="360" w:lineRule="auto"/>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160" w:line="360" w:lineRule="auto"/>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10" w:name="Eurostat2025txt"/>
      <w:hyperlink w:anchor="Eurostat2025" w:history="1">
        <w:r>
          <w:rPr>
            <w:color w:val="1F3864"/>
            <w:u w:val="single"/>
          </w:rPr>
          <w:t xml:space="preserve">Eurostat 2025</w:t>
        </w:r>
      </w:hyperlink>
      <w:bookmarkEnd w:id="210"/>
      <w:r>
        <w:t xml:space="preserve">). For non-European countries, the prices are obtained from national regulator tariff sheets and secondary sources, including the U.S. Energy Information Administration (</w:t>
      </w:r>
      <w:bookmarkStart w:id="240" w:name="EIA2025txt"/>
      <w:hyperlink w:anchor="EIA2025" w:history="1">
        <w:r>
          <w:rPr>
            <w:color w:val="1F3864"/>
            <w:u w:val="single"/>
          </w:rPr>
          <w:t xml:space="preserve">EIA 2025</w:t>
        </w:r>
      </w:hyperlink>
      <w:bookmarkEnd w:id="240"/>
      <w:r>
        <w:t xml:space="preserve">) for the United States, KEPCO for South Korea,</w:t>
      </w:r>
      <w:r>
        <w:rPr>
          <w:rStyle w:val="FootnoteReference"/>
        </w:rPr>
        <w:footnoteReference w:id="24"/>
      </w:r>
      <w:r>
        <w:t xml:space="preserve"> national utility tariffs for Central Asian countries, and </w:t>
      </w:r>
      <w:bookmarkStart w:id="211" w:name="GlobalPetrolPrices2025txt"/>
      <w:hyperlink w:anchor="GlobalPetrolPrices2025" w:history="1">
        <w:r>
          <w:rPr>
            <w:color w:val="1F3864"/>
            <w:u w:val="single"/>
          </w:rPr>
          <w:t xml:space="preserve">GlobalPetrolPrices (2025)</w:t>
        </w:r>
      </w:hyperlink>
      <w:bookmarkEnd w:id="211"/>
      <w:r>
        <w:t xml:space="preserve"> for the remaining countries. All prices are converted to $/kWh at 2024 exchange rates.</w:t>
      </w:r>
    </w:p>
    <w:p>
      <w:pPr>
        <w:spacing w:before="0" w:after="160" w:line="360" w:lineRule="auto"/>
        <w:ind w:firstLine="0"/>
        <w:jc w:val="both"/>
      </w:pPr>
      <w:r>
        <w:rPr>
          <w:rFonts w:ascii="Times New Roman" w:hAnsi="Times New Roman"/>
          <w:b w:val="0"/>
          <w:i/>
          <w:sz w:val="24"/>
        </w:rPr>
        <w:t xml:space="preserve">Temperature and construction. </w:t>
      </w:r>
      <w:r>
        <w:t xml:space="preserve">Peak summer temperature is derived from ERA5 data (</w:t>
      </w:r>
      <w:bookmarkStart w:id="212" w:name="Hersbach2020txt"/>
      <w:hyperlink w:anchor="Hersbach2020" w:history="1">
        <w:r>
          <w:rPr>
            <w:color w:val="1F3864"/>
            <w:u w:val="single"/>
          </w:rPr>
          <w:t xml:space="preserve">Hersbach et al. 2020</w:t>
        </w:r>
      </w:hyperlink>
      <w:bookmarkEnd w:id="212"/>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3" w:name="TurnerTownsend2025txt"/>
      <w:hyperlink w:anchor="TurnerTownsend2025" w:history="1">
        <w:r>
          <w:rPr>
            <w:color w:val="1F3864"/>
            <w:u w:val="single"/>
          </w:rPr>
          <w:t xml:space="preserve">Turner &amp; Townsend 2025</w:t>
        </w:r>
      </w:hyperlink>
      <w:bookmarkEnd w:id="213"/>
      <w:r>
        <w:t xml:space="preserve">), for 37 countries. For the remaining countries, costs are predicted (Appendix E). Since construction is only 3–6% of total per-GPU-hour costs, imputation error has a limited impact on cost rankings.</w:t>
      </w:r>
    </w:p>
    <w:p>
      <w:pPr>
        <w:spacing w:before="0" w:after="160" w:line="360" w:lineRule="auto"/>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4" w:name="WonderNetwork2024txt"/>
      <w:hyperlink w:anchor="WonderNetwork2024" w:history="1">
        <w:r>
          <w:rPr>
            <w:color w:val="1F3864"/>
            <w:u w:val="single"/>
          </w:rPr>
          <w:t xml:space="preserve">WonderNetwork 2024</w:t>
        </w:r>
      </w:hyperlink>
      <w:bookmarkEnd w:id="214"/>
      <w:r>
        <w:t xml:space="preserve">). For each country pair, the median round-trip time (RTT) in milliseconds is used. Domestic latency defaults to 5 ms where no intra-country measurement is available.</w:t>
      </w:r>
    </w:p>
    <w:p>
      <w:pPr>
        <w:spacing w:before="0" w:after="160" w:line="360" w:lineRule="auto"/>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4txt901"/>
      <w:hyperlink w:anchor="Eq4" w:history="1">
        <w:r>
          <w:rPr>
            <w:color w:val="1F3864"/>
            <w:u w:val="single"/>
          </w:rPr>
          <w:t xml:space="preserve">equation (4)</w:t>
        </w:r>
      </w:hyperlink>
      <w:bookmarkEnd w:id="901"/>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15" w:name="Cloudscene2025txt"/>
      <w:hyperlink w:anchor="Cloudscene2025" w:history="1">
        <w:r>
          <w:rPr>
            <w:color w:val="1F3864"/>
            <w:u w:val="single"/>
          </w:rPr>
          <w:t xml:space="preserve">Cloudscene 2025</w:t>
        </w:r>
      </w:hyperlink>
      <w:bookmarkEnd w:id="215"/>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line="360" w:lineRule="auto"/>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line="360" w:lineRule="auto"/>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6" w:name="Google2024txt"/>
      <w:hyperlink w:anchor="Google2024" w:history="1">
        <w:r>
          <w:rPr>
            <w:color w:val="1F3864"/>
            <w:u w:val="single"/>
          </w:rPr>
          <w:t xml:space="preserve">Google 2024</w:t>
        </w:r>
      </w:hyperlink>
      <w:bookmarkEnd w:id="216"/>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7" w:name="Liu2023txt"/>
      <w:hyperlink w:anchor="Liu2023" w:history="1">
        <w:r>
          <w:rPr>
            <w:color w:val="1F3864"/>
            <w:u w:val="single"/>
          </w:rPr>
          <w:t xml:space="preserve">Liu et al. 2023</w:t>
        </w:r>
      </w:hyperlink>
      <w:bookmarkEnd w:id="217"/>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18" w:name="UptimeInstitute2024txt"/>
      <w:hyperlink w:anchor="UptimeInstitute2024" w:history="1">
        <w:r>
          <w:rPr>
            <w:color w:val="1F3864"/>
            <w:u w:val="single"/>
          </w:rPr>
          <w:t xml:space="preserve">Uptime Institute 2024</w:t>
        </w:r>
      </w:hyperlink>
      <w:bookmarkEnd w:id="218"/>
      <w:r>
        <w:t xml:space="preserve">).</w:t>
      </w:r>
      <w:r>
        <w:rPr>
          <w:rStyle w:val="FootnoteReference"/>
        </w:rPr>
        <w:footnoteReference w:id="13"/>
      </w:r>
    </w:p>
    <w:p>
      <w:pPr>
        <w:spacing w:before="0" w:after="160" w:line="360" w:lineRule="auto"/>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19" w:name="Barroso2018txt"/>
      <w:hyperlink w:anchor="Barroso2018" w:history="1">
        <w:r>
          <w:rPr>
            <w:color w:val="1F3864"/>
            <w:u w:val="single"/>
          </w:rPr>
          <w:t xml:space="preserve">Barroso et al. 2018</w:t>
        </w:r>
      </w:hyperlink>
      <w:bookmarkEnd w:id="219"/>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0" w:name="Barroso2018txt"/>
      <w:hyperlink w:anchor="Barroso2018" w:history="1">
        <w:r>
          <w:rPr>
            <w:color w:val="1F3864"/>
            <w:u w:val="single"/>
          </w:rPr>
          <w:t xml:space="preserve">Barroso et al. 2018</w:t>
        </w:r>
      </w:hyperlink>
      <w:bookmarkEnd w:id="220"/>
      <w:r>
        <w:t xml:space="preserve">). GPU and networking equipment prices are assumed to be uniform across countries.</w:t>
      </w:r>
    </w:p>
    <w:p>
      <w:pPr>
        <w:spacing w:before="0" w:after="160" w:line="360" w:lineRule="auto"/>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1" w:name="Deloitte2020txt"/>
      <w:hyperlink w:anchor="Deloitte2020" w:history="1">
        <w:r>
          <w:rPr>
            <w:color w:val="1F3864"/>
            <w:u w:val="single"/>
          </w:rPr>
          <w:t xml:space="preserve">Deloitte (2020)</w:t>
        </w:r>
      </w:hyperlink>
      <w:bookmarkEnd w:id="221"/>
      <w:r>
        <w:t xml:space="preserve"> for e-commerce. </w:t>
      </w:r>
    </w:p>
    <w:p>
      <w:pPr>
        <w:spacing w:before="0" w:after="160" w:line="360" w:lineRule="auto"/>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w:t>
      </w:r>
      <w:bookmarkStart w:id="902" w:name="Eq2txt902"/>
      <w:hyperlink w:anchor="Eq2" w:history="1">
        <w:r>
          <w:rPr>
            <w:color w:val="1F3864"/>
            <w:u w:val="single"/>
          </w:rPr>
          <w:t xml:space="preserve">eq. (2)</w:t>
        </w:r>
      </w:hyperlink>
      <w:bookmarkEnd w:id="902"/>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0.05</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0.025</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0.04–0.07.</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2" w:name="Deloitte2025txt"/>
      <w:hyperlink w:anchor="Deloitte2025" w:history="1">
        <w:r>
          <w:rPr>
            <w:color w:val="1F3864"/>
            <w:u w:val="single"/>
          </w:rPr>
          <w:t xml:space="preserve">Deloitte 2025</w:t>
        </w:r>
      </w:hyperlink>
      <w:bookmarkEnd w:id="222"/>
      <w:r>
        <w:t xml:space="preserve">). Construction costs are amortized over 15 years.</w:t>
      </w:r>
    </w:p>
    <w:p>
      <w:pPr>
        <w:spacing w:before="0" w:after="160" w:line="360" w:lineRule="auto"/>
        <w:ind w:firstLine="0"/>
        <w:jc w:val="both"/>
      </w:pPr>
      <w:r>
        <w:rPr>
          <w:rFonts w:ascii="Times New Roman" w:hAnsi="Times New Roman"/>
          <w:b w:val="0"/>
          <w:i/>
          <w:sz w:val="24"/>
        </w:rPr>
        <w:t xml:space="preserve">Governance. </w:t>
      </w:r>
      <w:r>
        <w:t xml:space="preserve">Governance quality, grid reliability, and other institutional factors that affect the attractiveness of a host country for compute investment enter the model through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(equation 2), not through a production cost adjustment. This reflects the observation that hardware is globally priced and dominates unit cost, so governance frictions primarily affect buyer willingness rather than physical production cost.</w:t>
      </w:r>
    </w:p>
    <w:p>
      <w:pPr>
        <w:spacing w:before="0" w:after="160" w:line="360" w:lineRule="auto"/>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line="360" w:lineRule="auto"/>
        <w:ind w:firstLine="0"/>
        <w:jc w:val="both"/>
      </w:pPr>
      <w:bookmarkStart w:id="150" w:name="Figure1calstxt"/>
      <w:hyperlink w:anchor="Figure1cals" w:history="1">
        <w:r>
          <w:rPr>
            <w:color w:val="1F3864"/>
            <w:u w:val="single"/>
          </w:rPr>
          <w:t xml:space="preserve">Figure 1</w:t>
        </w:r>
      </w:hyperlink>
      <w:bookmarkEnd w:id="150"/>
      <w:r>
        <w:t xml:space="preserve"> summarizes the calibration strategy. The analysis proceeds by adjusting production costs and applying bilateral trade frictions.</w:t>
      </w:r>
    </w:p>
    <w:p>
      <w:pPr>
        <w:spacing w:before="0" w:after="160" w:line="360" w:lineRule="auto"/>
        <w:ind w:firstLine="0"/>
        <w:jc w:val="both"/>
      </w:pPr>
      <w:r>
        <w:t xml:space="preserve">Under observed electricity tariffs, the cheapest producer in our sample of 85 countries is Iran, followed by Turkmenistan and Ethiopia (Column (1) of </w:t>
      </w:r>
      <w:bookmarkStart w:id="112" w:name="Table3txt"/>
      <w:hyperlink w:anchor="Table3" w:history="1">
        <w:r>
          <w:rPr>
            <w:color w:val="1F3864"/>
            <w:u w:val="single"/>
          </w:rPr>
          <w:t xml:space="preserve">Table 3</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160" w:line="360" w:lineRule="auto"/>
        <w:ind w:firstLine="0"/>
        <w:jc w:val="both"/>
      </w:pPr>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1" w:name="IMF2025txt"/>
      <w:hyperlink w:anchor="IMF2025" w:history="1">
        <w:r>
          <w:rPr>
            <w:color w:val="1F3864"/>
            <w:u w:val="single"/>
          </w:rPr>
          <w:t xml:space="preserve">IMF 2025</w:t>
        </w:r>
      </w:hyperlink>
      <w:bookmarkEnd w:id="241"/>
      <w:r>
        <w:t xml:space="preserve">, </w:t>
      </w:r>
      <w:bookmarkStart w:id="223" w:name="Lazard2025txt"/>
      <w:hyperlink w:anchor="Lazard2025" w:history="1">
        <w:r>
          <w:rPr>
            <w:color w:val="1F3864"/>
            <w:u w:val="single"/>
          </w:rPr>
          <w:t xml:space="preserve">Lazard 2025</w:t>
        </w:r>
      </w:hyperlink>
      <w:bookmarkEnd w:id="223"/>
      <w:r>
        <w:t xml:space="preserve">). We apply this adjustment to 13 countries whose retail electricity prices fall below the estimated LRMC.</w:t>
      </w:r>
      <w:r>
        <w:rPr>
          <w:rStyle w:val="FootnoteReference"/>
        </w:rPr>
        <w:footnoteReference w:id="16"/>
      </w:r>
      <w:r>
        <w:t xml:space="preserve"> The subsidy gap ranges from $0.019 to $0.080/kWh. For Iran, a 100 MW IT-load data center would receive roughly $93 million per year in implicit fiscal transfer. At hyperscale scale, such subsidies are fiscally unsustainable. The resulting cost-recovery ranking (column (2) of </w:t>
      </w:r>
      <w:hyperlink w:anchor="Table3" w:history="1">
        <w:r>
          <w:rPr>
            <w:color w:val="1F3864"/>
            <w:u w:val="single"/>
          </w:rPr>
          <w:t xml:space="preserve">Table 3</w:t>
        </w:r>
      </w:hyperlink>
      <w:r>
        <w:t>) shifts the top of the ranking toward hydropower-rich countries: Kyrgyzstan, Canada, Ethiopia, Kosovo, and Tajikistan. Iran drops from first to 24th. 40 countries change their trade regimes.</w:t>
      </w:r>
    </w:p>
    <w:p>
      <w:pPr>
        <w:spacing w:before="0" w:after="160" w:line="360" w:lineRule="auto"/>
        <w:ind w:firstLine="0"/>
        <w:jc w:val="both"/>
      </w:pPr>
      <w:r>
        <w:t>The cost-recovery adjustment reshapes the rankings: Turkmenistan drops 16 places, Tajikistan drops 7. Countries whose low tariffs reflect subsidies rather than genuine resource advantage lose ground once fiscal transfers are removed. Because hardware dominates unit costs, the remaining cross-country variation is narrow. Cheap energy is necessary but not sufficient for FLOP exporting (</w:t>
      </w:r>
      <w:bookmarkStart w:id="141" w:name="TableA2txt"/>
      <w:hyperlink w:anchor="TableA2" w:history="1">
        <w:r>
          <w:rPr>
            <w:color w:val="1F3864"/>
            <w:u w:val="single"/>
          </w:rPr>
          <w:t xml:space="preserve">Table A2</w:t>
        </w:r>
      </w:hyperlink>
      <w:bookmarkEnd w:id="141"/>
      <w:r>
        <w:t xml:space="preserve"> extends the ranking to all countries).</w:t>
      </w:r>
    </w:p>
    <w:p>
      <w:pPr>
        <w:spacing w:before="0" w:after="160" w:line="360" w:lineRule="auto"/>
        <w:ind w:firstLine="0"/>
        <w:jc w:val="both"/>
      </w:pPr>
      <w:r>
        <w:t>The gap between cost advantage and actual investment is wide. Eight of the twenty cheapest producers have under 100 MW of installed capacity (e.g., Kyrgyzstan: rank 1, 5 MW), while countries outside the top twenty host large clusters (Netherlands: rank 59, 1,800 MW; Ireland: rank 84, 1,260 MW). The cost ranking identifies the feasible set of exporters, not a prediction of realized investment.</w:t>
      </w:r>
      <m:oMath>
        <m:sSub>
          <m:sSubPr/>
          <m:e>
            <m:r>
              <m:rPr>
                <m:sty m:val="i"/>
              </m:rPr>
              <w:rPr>
                <w:rFonts w:ascii="Cambria Math" w:hAnsi="Cambria Math"/>
              </w:rPr>
              <m:t xml:space="preserve">K̄</m:t>
            </m:r>
          </m:e>
          <m:sub>
            <m:r>
              <m:rPr>
                <m:sty m:val="i"/>
              </m:rPr>
              <w:rPr>
                <w:rFonts w:ascii="Cambria Math" w:hAnsi="Cambria Math"/>
              </w:rPr>
              <m:t xml:space="preserve">j</m:t>
            </m:r>
          </m:sub>
        </m:sSub>
      </m:oMath>
    </w:p>
    <w:p>
      <w:pPr>
        <w:spacing w:before="0" w:after="160" w:line="360" w:lineRule="auto"/>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reshapes trade patterns along geopolitical lines. Between allies with mutual data adequacy agreements (e.g., EU member states), the effective premium is near zero. For geopolitical adversaries, it is effectively infinite—the United States would not source training from Iran regardless of cost, and current sanctions make such transactions illegal. Column (3) of </w:t>
      </w:r>
      <w:hyperlink w:anchor="Table3" w:history="1">
        <w:r>
          <w:rPr>
            <w:color w:val="1F3864"/>
            <w:u w:val="single"/>
          </w:rPr>
          <w:t xml:space="preserve">Table 3</w:t>
        </w:r>
      </w:hyperlink>
      <w:r>
        <w:t xml:space="preserve"> reports the bilateral specification. The bilateral sovereignty premium is particularly powerful for inference, since the latency markup within Europe is moderate (10–40 ms, adding 1–3%), and even a small domestic preference can tip the decision away from importing.</w:t>
      </w:r>
    </w:p>
    <w:p>
      <w:pPr>
        <w:spacing w:before="0" w:after="160" w:line="360" w:lineRule="auto"/>
        <w:ind w:firstLine="0"/>
        <w:jc w:val="both"/>
      </w:pPr>
      <w:r>
        <w:rPr>
          <w:rFonts w:ascii="Times New Roman" w:hAnsi="Times New Roman"/>
          <w:b w:val="0"/>
          <w:i/>
          <w:sz w:val="24"/>
        </w:rPr>
        <w:t xml:space="preserve">Trade flows under capacity constraints. </w:t>
      </w:r>
      <w:r>
        <w:t xml:space="preserve">Weighing the sourcing patterns by demand shares from </w:t>
      </w:r>
      <w:bookmarkStart w:id="903" w:name="Eq4txt903"/>
      <w:hyperlink w:anchor="Eq4" w:history="1">
        <w:r>
          <w:rPr>
            <w:color w:val="1F3864"/>
            <w:u w:val="single"/>
          </w:rPr>
          <w:t xml:space="preserve">equation (4)</w:t>
        </w:r>
      </w:hyperlink>
      <w:bookmarkEnd w:id="903"/>
      <w:r>
        <w:t xml:space="preserve"> and applying capacity constraints,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$1.59</m:t>
        </m:r>
      </m:oMath>
      <w:r>
        <w:t xml:space="preserve">/hr, set by the marginal exporter’s cost. Training demand is served by 2 exporters (HHI = 0.9959), confirming Proposition 2. </w:t>
      </w:r>
      <w:r>
        <w:t xml:space="preserve">The largest shadow values of grid capacity are in Kyrgyzstan ($0.014/hr), indicating modest returns to capacity expansion. </w:t>
      </w:r>
      <w:r>
        <w:t>Under the bilateral sovereignty premium, most training demand shifts to domestic production, and the residual export market is served by a single exporter at $1.58/hr.</w:t>
      </w:r>
    </w:p>
    <w:p>
      <w:pPr>
        <w:spacing w:before="0" w:after="160" w:line="360" w:lineRule="auto"/>
        <w:ind w:firstLine="0"/>
        <w:jc w:val="both"/>
      </w:pPr>
      <w:r>
        <w:t xml:space="preserve">Inference exports are more dispersed, with the top five exporters being Canada (43%), Kyrgyzstan (26%), Kosovo (6%), the United Kingdom (1%), and Indonesia (0.9%), collectively accounting for 77% of cross-border inference demand (HHI = 0.2591). </w:t>
      </w:r>
    </w:p>
    <w:p>
      <w:pPr>
        <w:spacing w:before="0" w:after="160" w:line="360" w:lineRule="auto"/>
        <w:ind w:firstLine="0"/>
        <w:jc w:val="both"/>
      </w:pPr>
      <w:r>
        <w:t xml:space="preserve">Among developing countries, Kyrgyzstan captures 26% of global inference demand by serving China, Kazakhstan, and Uzbekistan, a large share for a country with a GDP of under $15 billion. </w:t>
      </w:r>
      <w:r>
        <w:t xml:space="preserve">Kosovo serves as an inference hub for 17 countries, accounting for 6% of global inference demand. </w:t>
      </w:r>
    </w:p>
    <w:p>
      <w:pPr>
        <w:spacing w:before="0" w:after="160" w:line="360" w:lineRule="auto"/>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For Germany, inference is sourced from Kosovo, for the United Kingdom domestically, and for France from Kosovo. For China, the cheapest foreign source of inference is Kyrgyzstan. Inference supply thus concentrates around latency-bounded regional hubs, each major market sourcing from a distinct nearby producer.</w:t>
      </w:r>
    </w:p>
    <w:p>
      <w:pPr>
        <w:spacing w:before="0" w:after="160" w:line="360" w:lineRule="auto"/>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 The ease with which modest premia eliminate trade explains the welfare costs documented below.</w:t>
      </w:r>
    </w:p>
    <w:p>
      <w:pPr>
        <w:spacing w:before="0" w:after="160" w:line="360" w:lineRule="auto"/>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1.5% of average compute spending, comparable to the 0.2–10% welfare losses from trade barriers estimated for goods trade (</w:t>
      </w:r>
      <w:bookmarkStart w:id="224" w:name="EatonKortum2002txt"/>
      <w:hyperlink w:anchor="EatonKortum2002" w:history="1">
        <w:r>
          <w:rPr>
            <w:color w:val="1F3864"/>
            <w:u w:val="single"/>
          </w:rPr>
          <w:t xml:space="preserve">Eaton and Kortum 2002</w:t>
        </w:r>
      </w:hyperlink>
      <w:bookmarkEnd w:id="224"/>
      <w:r>
        <w:t xml:space="preserve">, </w:t>
      </w:r>
      <w:bookmarkStart w:id="242" w:name="ACR2012txt"/>
      <w:hyperlink w:anchor="ACR2012" w:history="1">
        <w:r>
          <w:rPr>
            <w:color w:val="1F3864"/>
            <w:u w:val="single"/>
          </w:rPr>
          <w:t xml:space="preserve">Arkolakis et al. 2012</w:t>
        </w:r>
      </w:hyperlink>
      <w:bookmarkEnd w:id="242"/>
      <w:r>
        <w:t xml:space="preserve">). At current demand levels (approximately 6 × 10¹⁰ GPU-hours at $1.50/hr), this amounts to roughly $1.3 billion per year. This cost is small enough that governments with legitimate data-sovereignty objectives — military applications, health records, national statistical systems — may rationally prefer domestic production even at the efficiency loss the model documents.</w:t>
      </w:r>
    </w:p>
    <w:p>
      <w:pPr>
        <w:spacing w:before="0" w:after="160" w:line="360" w:lineRule="auto"/>
        <w:ind w:firstLine="0"/>
        <w:jc w:val="both"/>
      </w:pPr>
      <w:r>
        <w:t xml:space="preserve">The welfare implications of the sovereignty premium depend on whether it reflects genuine security externalities or regulatory overreach. Some domestic processing preference is justified for genuinely confidential data, but much of the current policy push extends the sovereignty logic to routine commercial computation. The welfare cost is nontrivial: the bilateral premium shifts most countries toward domestic production, forgoing the cost savings from specialization. The premium is also partly endogenous to the absence of credible international data governance: where enforceable data-protection agreements exist (as within the EU), the premium falls; where they do not, even commercially motivated buyers face rational reasons to prefer domestic processing. Developing countries that adopt broad data localization requirements risk foreclosing both import savings and regional export opportunities — the very specialization gains the model predicts. The </w:t>
      </w:r>
      <w:bookmarkStart w:id="225" w:name="WorldBank2025txt"/>
      <w:hyperlink w:anchor="WorldBank2025" w:history="1">
        <w:r>
          <w:rPr>
            <w:color w:val="1F3864"/>
            <w:u w:val="single"/>
          </w:rPr>
          <w:t xml:space="preserve">World Bank (2025)</w:t>
        </w:r>
      </w:hyperlink>
      <w:bookmarkEnd w:id="225"/>
      <w:r>
        <w:t xml:space="preserve"> frames this as a core policy trade-off: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160" w:line="360" w:lineRule="auto"/>
        <w:ind w:firstLine="0"/>
        <w:jc w:val="both"/>
      </w:pPr>
      <w:r>
        <w:t xml:space="preserve">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Fiscal sustainability is a concern: regulated tariffs in many developing countries cover operating expenses but not full capital cost, so exporting compute at scale while the domestic energy sector cannot maintain its capital stock may prove politically unsustainable. Finally, export controls, logistics costs, and local distribution markups can raise effective GPU prices by 5–15% in developing countries, substantially eroding the thin cost advantages documented in </w:t>
      </w:r>
      <w:hyperlink w:anchor="TableA1" w:history="1">
        <w:r>
          <w:rPr>
            <w:color w:val="1F3864"/>
            <w:u w:val="single"/>
          </w:rPr>
          <w:t xml:space="preserve">Table A1</w:t>
        </w:r>
      </w:hyperlink>
      <w:r>
        <w:t>. These omitted constraints all work against developing-country competitiveness; the calibration results should therefore be read as upper bounds.</w:t>
      </w:r>
    </w:p>
    <w:p>
      <w:pPr>
        <w:spacing w:before="0" w:after="160" w:line="360" w:lineRule="auto"/>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a hyperscale facility can be large relative to the host grid — a 100 MW data center would consume roughly 3% of Kyrgyzstan’s 3,800 MW national output. At multi-facility scale, data centers would compete with residential heating,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means cost advantages in </w:t>
      </w:r>
      <w:hyperlink w:anchor="TableA1" w:history="1">
        <w:r>
          <w:rPr>
            <w:color w:val="1F3864"/>
            <w:u w:val="single"/>
          </w:rPr>
          <w:t xml:space="preserve">Table A1</w:t>
        </w:r>
      </w:hyperlink>
      <w:r>
        <w:t xml:space="preserve"> are upper bounds. An extension with upward-sloping supply curves would compress these advantages.</w:t>
      </w:r>
    </w:p>
    <w:p>
      <w:pPr>
        <w:spacing w:before="0" w:after="160" w:line="360" w:lineRule="auto"/>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26" w:name="Calcaterra2024txt"/>
      <w:hyperlink w:anchor="Calcaterra2024" w:history="1">
        <w:r>
          <w:rPr>
            <w:color w:val="1F3864"/>
            <w:u w:val="single"/>
          </w:rPr>
          <w:t xml:space="preserve">Calcaterra et al. 2024</w:t>
        </w:r>
      </w:hyperlink>
      <w:bookmarkEnd w:id="226"/>
      <w:r>
        <w:t xml:space="preserve">). An OECD hyperscaler at 8% WACC faces hardware costs of $1.58/hr; a developing-country operator at 18% pays $1.87 — a $0.29 gap on hardware alone, roughly four times the electricity cost spread across the top 20 countries. If hyperscalers finance at their own WACC regardless of host country, baseline rankings hold. If locally financed, institutional weaknesses raise the cost of capital.</w:t>
      </w:r>
    </w:p>
    <w:p>
      <w:pPr>
        <w:spacing w:before="0" w:after="160" w:line="360" w:lineRule="auto"/>
        <w:ind w:firstLine="0"/>
        <w:jc w:val="both"/>
      </w:pPr>
      <w:r>
        <w:rPr>
          <w:rFonts w:ascii="Times New Roman" w:hAnsi="Times New Roman"/>
          <w:b w:val="0"/>
          <w:i/>
          <w:sz w:val="24"/>
        </w:rPr>
        <w:t xml:space="preserve">GPU upgrades. </w:t>
      </w:r>
      <w:r>
        <w:t>Successor GPUs (B200, shipping 2025) deliver roughly four times the training throughput at about 1 kW. Higher power draw widens the absolute electricity cost gap across countries, modestly strengthening developing-country comparative advantage. Countries operating older hardware must discount to compete, potentially eroding their cost advantage. Qualitative findings are robust to GPU generation choices.</w:t>
      </w:r>
    </w:p>
    <w:p>
      <w:pPr>
        <w:spacing w:before="0" w:after="160" w:line="360" w:lineRule="auto"/>
        <w:ind w:firstLine="0"/>
        <w:jc w:val="both"/>
      </w:pPr>
      <w:r>
        <w:rPr>
          <w:rFonts w:ascii="Times New Roman" w:hAnsi="Times New Roman"/>
          <w:b w:val="0"/>
          <w:i/>
          <w:sz w:val="24"/>
        </w:rPr>
        <w:t xml:space="preserve">Sensitivity analysis. </w:t>
      </w:r>
      <w:r>
        <w:t xml:space="preserve">Cost rankings are robust to substantial parameter variation. </w:t>
      </w:r>
      <w:bookmarkStart w:id="143" w:name="TableA3txt"/>
      <w:hyperlink w:anchor="TableA3" w:history="1">
        <w:r>
          <w:rPr>
            <w:color w:val="1F3864"/>
            <w:u w:val="single"/>
          </w:rPr>
          <w:t xml:space="preserve">Table A3</w:t>
        </w:r>
      </w:hyperlink>
      <w:bookmarkEnd w:id="143"/>
      <w:r>
        <w:t xml:space="preserve"> reports results across three robustness specifications, varying the hardware cost share.</w:t>
      </w:r>
    </w:p>
    <w:p>
      <w:pPr>
        <w:spacing w:before="0" w:after="160" w:line="360" w:lineRule="auto"/>
        <w:ind w:firstLine="0"/>
        <w:jc w:val="both"/>
      </w:pPr>
      <w:r>
        <w:t>The sensitivity results can be read as comparative statics. A rise in global hardware costs increases the globally-priced cost share, compressing the locally-penalized component and muting governance penalties for developing-country exporters. Conversely,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 An increase in local energy prices — whether from subsidy removal or demand-driven grid strain — erodes the cost advantage that defines FLOP-exporting potential, as the endogenous electricity price extension above illustrates.</w:t>
      </w:r>
    </w:p>
    <w:p>
      <w:pPr>
        <w:spacing w:before="0" w:after="160" w:line="360" w:lineRule="auto"/>
        <w:ind w:firstLine="0"/>
        <w:jc w:val="both"/>
      </w:pPr>
      <w:r>
        <w:rPr>
          <w:rFonts w:ascii="Times New Roman" w:hAnsi="Times New Roman"/>
          <w:b w:val="0"/>
          <w:i/>
          <w:sz w:val="24"/>
        </w:rPr>
        <w:t xml:space="preserve">Hardware cost share. </w:t>
      </w:r>
      <w:hyperlink w:anchor="TableA3" w:history="1">
        <w:r>
          <w:rPr>
            <w:color w:val="1F3864"/>
            <w:u w:val="single"/>
          </w:rPr>
          <w:t xml:space="preserve">Table A3</w:t>
        </w:r>
      </w:hyperlink>
      <w:r>
        <w:t xml:space="preserve"> reports sensitivity to the hardware cost share </w:t>
      </w:r>
      <m:oMath>
        <m:r>
          <m:rPr>
            <m:sty m:val="i"/>
          </m:rPr>
          <w:rPr>
            <w:rFonts w:ascii="Cambria Math" w:hAnsi="Cambria Math"/>
          </w:rPr>
          <m:t xml:space="preserve">ρ</m:t>
        </m:r>
      </m:oMath>
      <w:r>
        <w:t xml:space="preserve">. Varying </w:t>
      </w:r>
      <m:oMath>
        <m:r>
          <m:rPr>
            <m:sty m:val="i"/>
          </m:rPr>
          <w:rPr>
            <w:rFonts w:ascii="Cambria Math" w:hAnsi="Cambria Math"/>
          </w:rPr>
          <m:t xml:space="preserve">ρ</m:t>
        </m:r>
      </m:oMath>
      <w:r>
        <w:t xml:space="preserve"> by ±4 percent shifts the composition of the top fifteen. The qualitative result, that countries combining cheap energy with adequate governance retain their cost advantage, follows from hardware being globally priced, not from any particular parameter choice. The qualitative finding is robust across all specifications.</w:t>
      </w:r>
    </w:p>
    <w:p>
      <w:pPr>
        <w:spacing w:before="0" w:after="160" w:line="360" w:lineRule="auto"/>
        <w:ind w:firstLine="0"/>
        <w:jc w:val="both"/>
      </w:pPr>
      <w:r>
        <w:t>The comparative statics have clear economic intuition. The hardware cost share ρ is the most consequential parameter: when hardware’s share rises, the (identical) hardware cost dominates the unit cost, narrowing the cross-country spread and making electricity price differences less decisive — widening the door for developing-country entry.</w:t>
      </w:r>
    </w:p>
    <w:p>
      <w:pPr>
        <w:spacing w:before="0" w:after="160" w:line="360" w:lineRule="auto"/>
        <w:ind w:firstLine="0"/>
        <w:jc w:val="both"/>
      </w:pPr>
      <w:r>
        <w:rPr>
          <w:rFonts w:ascii="Times New Roman" w:hAnsi="Times New Roman"/>
          <w:b w:val="0"/>
          <w:i/>
          <w:sz w:val="24"/>
        </w:rPr>
        <w:t xml:space="preserve">Uniform sovereignty premium. </w:t>
      </w:r>
      <w:r>
        <w:t xml:space="preserve">As a robustness check, we compute the equilibrium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broadly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line="360" w:lineRule="auto"/>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so </w:t>
      </w:r>
      <w:hyperlink w:anchor="Table3" w:history="1">
        <w:r>
          <w:rPr>
            <w:color w:val="1F3864"/>
            <w:u w:val="single"/>
          </w:rPr>
          <w:t xml:space="preserve">Table 3</w:t>
        </w:r>
      </w:hyperlink>
      <w:r>
        <w:t xml:space="preserve"> omits a separate tiered column. The main impact of tiering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1"/>
      </w:pPr>
      <w:r>
        <w:rPr>
          <w:rFonts w:ascii="Times New Roman" w:hAnsi="Times New Roman"/>
          <w:b/>
          <w:color w:val="2F5496"/>
          <w:sz w:val="28"/>
        </w:rPr>
        <w:t>8. Conclusion</w:t>
      </w:r>
    </w:p>
    <w:p>
      <w:pPr>
        <w:spacing w:before="0" w:after="160" w:line="360" w:lineRule="auto"/>
        <w:ind w:firstLine="0"/>
        <w:jc w:val="both"/>
      </w:pPr>
      <w:r>
        <w:t xml:space="preserve">In this paper, we develop a capacity-constrained Ricardian model of compute trade, distinguishing latency-insensitive training from latency-sensitive inference and incorporating bilateral sovereignty premia. The calibration reveals that energy-rich developing countries hold a genuine cost advantage in compute production, but bilateral trust deficits eliminate that advantage for nearly all of them. Under the bilateral specification, only Canada exports; sovereignty premia shift every other country toward domestic production or importing, at a demand-weighted welfare cost of 1.5% of compute spending. Thus, countries best positioned to export compute on cost grounds are precisely those excluded by bilateral trust deficits. Because hardware accounts for roughly 90 percent of unit cost and is globally priced, the cross-country cost spread is only 12–20 percent, narrower than virtually any other tradable good. This makes compute both the easiest sector for developing countries to enter on cost grounds and the one most vulnerable to small frictions. Even a modest sovereignty premium, a slight governance penalty, or a higher cost of capital is sufficient to alter a country’s trade regime. </w:t>
      </w:r>
    </w:p>
    <w:p>
      <w:pPr>
        <w:spacing w:before="0" w:after="160" w:line="360" w:lineRule="auto"/>
        <w:ind w:firstLine="0"/>
        <w:jc w:val="both"/>
      </w:pPr>
      <w:r>
        <w:t xml:space="preserve">For developing countries, the results identify both the opportunity and the barrier. Countries that ranked among the cheapest FLOP producers under cost-recovery pricing could use their energy resource endowments to turn cheap power into exportable compute. But the bilateral specification shows that this opportunity is blocked by trust deficits. The binding constraint is therefore not electricity cost but institutional credibility: a country must be non-sanctioned, offer credible power purchase agreements, maintain adequate network connectivity, and present a regulatory environment stable enough for a hyperscaler to commit capital over a 15-year horizon. These are achievable conditions. FLOP exporting resembles aluminum smelting near cheap hydropower. Imported capital equipment transforms local electricity into an exportable product with minimal domestic labor,  but electricity, unlike oil or minerals, is renewable where generated from hydro, solar, or geothermal sources, and compute demand is growing faster than demand for any physical commodity. </w:t>
      </w:r>
    </w:p>
    <w:p>
      <w:pPr>
        <w:spacing w:before="0" w:after="160" w:line="360" w:lineRule="auto"/>
        <w:ind w:firstLine="0"/>
        <w:jc w:val="both"/>
      </w:pPr>
      <w:r>
        <w:t xml:space="preserve">The resource curse literature (</w:t>
      </w:r>
      <w:bookmarkStart w:id="227" w:name="vanderPloeg2011txt"/>
      <w:hyperlink w:anchor="vanderPloeg2011" w:history="1">
        <w:r>
          <w:rPr>
            <w:color w:val="1F3864"/>
            <w:u w:val="single"/>
          </w:rPr>
          <w:t xml:space="preserve">van der Ploeg 2011</w:t>
        </w:r>
      </w:hyperlink>
      <w:bookmarkEnd w:id="227"/>
      <w:r>
        <w:t xml:space="preserve">) warns, however, that concentrated export revenues can lead to Dutch disease, institutional degradation, and exposure to demand cycles. Large-scale compute export revenues could also appreciate the real exchange rate, crowding out other tradable sectors, a channel particularly relevant for small, open economies where data center electricity consumption rivals existing industrial load. Whether FLOP exporting countries share these risks depends on the revenue-sharing model they adopt: a sovereign wealth fund approach (Norway) versus elite capture (Dutch disease). </w:t>
      </w:r>
    </w:p>
    <w:p>
      <w:pPr>
        <w:spacing w:before="0" w:after="160" w:line="360" w:lineRule="auto"/>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 — though this rationale weakens for countries close to low-cost neighbors. For developing countries, the progression across Table 3 makes the policy challenge concrete: cheap energy gets a country into the cost-feasible set (column 2), but bilateral trust eliminates the opportunity (column 3). The binding constraints are not technological but institutional: non-sanctioned status, credible power purchase agreements, network connectivity, and a regulatory environment stable enough to justify a 15-year capital commitment.</w:t>
      </w:r>
    </w:p>
    <w:p>
      <w:pPr>
        <w:pStyle w:val="Heading1"/>
        <w:pageBreakBefore/>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hyperlink w:anchor="ABD2020txt" w:history="1">
        <w:r>
          <w:rPr>
            <w:color w:val="1F3864"/>
            <w:u w:val="single"/>
          </w:rPr>
          <w:t xml:space="preserve">Asian Development Bank. (2020). </w:t>
        </w:r>
      </w:hyperlink>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bookmarkStart w:id="504" w:name="BenzJaax2020"/>
      <w:r>
        <w:rPr>
          <w:color w:val="1F3864"/>
          <w:u w:val="single"/>
        </w:rPr>
        <w:t xml:space="preserve">Benz, S. and A. Jaax. (2020). </w:t>
      </w:r>
      <w:r>
        <w:t xml:space="preserve">“The Costs of Regulatory Barriers to Trade in Services: New Estimates of Ad Valorem Tariff Equivalents.” </w:t>
      </w:r>
      <w:r>
        <w:rPr>
          <w:i/>
        </w:rPr>
        <w:t>OECD Trade Policy Papers</w:t>
      </w:r>
      <w:r>
        <w:t>, No. 238. Paris: OECD Publishing.</w:t>
      </w:r>
      <w:bookmarkEnd w:id="504"/>
    </w:p>
    <w:p>
      <w:pPr>
        <w:spacing w:before="0" w:after="80" w:line="240" w:lineRule="exact"/>
        <w:ind w:hanging="720" w:left="720"/>
        <w:jc w:val="both"/>
      </w:pPr>
      <w:bookmarkStart w:id="505"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5"/>
    </w:p>
    <w:p>
      <w:pPr>
        <w:spacing w:before="0" w:after="80" w:line="240" w:lineRule="exact"/>
        <w:ind w:hanging="720" w:left="720"/>
        <w:jc w:val="both"/>
      </w:pPr>
      <w:bookmarkStart w:id="506"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06"/>
    </w:p>
    <w:p>
      <w:pPr>
        <w:spacing w:before="0" w:after="80" w:line="240" w:lineRule="exact"/>
        <w:ind w:hanging="720" w:left="720"/>
        <w:jc w:val="both"/>
      </w:pPr>
      <w:bookmarkStart w:id="507"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7"/>
    </w:p>
    <w:p>
      <w:pPr>
        <w:spacing w:before="0" w:after="80" w:line="240" w:lineRule="exact"/>
        <w:ind w:hanging="720" w:left="720"/>
        <w:jc w:val="both"/>
      </w:pPr>
      <w:bookmarkStart w:id="508"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8"/>
    </w:p>
    <w:p>
      <w:pPr>
        <w:spacing w:before="0" w:after="80" w:line="240" w:lineRule="exact"/>
        <w:ind w:hanging="720" w:left="720"/>
        <w:jc w:val="both"/>
      </w:pPr>
      <w:bookmarkStart w:id="509"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9"/>
    </w:p>
    <w:p>
      <w:pPr>
        <w:spacing w:before="0" w:after="80" w:line="240" w:lineRule="exact"/>
        <w:ind w:hanging="720" w:left="720"/>
        <w:jc w:val="both"/>
      </w:pPr>
      <w:bookmarkStart w:id="510" w:name="Deloitte2020"/>
      <w:hyperlink w:anchor="Deloitte2020txt" w:history="1">
        <w:r>
          <w:rPr>
            <w:color w:val="1F3864"/>
            <w:u w:val="single"/>
          </w:rPr>
          <w:t xml:space="preserve">Deloitte and Google. (2020). </w:t>
        </w:r>
      </w:hyperlink>
      <w:r>
        <w:t>“Milliseconds Make Millions.” Deloitte Digital and Google.</w:t>
      </w:r>
      <w:bookmarkEnd w:id="510"/>
    </w:p>
    <w:p>
      <w:pPr>
        <w:spacing w:before="0" w:after="80" w:line="240" w:lineRule="exact"/>
        <w:ind w:hanging="720" w:left="720"/>
        <w:jc w:val="both"/>
      </w:pPr>
      <w:bookmarkStart w:id="511"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1"/>
    </w:p>
    <w:p>
      <w:pPr>
        <w:spacing w:before="0" w:after="80" w:line="240" w:lineRule="exact"/>
        <w:ind w:hanging="720" w:left="720"/>
        <w:jc w:val="both"/>
      </w:pPr>
      <w:bookmarkStart w:id="512"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2"/>
    </w:p>
    <w:p>
      <w:pPr>
        <w:spacing w:before="0" w:after="80" w:line="240" w:lineRule="exact"/>
        <w:ind w:hanging="720" w:left="720"/>
        <w:jc w:val="both"/>
      </w:pPr>
      <w:bookmarkStart w:id="513"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3"/>
    </w:p>
    <w:p>
      <w:pPr>
        <w:spacing w:before="0" w:after="80" w:line="240" w:lineRule="exact"/>
        <w:ind w:hanging="720" w:left="720"/>
        <w:jc w:val="both"/>
      </w:pPr>
      <w:bookmarkStart w:id="514" w:name="EpochAI2024"/>
      <w:hyperlink w:anchor="EpochAI2024txt" w:history="1">
        <w:r>
          <w:rPr>
            <w:color w:val="1F3864"/>
            <w:u w:val="single"/>
          </w:rPr>
          <w:t xml:space="preserve">Epoch AI. (2024). </w:t>
        </w:r>
      </w:hyperlink>
      <w:r>
        <w:t>“The Training Compute of Notable AI Models.” epochai.org.</w:t>
      </w:r>
      <w:bookmarkEnd w:id="514"/>
    </w:p>
    <w:p>
      <w:pPr>
        <w:spacing w:before="0" w:after="80" w:line="240" w:lineRule="exact"/>
        <w:ind w:hanging="720" w:left="720"/>
        <w:jc w:val="both"/>
      </w:pPr>
      <w:bookmarkStart w:id="515"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5"/>
    </w:p>
    <w:p>
      <w:pPr>
        <w:spacing w:before="0" w:after="80" w:line="240" w:lineRule="exact"/>
        <w:ind w:hanging="720" w:left="720"/>
        <w:jc w:val="both"/>
      </w:pPr>
      <w:bookmarkStart w:id="516"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6"/>
    </w:p>
    <w:p>
      <w:pPr>
        <w:spacing w:before="0" w:after="80" w:line="240" w:lineRule="exact"/>
        <w:ind w:hanging="720" w:left="720"/>
        <w:jc w:val="both"/>
      </w:pPr>
      <w:bookmarkStart w:id="517"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7"/>
    </w:p>
    <w:p>
      <w:pPr>
        <w:spacing w:before="0" w:after="80" w:line="240" w:lineRule="exact"/>
        <w:ind w:hanging="720" w:left="720"/>
        <w:jc w:val="both"/>
      </w:pPr>
      <w:bookmarkStart w:id="518"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8"/>
    </w:p>
    <w:p>
      <w:pPr>
        <w:spacing w:before="0" w:after="80" w:line="240" w:lineRule="exact"/>
        <w:ind w:hanging="720" w:left="720"/>
        <w:jc w:val="both"/>
      </w:pPr>
      <w:bookmarkStart w:id="519"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19"/>
    </w:p>
    <w:p>
      <w:pPr>
        <w:spacing w:before="0" w:after="80" w:line="240" w:lineRule="exact"/>
        <w:ind w:hanging="720" w:left="720"/>
        <w:jc w:val="both"/>
      </w:pPr>
      <w:bookmarkStart w:id="520" w:name="Google2024"/>
      <w:hyperlink w:anchor="Google2024txt" w:history="1">
        <w:r>
          <w:rPr>
            <w:color w:val="1F3864"/>
            <w:u w:val="single"/>
          </w:rPr>
          <w:t xml:space="preserve">Google. </w:t>
        </w:r>
      </w:hyperlink>
      <w:r>
        <w:t xml:space="preserve">(2024). </w:t>
      </w:r>
      <w:r>
        <w:rPr>
          <w:i/>
        </w:rPr>
        <w:t>2024 Environmental Report</w:t>
      </w:r>
      <w:r>
        <w:t>. sustainability.google.</w:t>
      </w:r>
      <w:bookmarkEnd w:id="520"/>
    </w:p>
    <w:p>
      <w:pPr>
        <w:spacing w:before="0" w:after="80" w:line="240" w:lineRule="exact"/>
        <w:ind w:hanging="720" w:left="720"/>
        <w:jc w:val="both"/>
      </w:pPr>
      <w:bookmarkStart w:id="521"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1"/>
    </w:p>
    <w:p>
      <w:pPr>
        <w:spacing w:before="0" w:after="80" w:line="240" w:lineRule="exact"/>
        <w:ind w:hanging="720" w:left="720"/>
        <w:jc w:val="both"/>
      </w:pPr>
      <w:bookmarkStart w:id="522"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2"/>
    </w:p>
    <w:p>
      <w:pPr>
        <w:spacing w:before="0" w:after="80" w:line="240" w:lineRule="exact"/>
        <w:ind w:hanging="720" w:left="720"/>
        <w:jc w:val="both"/>
      </w:pPr>
      <w:bookmarkStart w:id="523"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3"/>
    </w:p>
    <w:p>
      <w:pPr>
        <w:spacing w:before="0" w:after="80" w:line="240" w:lineRule="exact"/>
        <w:ind w:hanging="720" w:left="720"/>
        <w:jc w:val="both"/>
      </w:pPr>
      <w:bookmarkStart w:id="524" w:name="IEA2025"/>
      <w:hyperlink w:anchor="IEA2025txt" w:history="1">
        <w:r>
          <w:rPr>
            <w:color w:val="1F3864"/>
            <w:u w:val="single"/>
          </w:rPr>
          <w:t xml:space="preserve">IEA. (2025). </w:t>
        </w:r>
      </w:hyperlink>
      <w:r>
        <w:t>“Energy Demand from AI.” Published online at iea.org.</w:t>
      </w:r>
      <w:bookmarkEnd w:id="524"/>
    </w:p>
    <w:p>
      <w:pPr>
        <w:spacing w:before="0" w:after="80" w:line="240" w:lineRule="exact"/>
        <w:ind w:hanging="720" w:left="720"/>
        <w:jc w:val="both"/>
      </w:pPr>
      <w:bookmarkStart w:id="525"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5"/>
    </w:p>
    <w:p>
      <w:pPr>
        <w:spacing w:before="0" w:after="80" w:line="240" w:lineRule="exact"/>
        <w:ind w:hanging="720" w:left="720"/>
        <w:jc w:val="both"/>
      </w:pPr>
      <w:bookmarkStart w:id="526"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6"/>
    </w:p>
    <w:p>
      <w:pPr>
        <w:spacing w:before="0" w:after="80" w:line="240" w:lineRule="exact"/>
        <w:ind w:hanging="720" w:left="720"/>
        <w:jc w:val="both"/>
      </w:pPr>
      <w:bookmarkStart w:id="527"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7"/>
    </w:p>
    <w:p>
      <w:pPr>
        <w:spacing w:before="0" w:after="80" w:line="240" w:lineRule="exact"/>
        <w:ind w:hanging="720" w:left="720"/>
        <w:jc w:val="both"/>
      </w:pPr>
      <w:bookmarkStart w:id="528"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8"/>
    </w:p>
    <w:p>
      <w:pPr>
        <w:spacing w:before="0" w:after="80" w:line="240" w:lineRule="exact"/>
        <w:ind w:hanging="720" w:left="720"/>
        <w:jc w:val="both"/>
      </w:pPr>
      <w:bookmarkStart w:id="529"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29"/>
    </w:p>
    <w:p>
      <w:pPr>
        <w:spacing w:before="0" w:after="80" w:line="240" w:lineRule="exact"/>
        <w:ind w:hanging="720" w:left="720"/>
        <w:jc w:val="both"/>
      </w:pPr>
      <w:bookmarkStart w:id="530"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28" w:name="WorldBank2024txt"/>
      <w:hyperlink w:anchor="WorldBank2024" w:history="1">
        <w:r>
          <w:rPr>
            <w:i/>
            <w:color w:val="1F3864"/>
            <w:u w:val="single"/>
          </w:rPr>
          <w:t xml:space="preserve">World Bank</w:t>
        </w:r>
      </w:hyperlink>
      <w:bookmarkEnd w:id="228"/>
      <w:r>
        <w:rPr>
          <w:i/>
        </w:rPr>
        <w:t xml:space="preserve"> Economic Review</w:t>
      </w:r>
      <w:r>
        <w:t>, 15(3): 451–479.</w:t>
      </w:r>
      <w:bookmarkEnd w:id="530"/>
    </w:p>
    <w:p>
      <w:pPr>
        <w:spacing w:before="0" w:after="80" w:line="240" w:lineRule="exact"/>
        <w:ind w:hanging="720" w:left="720"/>
        <w:jc w:val="both"/>
      </w:pPr>
      <w:bookmarkStart w:id="531"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1"/>
    </w:p>
    <w:p>
      <w:pPr>
        <w:spacing w:before="0" w:after="80" w:line="240" w:lineRule="exact"/>
        <w:ind w:hanging="720" w:left="720"/>
        <w:jc w:val="both"/>
      </w:pPr>
      <w:bookmarkStart w:id="532" w:name="NVIDIA2024"/>
      <w:r>
        <w:rPr>
          <w:color w:val="1F3864"/>
          <w:u w:val="single"/>
        </w:rPr>
        <w:t xml:space="preserve">NVIDIA. </w:t>
      </w:r>
      <w:r>
        <w:t xml:space="preserve">(2024). </w:t>
      </w:r>
      <w:r>
        <w:rPr>
          <w:i/>
        </w:rPr>
        <w:t>NVIDIA H100 Tensor Core GPU Datasheet</w:t>
      </w:r>
      <w:r>
        <w:t>. nvidia.com.</w:t>
      </w:r>
      <w:bookmarkEnd w:id="532"/>
    </w:p>
    <w:p>
      <w:pPr>
        <w:spacing w:before="0" w:after="80" w:line="240" w:lineRule="exact"/>
        <w:ind w:hanging="720" w:left="720"/>
        <w:jc w:val="both"/>
      </w:pPr>
      <w:bookmarkStart w:id="533"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3"/>
    </w:p>
    <w:p>
      <w:pPr>
        <w:spacing w:before="0" w:after="80" w:line="240" w:lineRule="exact"/>
        <w:ind w:hanging="720" w:left="720"/>
        <w:jc w:val="both"/>
      </w:pPr>
      <w:bookmarkStart w:id="534"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4"/>
    </w:p>
    <w:p>
      <w:pPr>
        <w:spacing w:before="0" w:after="80" w:line="240" w:lineRule="exact"/>
        <w:ind w:hanging="720" w:left="720"/>
        <w:jc w:val="both"/>
      </w:pPr>
      <w:bookmarkStart w:id="535" w:name="Sastry2024"/>
      <w:hyperlink w:anchor="Sastry2024txt" w:history="1">
        <w:r>
          <w:rPr>
            <w:color w:val="1F3864"/>
            <w:u w:val="single"/>
          </w:rPr>
          <w:t xml:space="preserve">Sastry, G., L. Heim, et al. (2024). </w:t>
        </w:r>
      </w:hyperlink>
      <w:r>
        <w:t>“Computing Power and the Governance of Artificial Intelligence.” arXiv:2402.08797.</w:t>
      </w:r>
      <w:bookmarkEnd w:id="535"/>
    </w:p>
    <w:p>
      <w:pPr>
        <w:spacing w:before="0" w:after="80" w:line="240" w:lineRule="exact"/>
        <w:ind w:hanging="720" w:left="720"/>
        <w:jc w:val="both"/>
      </w:pPr>
      <w:bookmarkStart w:id="536"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6"/>
    </w:p>
    <w:p>
      <w:pPr>
        <w:spacing w:before="0" w:after="80" w:line="240" w:lineRule="exact"/>
        <w:ind w:hanging="720" w:left="720"/>
        <w:jc w:val="both"/>
      </w:pPr>
      <w:bookmarkStart w:id="537"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7"/>
    </w:p>
    <w:p>
      <w:pPr>
        <w:spacing w:before="0" w:after="80" w:line="240" w:lineRule="exact"/>
        <w:ind w:hanging="720" w:left="720"/>
        <w:jc w:val="both"/>
      </w:pPr>
      <w:bookmarkStart w:id="538"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38"/>
    </w:p>
    <w:p>
      <w:pPr>
        <w:spacing w:before="0" w:after="80" w:line="240" w:lineRule="exact"/>
        <w:ind w:hanging="720" w:left="720"/>
        <w:jc w:val="both"/>
      </w:pPr>
      <w:bookmarkStart w:id="539"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39"/>
    </w:p>
    <w:p>
      <w:pPr>
        <w:spacing w:before="0" w:after="80" w:line="240" w:lineRule="exact"/>
        <w:ind w:hanging="720" w:left="720"/>
        <w:jc w:val="both"/>
      </w:pPr>
      <w:bookmarkStart w:id="540"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0"/>
    </w:p>
    <w:p>
      <w:pPr>
        <w:spacing w:before="0" w:after="80" w:line="240" w:lineRule="exact"/>
        <w:ind w:hanging="720" w:left="720"/>
        <w:jc w:val="both"/>
      </w:pPr>
      <w:bookmarkStart w:id="541"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1"/>
    </w:p>
    <w:p>
      <w:pPr>
        <w:spacing w:before="0" w:after="80" w:line="240" w:lineRule="exact"/>
        <w:ind w:hanging="720" w:left="720"/>
        <w:jc w:val="both"/>
      </w:pPr>
      <w:bookmarkStart w:id="542"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29" w:name="WorldBank2024txt"/>
      <w:hyperlink w:anchor="WorldBank2024" w:history="1">
        <w:r>
          <w:rPr>
            <w:color w:val="1F3864"/>
            <w:u w:val="single"/>
          </w:rPr>
          <w:t xml:space="preserve">World Bank</w:t>
        </w:r>
      </w:hyperlink>
      <w:bookmarkEnd w:id="229"/>
      <w:r>
        <w:t xml:space="preserve">.</w:t>
      </w:r>
      <w:bookmarkEnd w:id="542"/>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Calibration strategy</w:t>
      </w:r>
    </w:p>
    <w:p>
      <w:pPr>
        <w:spacing w:before="80" w:after="80"/>
        <w:jc w:val="center"/>
      </w:pPr>
      <w:r>
        <w:drawing>
          <wp:inline xmlns:a="http://schemas.openxmlformats.org/drawingml/2006/main" xmlns:pic="http://schemas.openxmlformats.org/drawingml/2006/picture">
            <wp:extent cx="5943600" cy="5431221"/>
            <wp:docPr id="1" name="Picture 1"/>
            <wp:cNvGraphicFramePr>
              <a:graphicFrameLocks noChangeAspect="1"/>
            </wp:cNvGraphicFramePr>
            <a:graphic>
              <a:graphicData uri="http://schemas.openxmlformats.org/drawingml/2006/picture">
                <pic:pic>
                  <pic:nvPicPr>
                    <pic:cNvPr id="0" name="calibration_strategy_v31.png"/>
                    <pic:cNvPicPr/>
                  </pic:nvPicPr>
                  <pic:blipFill>
                    <a:blip r:embed="rId10"/>
                    <a:stretch>
                      <a:fillRect/>
                    </a:stretch>
                  </pic:blipFill>
                  <pic:spPr>
                    <a:xfrm>
                      <a:off x="0" y="0"/>
                      <a:ext cx="5943600" cy="5431221"/>
                    </a:xfrm>
                    <a:prstGeom prst="rect"/>
                  </pic:spPr>
                </pic:pic>
              </a:graphicData>
            </a:graphic>
          </wp:inline>
        </w:drawing>
      </w:r>
    </w:p>
    <w:p>
      <w:pPr>
        <w:spacing w:before="80" w:after="120" w:line="240" w:lineRule="auto"/>
        <w:ind w:firstLine="0" w:left="720" w:right="720"/>
        <w:jc w:val="both"/>
      </w:pPr>
      <w:r>
        <w:rPr>
          <w:b/>
          <w:sz w:val="20"/>
        </w:rPr>
        <w:t xml:space="preserve">Notes: </w:t>
      </w:r>
      <w:r>
        <w:rPr>
          <w:sz w:val="20"/>
        </w:rPr>
        <w:t>Step 1 adjusts production costs from observed tariffs to cost-recovery pricing. Step 2 applies bilateral sovereignty premiums.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Borders>
              <w:bottom w:val="double" w:sz="4" w:space="0" w:color="auto"/>
            </w:tcBorders>
          </w:tcPr>
          <w:p>
            <w:pPr>
              <w:jc w:val="left"/>
              <w:spacing w:before="10" w:after="10"/>
            </w:pPr>
            <w:r/>
            <w:r>
              <w:rPr>
                <w:rFonts w:ascii="Times New Roman" w:hAnsi="Times New Roman"/>
                <w:sz w:val="20"/>
              </w:rPr>
              <w:t>Total global compute demand</w:t>
            </w:r>
          </w:p>
        </w:tc>
        <w:tc>
          <w:tcPr>
            <w:tcW w:type="dxa" w:w="864"/>
            <w:tcBorders>
              <w:bottom w:val="double" w:sz="4" w:space="0" w:color="auto"/>
            </w:tcBorders>
          </w:tcPr>
          <w:p>
            <w:pPr>
              <w:jc w:val="center"/>
              <w:spacing w:before="10" w:after="10"/>
            </w:pPr>
            <w:r/>
            <w:r>
              <w:rPr>
                <w:rFonts w:ascii="Times New Roman" w:hAnsi="Times New Roman"/>
                <w:sz w:val="20"/>
              </w:rPr>
              <w:t>Q</w:t>
            </w:r>
          </w:p>
        </w:tc>
        <w:tc>
          <w:tcPr>
            <w:tcW w:type="dxa" w:w="2160"/>
            <w:tcBorders>
              <w:bottom w:val="double" w:sz="4" w:space="0" w:color="auto"/>
            </w:tcBorders>
          </w:tcPr>
          <w:p>
            <w:pPr>
              <w:jc w:val="center"/>
              <w:spacing w:before="10" w:after="10"/>
            </w:pPr>
            <w:r/>
            <w:r>
              <w:rPr>
                <w:rFonts w:ascii="Times New Roman" w:hAnsi="Times New Roman"/>
                <w:sz w:val="20"/>
              </w:rPr>
              <w:t>6×10¹⁰ GPU-hr/yr</w:t>
            </w:r>
          </w:p>
        </w:tc>
        <w:tc>
          <w:tcPr>
            <w:tcW w:type="dxa" w:w="2592"/>
            <w:tcBorders>
              <w:bottom w:val="double" w:sz="4" w:space="0" w:color="auto"/>
            </w:tcBorders>
          </w:tcPr>
          <w:p>
            <w:pPr>
              <w:jc w:val="left"/>
              <w:spacing w:before="10" w:after="10"/>
            </w:pPr>
            <w:r/>
            <w:hyperlink w:anchor="EpochAI2024" w:history="1">
              <w:r>
                <w:rPr>
                  <w:sz w:val="20"/>
                  <w:rFonts w:ascii="Times New Roman" w:hAnsi="Times New Roman"/>
                  <w:color w:val="1F3864"/>
                  <w:u w:val="single"/>
                </w:rPr>
                <w:t xml:space="preserve">Epoch AI (2024)</w:t>
              </w:r>
            </w:hyperlink>
          </w:p>
        </w:tc>
      </w:tr>
    </w:tbl>
    <w:p>
      <w:pPr>
        <w:spacing w:before="8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Sanctions exposure is captured by the bilateral sovereignty premium λᵢⱼ (equation 2).</w:t>
      </w:r>
    </w:p>
    <w:p>
      <w:pPr>
        <w:spacing w:before="0" w:after="60" w:line="360" w:lineRule="auto"/>
        <w:ind w:firstLine="0"/>
        <w:jc w:val="both"/>
      </w:pPr>
      <w:bookmarkStart w:id="111" w:name="Table3"/>
      <w:hyperlink w:anchor="Table3txt" w:history="1">
        <w:r>
          <w:rPr>
            <w:b/>
            <w:sz w:val="20"/>
            <w:color w:val="1F3864"/>
            <w:u w:val="single"/>
          </w:rPr>
          <w:t>Table 3</w:t>
        </w:r>
      </w:hyperlink>
      <w:bookmarkEnd w:id="111"/>
      <w:r>
        <w:rPr>
          <w:b/>
          <w:sz w:val="20"/>
        </w:rPr>
        <w:t>. Country rankings under alternative cost and sovereignty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(3) Bilateral</w:t>
            </w:r>
          </w:p>
        </w:tc>
      </w:tr>
      <w:tr>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Pⱼₖ</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r>
      <w:tr>
        <w:tc>
          <w:tcPr>
            <w:tcW w:w="1400" w:type="dxa"/>
          </w:tcPr>
          <w:p>
            <w:pPr>
              <w:jc w:val="left"/>
              <w:spacing w:before="10" w:after="10"/>
            </w:pPr>
            <w:r/>
            <w:r>
              <w:rPr>
                <w:rFonts w:ascii="Times New Roman" w:hAnsi="Times New Roman"/>
                <w:sz w:val="16"/>
              </w:rPr>
              <w:t>Iran</w:t>
            </w:r>
          </w:p>
        </w:tc>
        <w:tc>
          <w:tcPr>
            <w:tcW w:w="550" w:type="dxa"/>
          </w:tcPr>
          <w:p>
            <w:pPr>
              <w:jc w:val="center"/>
              <w:spacing w:before="10" w:after="10"/>
            </w:pPr>
            <w:r/>
            <w:r>
              <w:rPr>
                <w:rFonts w:ascii="Times New Roman" w:hAnsi="Times New Roman"/>
                <w:sz w:val="16"/>
              </w:rPr>
              <w:t>$1.56</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r>
      <w:tr>
        <w:tc>
          <w:tcPr>
            <w:tcW w:w="1400" w:type="dxa"/>
          </w:tcPr>
          <w:p>
            <w:pPr>
              <w:jc w:val="left"/>
              <w:spacing w:before="10" w:after="10"/>
            </w:pPr>
            <w:r/>
            <w:r>
              <w:rPr>
                <w:rFonts w:ascii="Times New Roman" w:hAnsi="Times New Roman"/>
                <w:sz w:val="16"/>
              </w:rPr>
              <w:t>Turkmenistan</w:t>
            </w:r>
          </w:p>
        </w:tc>
        <w:tc>
          <w:tcPr>
            <w:tcW w:w="550" w:type="dxa"/>
          </w:tcPr>
          <w:p>
            <w:pPr>
              <w:jc w:val="center"/>
              <w:spacing w:before="10" w:after="10"/>
            </w:pPr>
            <w:r/>
            <w:r>
              <w:rPr>
                <w:rFonts w:ascii="Times New Roman" w:hAnsi="Times New Roman"/>
                <w:sz w:val="16"/>
              </w:rPr>
              <w:t>$1.57</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USA</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Australia</w:t>
            </w:r>
          </w:p>
        </w:tc>
        <w:tc>
          <w:tcPr>
            <w:tcW w:w="5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EE†</w:t>
            </w:r>
          </w:p>
        </w:tc>
      </w:tr>
      <w:tr>
        <w:tc>
          <w:tcPr>
            <w:tcW w:w="1400" w:type="dxa"/>
          </w:tcPr>
          <w:p>
            <w:pPr>
              <w:jc w:val="left"/>
              <w:spacing w:before="10" w:after="10"/>
            </w:pPr>
            <w:r/>
            <w:r>
              <w:rPr>
                <w:rFonts w:ascii="Times New Roman" w:hAnsi="Times New Roman"/>
                <w:sz w:val="16"/>
              </w:rPr>
              <w:t>Egypt</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$1.66</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$1.66</w:t>
            </w:r>
          </w:p>
        </w:tc>
        <w:tc>
          <w:tcPr>
            <w:tcW w:w="450" w:type="dxa"/>
          </w:tcPr>
          <w:p>
            <w:pPr>
              <w:jc w:val="center"/>
              <w:spacing w:before="10" w:after="10"/>
            </w:pPr>
            <w:r/>
            <w:r>
              <w:rPr>
                <w:rFonts w:ascii="Times New Roman" w:hAnsi="Times New Roman"/>
                <w:sz w:val="16"/>
              </w:rPr>
              <w:t>IE</w:t>
            </w:r>
          </w:p>
        </w:tc>
      </w:tr>
      <w:tr>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China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Sweden</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IE</w:t>
            </w:r>
          </w:p>
        </w:tc>
      </w:tr>
      <w:tr>
        <w:tc>
          <w:tcPr>
            <w:tcW w:w="1400" w:type="dxa"/>
          </w:tcPr>
          <w:p>
            <w:pPr>
              <w:jc w:val="left"/>
              <w:spacing w:before="10" w:after="10"/>
            </w:pPr>
            <w:r/>
            <w:r>
              <w:rPr>
                <w:rFonts w:ascii="Times New Roman" w:hAnsi="Times New Roman"/>
                <w:sz w:val="16"/>
              </w:rPr>
              <w:t>Russia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South Africa</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South Korea</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Nigeria</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Russia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Mexico</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China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Qatar</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Iceland</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Brazil</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Turkmenistan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Egypt</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UK</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Sweden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New Zealand</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Kazakhstan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India</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France</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Uzbekistan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Indonesia</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Kazakhstan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Philippines</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Iran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Borders>
              <w:bottom w:val="double" w:sz="4" w:space="0" w:color="auto"/>
            </w:tcBorders>
            <w:tcW w:w="1400" w:type="dxa"/>
          </w:tcPr>
          <w:p>
            <w:pPr>
              <w:jc w:val="left"/>
              <w:spacing w:before="10" w:after="10"/>
            </w:pPr>
            <w:r/>
            <w:r>
              <w:rPr>
                <w:rFonts w:ascii="Times New Roman" w:hAnsi="Times New Roman"/>
                <w:sz w:val="16"/>
              </w:rPr>
              <w:t>Saudi Arabia</w:t>
            </w:r>
          </w:p>
        </w:tc>
        <w:tc>
          <w:tcPr>
            <w:tcBorders>
              <w:bottom w:val="double" w:sz="4" w:space="0" w:color="auto"/>
            </w:tcBorders>
            <w:tcW w:w="550" w:type="dxa"/>
          </w:tcPr>
          <w:p>
            <w:pPr>
              <w:jc w:val="center"/>
              <w:spacing w:before="10" w:after="10"/>
            </w:pPr>
            <w:r/>
            <w:r>
              <w:rPr>
                <w:rFonts w:ascii="Times New Roman" w:hAnsi="Times New Roman"/>
                <w:sz w:val="16"/>
              </w:rPr>
              <w:t>$1.62</w:t>
            </w:r>
          </w:p>
        </w:tc>
        <w:tc>
          <w:tcPr>
            <w:tcBorders>
              <w:bottom w:val="double" w:sz="4" w:space="0" w:color="auto"/>
            </w:tcBorders>
            <w:tcW w:w="450" w:type="dxa"/>
          </w:tcPr>
          <w:p>
            <w:pPr>
              <w:jc w:val="center"/>
              <w:spacing w:before="10" w:after="10"/>
            </w:pPr>
            <w:r/>
            <w:r>
              <w:rPr>
                <w:rFonts w:ascii="Times New Roman" w:hAnsi="Times New Roman"/>
                <w:sz w:val="16"/>
              </w:rPr>
              <w:t>II</w:t>
            </w:r>
          </w:p>
        </w:tc>
        <w:tc>
          <w:tcPr>
            <w:tcBorders>
              <w:bottom w:val="double" w:sz="4" w:space="0" w:color="auto"/>
            </w:tcBorders>
            <w:tcW w:w="1400" w:type="dxa"/>
          </w:tcPr>
          <w:p>
            <w:pPr>
              <w:jc w:val="left"/>
              <w:spacing w:before="10" w:after="10"/>
            </w:pPr>
            <w:r/>
            <w:r>
              <w:rPr>
                <w:rFonts w:ascii="Times New Roman" w:hAnsi="Times New Roman"/>
                <w:sz w:val="16"/>
              </w:rPr>
              <w:t>Georgia</w:t>
            </w:r>
          </w:p>
        </w:tc>
        <w:tc>
          <w:tcPr>
            <w:tcBorders>
              <w:bottom w:val="double" w:sz="4" w:space="0" w:color="auto"/>
            </w:tcBorders>
            <w:tcW w:w="550" w:type="dxa"/>
          </w:tcPr>
          <w:p>
            <w:pPr>
              <w:jc w:val="center"/>
              <w:spacing w:before="10" w:after="10"/>
            </w:pPr>
            <w:r/>
            <w:r>
              <w:rPr>
                <w:rFonts w:ascii="Times New Roman" w:hAnsi="Times New Roman"/>
                <w:sz w:val="16"/>
              </w:rPr>
              <w:t>$1.63</w:t>
            </w:r>
          </w:p>
        </w:tc>
        <w:tc>
          <w:tcPr>
            <w:tcBorders>
              <w:bottom w:val="double" w:sz="4" w:space="0" w:color="auto"/>
            </w:tcBorders>
            <w:tcW w:w="450" w:type="dxa"/>
          </w:tcPr>
          <w:p>
            <w:pPr>
              <w:jc w:val="center"/>
              <w:spacing w:before="10" w:after="10"/>
            </w:pPr>
            <w:r/>
            <w:r>
              <w:rPr>
                <w:rFonts w:ascii="Times New Roman" w:hAnsi="Times New Roman"/>
                <w:sz w:val="16"/>
              </w:rPr>
              <w:t>II</w:t>
            </w:r>
          </w:p>
        </w:tc>
        <w:tc>
          <w:tcPr>
            <w:tcBorders>
              <w:bottom w:val="double" w:sz="4" w:space="0" w:color="auto"/>
            </w:tcBorders>
            <w:tcW w:w="1400" w:type="dxa"/>
          </w:tcPr>
          <w:p>
            <w:pPr>
              <w:jc w:val="left"/>
              <w:spacing w:before="10" w:after="10"/>
            </w:pPr>
            <w:r/>
            <w:r>
              <w:rPr>
                <w:rFonts w:ascii="Times New Roman" w:hAnsi="Times New Roman"/>
                <w:sz w:val="16"/>
              </w:rPr>
              <w:t>Poland</w:t>
            </w:r>
          </w:p>
        </w:tc>
        <w:tc>
          <w:tcPr>
            <w:tcBorders>
              <w:bottom w:val="double" w:sz="4" w:space="0" w:color="auto"/>
            </w:tcBorders>
            <w:tcW w:w="550" w:type="dxa"/>
          </w:tcPr>
          <w:p>
            <w:pPr>
              <w:jc w:val="center"/>
              <w:spacing w:before="10" w:after="10"/>
            </w:pPr>
            <w:r/>
            <w:r>
              <w:rPr>
                <w:rFonts w:ascii="Times New Roman" w:hAnsi="Times New Roman"/>
                <w:sz w:val="16"/>
              </w:rPr>
              <w:t>$1.69</w:t>
            </w:r>
          </w:p>
        </w:tc>
        <w:tc>
          <w:tcPr>
            <w:tcBorders>
              <w:bottom w:val="double" w:sz="4" w:space="0" w:color="auto"/>
            </w:tcBorders>
            <w:tcW w:w="450" w:type="dxa"/>
          </w:tcPr>
          <w:p>
            <w:pPr>
              <w:jc w:val="center"/>
              <w:spacing w:before="10" w:after="10"/>
            </w:pPr>
            <w:r/>
            <w:r>
              <w:rPr>
                <w:rFonts w:ascii="Times New Roman" w:hAnsi="Times New Roman"/>
                <w:sz w:val="16"/>
              </w:rPr>
              <w:t>II</w:t>
            </w:r>
          </w:p>
        </w:tc>
      </w:tr>
    </w:tbl>
    <w:p>
      <w:pPr>
        <w:spacing w:before="4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Top 25 countries by delivered price under each specification. Pⱼ = delivered price from seller j ($/GPU-hr) from </w:t>
      </w:r>
      <w:bookmarkStart w:id="904" w:name="Eq3txt904"/>
      <w:hyperlink w:anchor="Eq3" w:history="1">
        <w:r>
          <w:rPr>
            <w:rFonts w:ascii="Times New Roman" w:hAnsi="Times New Roman"/>
            <w:sz w:val="20"/>
            <w:color w:val="1F3864"/>
            <w:u w:val="single"/>
          </w:rPr>
          <w:t xml:space="preserve">equation (3)</w:t>
        </w:r>
      </w:hyperlink>
      <w:bookmarkEnd w:id="904"/>
      <w:r>
        <w:rPr>
          <w:rFonts w:ascii="Times New Roman" w:hAnsi="Times New Roman"/>
          <w:sz w:val="20"/>
        </w:rPr>
        <w:t xml:space="preserve">. Under specs (1)–(2), λ = 0, so Pⱼ = cⱼ. Under spec (3), Pⱼₖ = cⱼ(1 + λⱼₖ) where k = United States. EE = training + inference exporter; IE = inference exporter; ID = hybrid (imports training, domestic inference); DD = domestic producer; II = full importer. (1) Raw: observed electricity tariffs. (2) Cost-recovery: subsidized tariffs replaced with LRMC. (3) Bilateral: cost-recovery prices with bilateral sovereignty premium λⱼₖ from equation (2); countries ranked by delivered price to US buyer. * = sanctioned/GPU-blocked. † = developing-country exporter.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Style w:val="Heading1"/>
      </w:pPr>
      <w:r>
        <w:rPr>
          <w:rFonts w:ascii="Times New Roman" w:hAnsi="Times New Roman"/>
          <w:b/>
          <w:color w:val="2F5496"/>
          <w:sz w:val="28"/>
        </w:rPr>
        <w:t>Appendix A</w:t>
      </w:r>
    </w:p>
    <w:p>
      <w:pPr>
        <w:spacing w:before="0" w:after="60" w:line="360" w:lineRule="auto"/>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5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700" w:type="dxa"/>
          </w:tcPr>
          <w:p>
            <w:pPr>
              <w:jc w:val="center"/>
              <w:spacing w:before="10" w:after="10"/>
            </w:pPr>
            <w:r/>
            <w:r>
              <w:rPr>
                <w:b/>
                <w:sz w:val="16"/>
              </w:rPr>
              <w:t>cⱼ</w:t>
              <w:br/>
              <w:t>($/hr)</w:t>
            </w:r>
          </w:p>
        </w:tc>
        <w:tc>
          <w:tcPr>
            <w:tcBorders>
              <w:top w:val="single" w:sz="4" w:space="0" w:color="auto"/>
              <w:bottom w:val="single" w:sz="4" w:space="0" w:color="auto"/>
            </w:tcBorders>
            <w:tcW w:w="75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5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5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700" w:type="dxa"/>
          </w:tcPr>
          <w:p>
            <w:pPr>
              <w:jc w:val="right"/>
              <w:spacing w:before="10" w:after="10"/>
            </w:pPr>
            <w:r/>
            <w:r>
              <w:rPr>
                <w:sz w:val="16"/>
              </w:rPr>
              <w:t>$1.44</w:t>
            </w:r>
          </w:p>
        </w:tc>
        <w:tc>
          <w:tcPr>
            <w:tcW w:w="75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5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5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700" w:type="dxa"/>
          </w:tcPr>
          <w:p>
            <w:pPr>
              <w:jc w:val="right"/>
              <w:spacing w:before="10" w:after="10"/>
            </w:pPr>
            <w:r/>
            <w:r>
              <w:rPr>
                <w:sz w:val="16"/>
              </w:rPr>
              <w:t>$1.46</w:t>
            </w:r>
          </w:p>
        </w:tc>
        <w:tc>
          <w:tcPr>
            <w:tcW w:w="75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5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5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5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$1.46</w:t>
            </w:r>
          </w:p>
        </w:tc>
        <w:tc>
          <w:tcPr>
            <w:tcW w:w="75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5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5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5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5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$1.47</w:t>
            </w:r>
          </w:p>
        </w:tc>
        <w:tc>
          <w:tcPr>
            <w:tcW w:w="75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5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700" w:type="dxa"/>
          </w:tcPr>
          <w:p>
            <w:pPr>
              <w:jc w:val="right"/>
              <w:spacing w:before="10" w:after="10"/>
            </w:pPr>
            <w:r/>
            <w:r>
              <w:rPr>
                <w:sz w:val="16"/>
              </w:rPr>
              <w:t>$1.47</w:t>
            </w:r>
          </w:p>
        </w:tc>
        <w:tc>
          <w:tcPr>
            <w:tcW w:w="75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5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$1.42</w:t>
            </w:r>
          </w:p>
        </w:tc>
        <w:tc>
          <w:tcPr>
            <w:tcW w:w="75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5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5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5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700" w:type="dxa"/>
          </w:tcPr>
          <w:p>
            <w:pPr>
              <w:jc w:val="right"/>
              <w:spacing w:before="10" w:after="10"/>
            </w:pPr>
            <w:r/>
            <w:r>
              <w:rPr>
                <w:sz w:val="16"/>
              </w:rPr>
              <w:t>$1.48</w:t>
            </w:r>
          </w:p>
        </w:tc>
        <w:tc>
          <w:tcPr>
            <w:tcW w:w="75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5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5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$1.41</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5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$1.48</w:t>
            </w:r>
          </w:p>
        </w:tc>
        <w:tc>
          <w:tcPr>
            <w:tcW w:w="75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700" w:type="dxa"/>
          </w:tcPr>
          <w:p>
            <w:pPr>
              <w:jc w:val="right"/>
              <w:spacing w:before="10" w:after="10"/>
            </w:pPr>
            <w:r/>
            <w:r>
              <w:rPr>
                <w:sz w:val="16"/>
              </w:rPr>
              <w:t>$1.48</w:t>
            </w:r>
          </w:p>
        </w:tc>
        <w:tc>
          <w:tcPr>
            <w:tcW w:w="75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5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$1.49</w:t>
            </w:r>
          </w:p>
        </w:tc>
        <w:tc>
          <w:tcPr>
            <w:tcW w:w="75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5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5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5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5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700" w:type="dxa"/>
          </w:tcPr>
          <w:p>
            <w:pPr>
              <w:jc w:val="right"/>
              <w:spacing w:before="10" w:after="10"/>
            </w:pPr>
            <w:r/>
            <w:r>
              <w:rPr>
                <w:sz w:val="16"/>
              </w:rPr>
              <w:t>$1.50</w:t>
            </w:r>
          </w:p>
        </w:tc>
        <w:tc>
          <w:tcPr>
            <w:tcW w:w="75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5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700" w:type="dxa"/>
          </w:tcPr>
          <w:p>
            <w:pPr>
              <w:jc w:val="right"/>
              <w:spacing w:before="10" w:after="10"/>
            </w:pPr>
            <w:r/>
            <w:r>
              <w:rPr>
                <w:sz w:val="16"/>
              </w:rPr>
              <w:t>$1.50</w:t>
            </w:r>
          </w:p>
        </w:tc>
        <w:tc>
          <w:tcPr>
            <w:tcW w:w="75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5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700" w:type="dxa"/>
          </w:tcPr>
          <w:p>
            <w:pPr>
              <w:jc w:val="right"/>
              <w:spacing w:before="10" w:after="10"/>
            </w:pPr>
            <w:r/>
            <w:r>
              <w:rPr>
                <w:sz w:val="16"/>
              </w:rPr>
              <w:t>$1.50</w:t>
            </w:r>
          </w:p>
        </w:tc>
        <w:tc>
          <w:tcPr>
            <w:tcW w:w="75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700" w:type="dxa"/>
          </w:tcPr>
          <w:p>
            <w:pPr>
              <w:jc w:val="right"/>
              <w:spacing w:before="10" w:after="10"/>
            </w:pPr>
            <w:r/>
            <w:r>
              <w:rPr>
                <w:sz w:val="16"/>
              </w:rPr>
              <w:t>$1.50</w:t>
            </w:r>
          </w:p>
        </w:tc>
        <w:tc>
          <w:tcPr>
            <w:tcW w:w="75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5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5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5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700" w:type="dxa"/>
          </w:tcPr>
          <w:p>
            <w:pPr>
              <w:jc w:val="right"/>
              <w:spacing w:before="10" w:after="10"/>
            </w:pPr>
            <w:r/>
            <w:r>
              <w:rPr>
                <w:sz w:val="16"/>
              </w:rPr>
              <w:t>$1.50</w:t>
            </w:r>
          </w:p>
        </w:tc>
        <w:tc>
          <w:tcPr>
            <w:tcW w:w="75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5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5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5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$1.51</w:t>
            </w:r>
          </w:p>
        </w:tc>
        <w:tc>
          <w:tcPr>
            <w:tcW w:w="75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5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5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700" w:type="dxa"/>
          </w:tcPr>
          <w:p>
            <w:pPr>
              <w:jc w:val="right"/>
              <w:spacing w:before="10" w:after="10"/>
            </w:pPr>
            <w:r/>
            <w:r>
              <w:rPr>
                <w:sz w:val="16"/>
              </w:rPr>
              <w:t>$1.51</w:t>
            </w:r>
          </w:p>
        </w:tc>
        <w:tc>
          <w:tcPr>
            <w:tcW w:w="75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5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$1.51</w:t>
            </w:r>
          </w:p>
        </w:tc>
        <w:tc>
          <w:tcPr>
            <w:tcW w:w="75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5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5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5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700" w:type="dxa"/>
          </w:tcPr>
          <w:p>
            <w:pPr>
              <w:jc w:val="right"/>
              <w:spacing w:before="10" w:after="10"/>
            </w:pPr>
            <w:r/>
            <w:r>
              <w:rPr>
                <w:sz w:val="16"/>
              </w:rPr>
              <w:t>$1.52</w:t>
            </w:r>
          </w:p>
        </w:tc>
        <w:tc>
          <w:tcPr>
            <w:tcW w:w="750" w:type="dxa"/>
          </w:tcPr>
          <w:p>
            <w:pPr>
              <w:jc w:val="right"/>
              <w:spacing w:before="10" w:after="10"/>
            </w:pPr>
            <w:r/>
            <w:r>
              <w:rPr>
                <w:sz w:val="16"/>
              </w:rPr>
              <w:t>$0.128</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5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5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700" w:type="dxa"/>
          </w:tcPr>
          <w:p>
            <w:pPr>
              <w:jc w:val="right"/>
              <w:spacing w:before="10" w:after="10"/>
            </w:pPr>
            <w:r/>
            <w:r>
              <w:rPr>
                <w:sz w:val="16"/>
              </w:rPr>
              <w:t>$1.52</w:t>
            </w:r>
          </w:p>
        </w:tc>
        <w:tc>
          <w:tcPr>
            <w:tcW w:w="750" w:type="dxa"/>
          </w:tcPr>
          <w:p>
            <w:pPr>
              <w:jc w:val="right"/>
              <w:spacing w:before="10" w:after="10"/>
            </w:pPr>
            <w:r/>
            <w:r>
              <w:rPr>
                <w:sz w:val="16"/>
              </w:rPr>
              <w:t>$0.130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5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5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$1.52</w:t>
            </w:r>
          </w:p>
        </w:tc>
        <w:tc>
          <w:tcPr>
            <w:tcW w:w="75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5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5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$1.52</w:t>
            </w:r>
          </w:p>
        </w:tc>
        <w:tc>
          <w:tcPr>
            <w:tcW w:w="75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5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5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5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5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700" w:type="dxa"/>
          </w:tcPr>
          <w:p>
            <w:pPr>
              <w:jc w:val="right"/>
              <w:spacing w:before="10" w:after="10"/>
            </w:pPr>
            <w:r/>
            <w:r>
              <w:rPr>
                <w:sz w:val="16"/>
              </w:rPr>
              <w:t>$1.54</w:t>
            </w:r>
          </w:p>
        </w:tc>
        <w:tc>
          <w:tcPr>
            <w:tcW w:w="75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5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$1.54</w:t>
            </w:r>
          </w:p>
        </w:tc>
        <w:tc>
          <w:tcPr>
            <w:tcW w:w="75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5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$1.55</w:t>
            </w:r>
          </w:p>
        </w:tc>
        <w:tc>
          <w:tcPr>
            <w:tcW w:w="75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5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$1.55</w:t>
            </w:r>
          </w:p>
        </w:tc>
        <w:tc>
          <w:tcPr>
            <w:tcW w:w="75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5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$1.55</w:t>
            </w:r>
          </w:p>
        </w:tc>
        <w:tc>
          <w:tcPr>
            <w:tcW w:w="75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5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700" w:type="dxa"/>
          </w:tcPr>
          <w:p>
            <w:pPr>
              <w:jc w:val="right"/>
              <w:spacing w:before="10" w:after="10"/>
            </w:pPr>
            <w:r/>
            <w:r>
              <w:rPr>
                <w:sz w:val="16"/>
              </w:rPr>
              <w:t>$1.55</w:t>
            </w:r>
          </w:p>
        </w:tc>
        <w:tc>
          <w:tcPr>
            <w:tcW w:w="75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5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700" w:type="dxa"/>
          </w:tcPr>
          <w:p>
            <w:pPr>
              <w:jc w:val="right"/>
              <w:spacing w:before="10" w:after="10"/>
            </w:pPr>
            <w:r/>
            <w:r>
              <w:rPr>
                <w:sz w:val="16"/>
              </w:rPr>
              <w:t>$1.55</w:t>
            </w:r>
          </w:p>
        </w:tc>
        <w:tc>
          <w:tcPr>
            <w:tcW w:w="75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5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$1.56</w:t>
            </w:r>
          </w:p>
        </w:tc>
        <w:tc>
          <w:tcPr>
            <w:tcW w:w="75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5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$1.56</w:t>
            </w:r>
          </w:p>
        </w:tc>
        <w:tc>
          <w:tcPr>
            <w:tcW w:w="75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700" w:type="dxa"/>
          </w:tcPr>
          <w:p>
            <w:pPr>
              <w:jc w:val="right"/>
              <w:spacing w:before="10" w:after="10"/>
            </w:pPr>
            <w:r/>
            <w:r>
              <w:rPr>
                <w:sz w:val="16"/>
              </w:rPr>
              <w:t>$1.57</w:t>
            </w:r>
          </w:p>
        </w:tc>
        <w:tc>
          <w:tcPr>
            <w:tcW w:w="75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5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5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700" w:type="dxa"/>
          </w:tcPr>
          <w:p>
            <w:pPr>
              <w:jc w:val="right"/>
              <w:spacing w:before="10" w:after="10"/>
            </w:pPr>
            <w:r/>
            <w:r>
              <w:rPr>
                <w:sz w:val="16"/>
              </w:rPr>
              <w:t>$1.58</w:t>
            </w:r>
          </w:p>
        </w:tc>
        <w:tc>
          <w:tcPr>
            <w:tcW w:w="75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5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700" w:type="dxa"/>
          </w:tcPr>
          <w:p>
            <w:pPr>
              <w:jc w:val="right"/>
              <w:spacing w:before="10" w:after="10"/>
            </w:pPr>
            <w:r/>
            <w:r>
              <w:rPr>
                <w:sz w:val="16"/>
              </w:rPr>
              <w:t>$1.62</w:t>
            </w:r>
          </w:p>
        </w:tc>
        <w:tc>
          <w:tcPr>
            <w:tcBorders>
              <w:bottom w:val="double" w:sz="4" w:space="0" w:color="auto"/>
            </w:tcBorders>
            <w:tcW w:w="750" w:type="dxa"/>
          </w:tcPr>
          <w:p>
            <w:pPr>
              <w:jc w:val="right"/>
              <w:spacing w:before="10" w:after="10"/>
            </w:pPr>
            <w:r/>
            <w:r>
              <w:rPr>
                <w:sz w:val="16"/>
              </w:rPr>
              <w:t>$0.263</w:t>
            </w:r>
          </w:p>
        </w:tc>
      </w:tr>
    </w:tbl>
    <w:p>
      <w:pPr>
        <w:spacing w:before="8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5" w:name="Eq4txt905"/>
      <w:hyperlink w:anchor="Eq4" w:history="1">
        <w:r>
          <w:rPr>
            <w:sz w:val="20"/>
            <w:color w:val="1F3864"/>
            <w:u w:val="single"/>
          </w:rPr>
          <w:t xml:space="preserve">equation (4)</w:t>
        </w:r>
      </w:hyperlink>
      <w:bookmarkEnd w:id="905"/>
      <w:r>
        <w:rPr>
          <w:sz w:val="20"/>
        </w:rPr>
        <w:t xml:space="preserv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line="360" w:lineRule="auto"/>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and sovereignty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80"/>
        <w:gridCol w:w="1080"/>
        <w:gridCol w:w="1080"/>
        <w:gridCol w:w="1080"/>
        <w:gridCol w:w="1080"/>
        <w:gridCol w:w="1080"/>
        <w:gridCol w:w="1080"/>
        <w:gridCol w:w="1080"/>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(2) Cost-Recovery</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(3) Bilateral</w:t>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Type</w:t>
            </w:r>
          </w:p>
        </w:tc>
      </w:tr>
      <w:tr>
        <w:tc>
          <w:tcPr>
            <w:tcW w:w="1800" w:type="dxa"/>
          </w:tcPr>
          <w:p>
            <w:pPr>
              <w:jc w:val="left"/>
              <w:spacing w:before="5" w:after="5"/>
            </w:pPr>
            <w:r/>
            <w:r>
              <w:rPr>
                <w:rFonts w:ascii="Times New Roman" w:hAnsi="Times New Roman"/>
                <w:sz w:val="14"/>
              </w:rPr>
              <w:t>Kyrgyzstan</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Canada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Ethiopia</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Kosovo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Tajikistan</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Montenegro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Ukraine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Argentina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Colombia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Azerbaijan</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Russia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Norway</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Algeria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Finland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Vietnam</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Brazil</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Turkmenistan</w:t>
            </w:r>
          </w:p>
        </w:tc>
        <w:tc>
          <w:tcPr>
            <w:tcW w:w="75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Egypt</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Sweden</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India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Indonesia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Kazakhstan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Iran</w:t>
            </w:r>
          </w:p>
        </w:tc>
        <w:tc>
          <w:tcPr>
            <w:tcW w:w="75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Georgia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United States of 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Uzbekistan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Kenya</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Turkey</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Bosnia and Herz.</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Nigeria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Iceland</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Africa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UK</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Belarus</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Australia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New Zealand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Morocco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Mexico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France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Armenia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UAE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Chile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Latvia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Portugal</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Malta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Malaysia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Philippines</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Israel</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Spain</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Thailand</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Belgium</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Serbia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Pakistan</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Saudi Arabia</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Luxembourg</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Qatar</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Netherlands</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Estonia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Korea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Moldova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Denmark</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Lithuania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 Macedonia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Ghana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Slovenia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Albania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Romania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Germany</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Greece</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Bulgaria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Slovakia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Austria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Italy</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Japan</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Czechia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Switzerland</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Hungary</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Singapore</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Cyprus</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Senegal</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Croatia</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Ireland</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Borders>
              <w:bottom w:val="double" w:sz="4" w:space="0" w:color="auto"/>
            </w:tcBorders>
            <w:tcW w:w="1800" w:type="dxa"/>
          </w:tcPr>
          <w:p>
            <w:pPr>
              <w:jc w:val="left"/>
              <w:spacing w:before="5" w:after="5"/>
            </w:pPr>
            <w:r/>
            <w:r>
              <w:rPr>
                <w:rFonts w:ascii="Times New Roman" w:hAnsi="Times New Roman"/>
                <w:sz w:val="14"/>
              </w:rPr>
              <w:t>Greenland</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500" w:type="dxa"/>
          </w:tcPr>
          <w:p>
            <w:pPr>
              <w:jc w:val="center"/>
              <w:spacing w:before="5" w:after="5"/>
            </w:pPr>
            <w:r/>
            <w:r>
              <w:rPr>
                <w:rFonts w:ascii="Times New Roman" w:hAnsi="Times New Roman"/>
                <w:sz w:val="14"/>
              </w:rPr>
              <w:t>II</w:t>
            </w:r>
          </w:p>
        </w:tc>
      </w:tr>
    </w:tbl>
    <w:p>
      <w:pPr>
        <w:spacing w:before="4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w:t>
        </w:r>
      </w:hyperlink>
      <w:r>
        <w:rPr>
          <w:sz w:val="20"/>
        </w:rPr>
        <w:t xml:space="preserve"> notes for column definitions. Countries sorted by specification (2) rank (ascending). </w:t>
      </w:r>
    </w:p>
    <w:p>
      <w:pPr>
        <w:pStyle w:val="Heading1"/>
      </w:pPr>
      <w:r>
        <w:rPr>
          <w:rFonts w:ascii="Times New Roman" w:hAnsi="Times New Roman"/>
          <w:b/>
          <w:color w:val="2F5496"/>
          <w:sz w:val="28"/>
        </w:rPr>
        <w:t>Appendix B: Model Derivation</w:t>
      </w:r>
    </w:p>
    <w:p>
      <w:pPr>
        <w:spacing w:before="0" w:after="160" w:line="360" w:lineRule="auto"/>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line="360" w:lineRule="auto"/>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6" w:name="Eq1txt906"/>
      <w:hyperlink w:anchor="Eq1" w:history="1">
        <w:r>
          <w:rPr>
            <w:color w:val="1F3864"/>
            <w:u w:val="single"/>
          </w:rPr>
          <w:t xml:space="preserve">equation (1)</w:t>
        </w:r>
      </w:hyperlink>
      <w:bookmarkEnd w:id="906"/>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7" w:name="Eq4txt907"/>
      <w:hyperlink w:anchor="Eq4" w:history="1">
        <w:r>
          <w:rPr>
            <w:color w:val="1F3864"/>
            <w:u w:val="single"/>
          </w:rPr>
          <w:t xml:space="preserve">equation (4)</w:t>
        </w:r>
      </w:hyperlink>
      <w:bookmarkEnd w:id="907"/>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80" w:line="360" w:lineRule="auto"/>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08" w:name="Eq2txt908"/>
      <w:hyperlink w:anchor="Eq2" w:history="1">
        <w:r>
          <w:rPr>
            <w:color w:val="1F3864"/>
            <w:u w:val="single"/>
          </w:rPr>
          <w:t xml:space="preserve">equation (2)</w:t>
        </w:r>
      </w:hyperlink>
      <w:bookmarkEnd w:id="908"/>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720" w:type="dxa"/>
            <w:vAlign w:val="center"/>
          </w:tcPr>
          <w:p>
            <w:pPr>
              <w:jc w:val="right"/>
              <w:spacing w:before="60" w:after="60"/>
            </w:pPr>
            <w:bookmarkStart w:id="1701" w:name="EqB.1"/>
            <w:r>
              <w:t>(B.1)</w:t>
            </w:r>
            <w:bookmarkEnd w:id="1701"/>
          </w:p>
        </w:tc>
      </w:tr>
    </w:tbl>
    <w:p>
      <w:pPr>
        <w:spacing w:before="80" w:after="160" w:line="360" w:lineRule="auto"/>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80" w:line="360" w:lineRule="auto"/>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1702" w:name="EqB.2"/>
            <w:r>
              <w:t>(B.2)</w:t>
            </w:r>
            <w:bookmarkEnd w:id="1702"/>
          </w:p>
        </w:tc>
      </w:tr>
    </w:tbl>
    <w:p>
      <w:pPr>
        <w:spacing w:before="80" w:after="160" w:line="360" w:lineRule="auto"/>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80" w:line="360" w:lineRule="auto"/>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720" w:type="dxa"/>
            <w:vAlign w:val="center"/>
          </w:tcPr>
          <w:p>
            <w:pPr>
              <w:jc w:val="right"/>
              <w:spacing w:before="60" w:after="60"/>
            </w:pPr>
            <w:bookmarkStart w:id="1703" w:name="EqB.3"/>
            <w:r>
              <w:t>(B.3)</w:t>
            </w:r>
            <w:bookmarkEnd w:id="1703"/>
          </w:p>
        </w:tc>
      </w:tr>
    </w:tbl>
    <w:p>
      <w:pPr>
        <w:spacing w:before="80" w:after="160" w:line="360" w:lineRule="auto"/>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line="360" w:lineRule="auto"/>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80" w:line="360" w:lineRule="auto"/>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720" w:type="dxa"/>
            <w:vAlign w:val="center"/>
          </w:tcPr>
          <w:p>
            <w:pPr>
              <w:jc w:val="right"/>
              <w:spacing w:before="60" w:after="60"/>
            </w:pPr>
            <w:bookmarkStart w:id="1704" w:name="EqB.4"/>
            <w:r>
              <w:t>(B.4)</w:t>
            </w:r>
            <w:bookmarkEnd w:id="1704"/>
          </w:p>
        </w:tc>
      </w:tr>
    </w:tbl>
    <w:p>
      <w:pPr>
        <w:spacing w:before="80" w:after="80" w:line="360" w:lineRule="auto"/>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720" w:type="dxa"/>
            <w:vAlign w:val="center"/>
          </w:tcPr>
          <w:p>
            <w:pPr>
              <w:jc w:val="right"/>
              <w:spacing w:before="60" w:after="60"/>
            </w:pPr>
            <w:bookmarkStart w:id="1705" w:name="EqB.5"/>
            <w:r>
              <w:t>(B.5)</w:t>
            </w:r>
            <w:bookmarkEnd w:id="1705"/>
          </w:p>
        </w:tc>
      </w:tr>
    </w:tbl>
    <w:p>
      <w:pPr>
        <w:spacing w:before="80" w:after="160" w:line="360" w:lineRule="auto"/>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pStyle w:val="Heading1"/>
      </w:pPr>
      <w:r>
        <w:rPr>
          <w:rFonts w:ascii="Times New Roman" w:hAnsi="Times New Roman"/>
          <w:b/>
          <w:color w:val="2F5496"/>
          <w:sz w:val="28"/>
        </w:rPr>
        <w:t>Appendix C: Sensitivity Analysis</w:t>
      </w:r>
    </w:p>
    <w:p>
      <w:pPr>
        <w:spacing w:before="0" w:after="160" w:line="360" w:lineRule="auto"/>
        <w:ind w:firstLine="0"/>
        <w:jc w:val="both"/>
      </w:pPr>
      <w:hyperlink w:anchor="TableA3" w:history="1">
        <w:r>
          <w:rPr>
            <w:color w:val="1F3864"/>
            <w:u w:val="single"/>
          </w:rPr>
          <w:t xml:space="preserve">Table A3</w:t>
        </w:r>
      </w:hyperlink>
      <w:r>
        <w:t xml:space="preserve"> reports cost-recovery rankings under three robustness specifications. The baseline uses the calibrated hardware cost; the alternative scenarios vary the hardware cost share to test sensitivity of the rankings.</w:t>
      </w:r>
    </w:p>
    <w:p>
      <w:pPr>
        <w:spacing w:before="0" w:after="60" w:line="360" w:lineRule="auto"/>
        <w:ind w:firstLine="0"/>
        <w:jc w:val="both"/>
      </w:pPr>
      <w:bookmarkStart w:id="142" w:name="TableA3"/>
      <w:hyperlink w:anchor="TableA3txt" w:history="1">
        <w:r>
          <w:rPr>
            <w:b/>
            <w:sz w:val="20"/>
            <w:color w:val="1F3864"/>
            <w:u w:val="single"/>
          </w:rPr>
          <w:t>Table A3</w:t>
        </w:r>
      </w:hyperlink>
      <w:bookmarkEnd w:id="142"/>
      <w:r>
        <w:rPr>
          <w:b/>
          <w:sz w:val="20"/>
        </w:rPr>
        <w:t>. Sensitivity of cost-recovery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spread</w:t>
            </w:r>
          </w:p>
        </w:tc>
        <w:tc>
          <w:tcPr>
            <w:tcBorders>
              <w:top w:val="single" w:sz="4" w:space="0" w:color="auto"/>
              <w:bottom w:val="single" w:sz="4" w:space="0" w:color="auto"/>
            </w:tcBorders>
            <w:tcW w:w="900" w:type="dxa"/>
          </w:tcPr>
          <w:p>
            <w:pPr>
              <w:jc w:val="center"/>
              <w:spacing w:before="10" w:after="10"/>
            </w:pPr>
            <w:r/>
            <w:r>
              <w:rPr>
                <w:b/>
                <w:sz w:val="16"/>
              </w:rPr>
              <w:t>Spearman ρ vs baseline</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(ρ=$1.36)</w:t>
            </w:r>
          </w:p>
        </w:tc>
        <w:tc>
          <w:tcPr>
            <w:tcW w:w="2200" w:type="dxa"/>
          </w:tcPr>
          <w:p>
            <w:pPr>
              <w:spacing w:before="10" w:after="10"/>
            </w:pPr>
            <w:r/>
            <w:r>
              <w:rPr>
                <w:sz w:val="16"/>
              </w:rPr>
              <w:t>ρ=$1.36</w:t>
            </w:r>
          </w:p>
        </w:tc>
        <w:tc>
          <w:tcPr>
            <w:tcW w:w="700" w:type="dxa"/>
          </w:tcPr>
          <w:p>
            <w:pPr>
              <w:jc w:val="right"/>
              <w:spacing w:before="10" w:after="10"/>
            </w:pPr>
            <w:r/>
            <w:r>
              <w:rPr>
                <w:sz w:val="16"/>
              </w:rPr>
              <w:t>10</w:t>
            </w:r>
          </w:p>
        </w:tc>
        <w:tc>
          <w:tcPr>
            <w:tcW w:w="700" w:type="dxa"/>
          </w:tcPr>
          <w:p>
            <w:pPr>
              <w:jc w:val="right"/>
              <w:spacing w:before="10" w:after="10"/>
            </w:pPr>
            <w:r/>
            <w:r>
              <w:rPr>
                <w:sz w:val="16"/>
              </w:rPr>
              <w:t>11.9%</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Canada, Ethiopia, Kosovo, Tajikistan</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10</w:t>
            </w:r>
          </w:p>
        </w:tc>
        <w:tc>
          <w:tcPr>
            <w:tcW w:w="700" w:type="dxa"/>
          </w:tcPr>
          <w:p>
            <w:pPr>
              <w:jc w:val="right"/>
              <w:spacing w:before="10" w:after="10"/>
            </w:pPr>
            <w:r/>
            <w:r>
              <w:rPr>
                <w:sz w:val="16"/>
              </w:rPr>
              <w:t>12.3%</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Canada, Ethiopia, Kosovo, Tajikistan</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10</w:t>
            </w:r>
          </w:p>
        </w:tc>
        <w:tc>
          <w:tcPr>
            <w:tcBorders>
              <w:bottom w:val="double" w:sz="4" w:space="0" w:color="auto"/>
            </w:tcBorders>
            <w:tcW w:w="700" w:type="dxa"/>
          </w:tcPr>
          <w:p>
            <w:pPr>
              <w:jc w:val="right"/>
              <w:spacing w:before="10" w:after="10"/>
            </w:pPr>
            <w:r/>
            <w:r>
              <w:rPr>
                <w:sz w:val="16"/>
              </w:rPr>
              <w:t>11.4%</w:t>
            </w:r>
          </w:p>
        </w:tc>
        <w:tc>
          <w:tcPr>
            <w:tcBorders>
              <w:bottom w:val="double" w:sz="4" w:space="0" w:color="auto"/>
            </w:tcBorders>
            <w:tcW w:w="900" w:type="dxa"/>
          </w:tcPr>
          <w:p>
            <w:pPr>
              <w:jc w:val="right"/>
              <w:spacing w:before="10" w:after="10"/>
            </w:pPr>
            <w:r/>
            <w:r>
              <w:rPr>
                <w:sz w:val="16"/>
              </w:rPr>
              <w:t>1.00</w:t>
            </w:r>
          </w:p>
        </w:tc>
        <w:tc>
          <w:tcPr>
            <w:tcBorders>
              <w:bottom w:val="double" w:sz="4" w:space="0" w:color="auto"/>
            </w:tcBorders>
            <w:tcW w:w="2300" w:type="dxa"/>
          </w:tcPr>
          <w:p>
            <w:pPr>
              <w:jc w:val="right"/>
              <w:spacing w:before="10" w:after="10"/>
            </w:pPr>
            <w:r/>
            <w:r>
              <w:rPr>
                <w:sz w:val="16"/>
              </w:rPr>
              <w:t>Kyrgyzstan, Canada, Ethiopia, Kosovo, Tajikistan</w:t>
            </w:r>
          </w:p>
        </w:tc>
      </w:tr>
    </w:tbl>
    <w:p>
      <w:pPr>
        <w:spacing w:before="40" w:after="0" w:line="240" w:lineRule="auto"/>
        <w:ind w:firstLine="0"/>
        <w:jc w:val="left"/>
      </w:pPr>
      <w:r>
        <w:rPr>
          <w:sz w:val="20"/>
        </w:rPr>
        <w:t>Notes: Each row uses cost-recovery pricing (subsidized tariffs replaced with LRMC). Dev top 15 = number of developing countries in top 15. Max spread = maximum percentage difference between costliest and cheapest producer. Spearman ρ vs baseline = rank correlation with baseline scenario.</w:t>
      </w:r>
    </w:p>
    <w:p>
      <w:pPr>
        <w:pStyle w:val="Heading1"/>
      </w:pPr>
      <w:r>
        <w:rPr>
          <w:rFonts w:ascii="Times New Roman" w:hAnsi="Times New Roman"/>
          <w:b/>
          <w:color w:val="2F5496"/>
          <w:sz w:val="28"/>
        </w:rPr>
        <w:t>Appendix D: Data Center Investment Model — Kyrgyzstan</w:t>
      </w:r>
    </w:p>
    <w:p>
      <w:pPr>
        <w:spacing w:before="0" w:after="160" w:line="360" w:lineRule="auto"/>
        <w:ind w:firstLine="0"/>
        <w:jc w:val="both"/>
      </w:pPr>
      <w:bookmarkStart w:id="145" w:name="TableA4txt"/>
      <w:bookmarkEnd w:id="145"/>
      <w:bookmarkStart w:id="147" w:name="TableA5txt"/>
      <w:bookmarkEnd w:id="147"/>
      <w:bookmarkStart w:id="149" w:name="TableA6txt"/>
      <w:bookmarkEnd w:id="149"/>
      <w:r>
        <w:t xml:space="preserve">This appendix presents a 15-year discounted cash flow (DCF) analysis for a hypothetical 40 MW data center in Kyrgyzstan, the lowest-cost seller in the cost-recovery-adjusted calibration. </w:t>
      </w:r>
      <w:hyperlink w:anchor="TableA4" w:history="1">
        <w:r>
          <w:rPr>
            <w:color w:val="1F3864"/>
            <w:u w:val="single"/>
          </w:rPr>
          <w:t xml:space="preserve">Table A4</w:t>
        </w:r>
      </w:hyperlink>
      <w:r>
        <w:t xml:space="preserve"> summarizes facility parameters, </w:t>
      </w:r>
      <w:hyperlink w:anchor="TableA5" w:history="1">
        <w:r>
          <w:rPr>
            <w:color w:val="1F3864"/>
            <w:u w:val="single"/>
          </w:rPr>
          <w:t xml:space="preserve">Table A5</w:t>
        </w:r>
      </w:hyperlink>
      <w:r>
        <w:t xml:space="preserve"> presents the year-by-year cash flow, and </w:t>
      </w:r>
      <w:hyperlink w:anchor="TableA6" w:history="1">
        <w:r>
          <w:rPr>
            <w:color w:val="1F3864"/>
            <w:u w:val="single"/>
          </w:rPr>
          <w:t xml:space="preserve">Table A6</w:t>
        </w:r>
      </w:hyperlink>
      <w:r>
        <w:t xml:space="preserve"> reports sensitivity to parameter variation.</w:t>
      </w:r>
    </w:p>
    <w:p>
      <w:pPr>
        <w:spacing w:before="0" w:after="60" w:line="360" w:lineRule="auto"/>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4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60" w:line="360" w:lineRule="auto"/>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80" w:after="80" w:line="360" w:lineRule="auto"/>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60" w:line="360" w:lineRule="auto"/>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80" w:after="80" w:line="360" w:lineRule="auto"/>
        <w:ind w:firstLine="0"/>
        <w:jc w:val="both"/>
      </w:pPr>
      <w:r>
        <w:rPr>
          <w:b/>
        </w:rPr>
        <w:t xml:space="preserve">Risks. </w:t>
      </w:r>
      <w:r>
        <w:t xml:space="preserve">Kyrgyzstan depends on the Toktogul reservoir for over 80 percent of electricity (</w:t>
      </w:r>
      <w:bookmarkStart w:id="230" w:name="ABD2020txt"/>
      <w:hyperlink w:anchor="ABD2020" w:history="1">
        <w:r>
          <w:rPr>
            <w:color w:val="1F3864"/>
            <w:u w:val="single"/>
          </w:rPr>
          <w:t xml:space="preserve">ABD 2020</w:t>
        </w:r>
      </w:hyperlink>
      <w:bookmarkEnd w:id="230"/>
      <w:r>
        <w:t xml:space="preserve">); seasonal drawdowns and drought years create acute power shortages. GPU procurement faces US export-control uncertainty. Underdeveloped contract enforcement and regulatory frameworks raise the bilateral sovereignty premium for potential importers. Despite these risks, the engineering economics are clear: electricity at $0.038/kWh and a PUE of 1.08 yield production costs well below the global median, and the positive NPV survives eight of ten perturbations in </w:t>
      </w:r>
      <w:hyperlink w:anchor="TableA6" w:history="1">
        <w:r>
          <w:rPr>
            <w:color w:val="1F3864"/>
            <w:u w:val="single"/>
          </w:rPr>
          <w:t xml:space="preserve">Table A6</w:t>
        </w:r>
      </w:hyperlink>
      <w:r>
        <w:t>.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pStyle w:val="Heading1"/>
      </w:pPr>
      <w:r>
        <w:rPr>
          <w:rFonts w:ascii="Times New Roman" w:hAnsi="Times New Roman"/>
          <w:b/>
          <w:color w:val="2F5496"/>
          <w:sz w:val="28"/>
        </w:rPr>
        <w:t>Appendix E: Construction Cost Regression</w:t>
      </w:r>
    </w:p>
    <w:p>
      <w:pPr>
        <w:spacing w:before="0" w:after="160" w:line="360" w:lineRule="auto"/>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line="360" w:lineRule="auto"/>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4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pStyle w:val="Heading1"/>
      </w:pPr>
      <w:r>
        <w:rPr>
          <w:rFonts w:ascii="Times New Roman" w:hAnsi="Times New Roman"/>
          <w:b/>
          <w:color w:val="2F5496"/>
          <w:sz w:val="28"/>
        </w:rPr>
        <w:t>Appendix F: Workload Classification</w:t>
      </w:r>
    </w:p>
    <w:p>
      <w:pPr>
        <w:spacing w:before="0" w:after="160" w:line="360" w:lineRule="auto"/>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p>
      <w:pPr>
        <w:spacing w:before="0" w:after="60" w:line="360" w:lineRule="auto"/>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4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capture the geopolitical and data-governance components of services trade costs, which constitute a subset of the full regulatory barriers estimated at approximately 16% for communication services (</w:t>
      </w:r>
      <w:hyperlink w:anchor="BenzJaax2020" w:history="1">
        <w:r>
          <w:rPr>
            <w:color w:val="1F3864"/>
            <w:u w:val="single"/>
          </w:rPr>
          <w:t xml:space="preserve">Benz and Jaax 2020</w:t>
        </w:r>
      </w:hyperlink>
      <w:r>
        <w:t xml:space="preserve">).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