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v31  —  April 09, 2026  18:52</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9" w:name="WorldBank2024txt"/>
      <w:hyperlink w:anchor="WorldBank2024" w:history="1">
        <w:r>
          <w:rPr>
            <w:color w:val="1F3864"/>
            <w:u w:val="single"/>
          </w:rPr>
          <w:t xml:space="preserve">World Bank 2024</w:t>
        </w:r>
      </w:hyperlink>
      <w:bookmarkEnd w:id="259"/>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60" w:name="Hausmann2007txt"/>
      <w:hyperlink w:anchor="Hausmann2007" w:history="1">
        <w:r>
          <w:rPr>
            <w:color w:val="1F3864"/>
            <w:u w:val="single"/>
          </w:rPr>
          <w:t xml:space="preserve">Hausmann et al. (2007)</w:t>
        </w:r>
      </w:hyperlink>
      <w:bookmarkEnd w:id="260"/>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2" w:name="WorldBank2025txt"/>
      <w:hyperlink w:anchor="WorldBank2025" w:history="1">
        <w:r>
          <w:rPr>
            <w:color w:val="1F3864"/>
            <w:u w:val="single"/>
          </w:rPr>
          <w:t xml:space="preserve">World Bank (2025)</w:t>
        </w:r>
      </w:hyperlink>
      <w:bookmarkEnd w:id="262"/>
      <w:r>
        <w:t xml:space="preserve"> documents the resulting divide (high-income countries hold 77% of colocation capacity), but does not offer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Heckscher–Ohlin: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6" w:name="Ohlin1933txt"/>
      <w:hyperlink w:anchor="Ohlin1933" w:history="1">
        <w:r>
          <w:rPr>
            <w:color w:val="1F3864"/>
            <w:u w:val="single"/>
          </w:rPr>
          <w:t xml:space="preserve">Ohlin 1933</w:t>
        </w:r>
      </w:hyperlink>
      <w:bookmarkEnd w:id="246"/>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8" w:name="AykutEtAl2026txt"/>
      <w:hyperlink w:anchor="AykutEtAl2026" w:history="1">
        <w:r>
          <w:rPr>
            <w:color w:val="1F3864"/>
            <w:u w:val="single"/>
          </w:rPr>
          <w:t xml:space="preserve">Aykut et al. 2026</w:t>
        </w:r>
      </w:hyperlink>
      <w:bookmarkEnd w:id="258"/>
      <w:r>
        <w:t xml:space="preserve">). Moreover, most announced investment flows between geopolitical allies, consistent with the bilateral sovereignty premium rather than cost alone determining where capacity is built (</w:t>
      </w:r>
      <w:bookmarkStart w:id="249" w:name="StraubEtAl2026txt"/>
      <w:hyperlink w:anchor="StraubEtAl2026" w:history="1">
        <w:r>
          <w:rPr>
            <w:color w:val="1F3864"/>
            <w:u w:val="single"/>
          </w:rPr>
          <w:t xml:space="preserve">Straub et al. 2026</w:t>
        </w:r>
      </w:hyperlink>
      <w:bookmarkEnd w:id="249"/>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a dominant exporter (HHI = 0.996, with 1 other producer at the margin), leaving the training market close to the unconstrained benchmark of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5" w:name="AykutEtAl2026txt"/>
      <w:hyperlink w:anchor="AykutEtAl2026" w:history="1">
        <w:r>
          <w:rPr>
            <w:color w:val="1F3864"/>
            <w:u w:val="single"/>
          </w:rPr>
          <w:t xml:space="preserve">Aykut et al. 2026</w:t>
        </w:r>
      </w:hyperlink>
      <w:bookmarkEnd w:id="225"/>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uniform sovereignty premium is sufficient to make domestic training viable for nearly all countries, leaving the share of global training demand available to foreign exporters negligible. Raising the uniform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in the range of the welfare gains from trade in goods estimated in the quantitative trade literature, which fall between roughly 0.2% and 10% depending on country size and specification (</w:t>
      </w:r>
      <w:bookmarkStart w:id="226" w:name="EatonKortum2002txt"/>
      <w:hyperlink w:anchor="EatonKortum2002" w:history="1">
        <w:r>
          <w:rPr>
            <w:color w:val="1F3864"/>
            <w:u w:val="single"/>
          </w:rPr>
          <w:t xml:space="preserve">Eaton and Kortum 2002</w:t>
        </w:r>
      </w:hyperlink>
      <w:bookmarkEnd w:id="226"/>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7" w:name="WorldBank2025txt"/>
      <w:hyperlink w:anchor="WorldBank2025" w:history="1">
        <w:r>
          <w:rPr>
            <w:color w:val="1F3864"/>
            <w:u w:val="single"/>
          </w:rPr>
          <w:t xml:space="preserve">World Bank (2025)</w:t>
        </w:r>
      </w:hyperlink>
      <w:bookmarkEnd w:id="227"/>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8" w:name="Chandramowli2024txt"/>
      <w:hyperlink w:anchor="Chandramowli2024" w:history="1">
        <w:r>
          <w:rPr>
            <w:color w:val="1F3864"/>
            <w:u w:val="single"/>
          </w:rPr>
          <w:t xml:space="preserve">Chandramowli et al. 2024</w:t>
        </w:r>
      </w:hyperlink>
      <w:bookmarkEnd w:id="228"/>
      <w:r>
        <w:t xml:space="preserve">), and AI data-center expansion alone could increase retail prices by 8–9 percent by 2030 (</w:t>
      </w:r>
      <w:bookmarkStart w:id="251" w:name="IMF2025txt"/>
      <w:hyperlink w:anchor="IMF2025" w:history="1">
        <w:r>
          <w:rPr>
            <w:color w:val="1F3864"/>
            <w:u w:val="single"/>
          </w:rPr>
          <w:t xml:space="preserve">IMF 2025</w:t>
        </w:r>
      </w:hyperlink>
      <w:bookmarkEnd w:id="251"/>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line="360" w:lineRule="auto"/>
        <w:ind w:firstLine="0"/>
        <w:jc w:val="both"/>
      </w:pPr>
      <w:r>
        <w:t xml:space="preserve">Cross-country evidence on policy readiness reinforces this conclusion.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2" w:name="KatzEtAl2025txt"/>
      <w:hyperlink w:anchor="KatzEtAl2025" w:history="1">
        <w:r>
          <w:rPr>
            <w:color w:val="1F3864"/>
            <w:u w:val="single"/>
          </w:rPr>
          <w:t xml:space="preserve">Katz et al. 2025</w:t>
        </w:r>
      </w:hyperlink>
      <w:bookmarkEnd w:id="252"/>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