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v20  —  February 16, 2026  02:12</w:t>
      </w:r>
    </w:p>
    <w:p>
      <w:pPr>
        <w:spacing w:before="240" w:after="160" w:line="240" w:lineRule="auto"/>
        <w:ind w:firstLine="0"/>
        <w:jc w:val="both"/>
      </w:pPr>
      <w:r>
        <w:rPr>
          <w:b/>
        </w:rPr>
        <w:t>Abstract</w:t>
      </w:r>
      <w:r>
        <w:t>: The rapid growth of artificial intelligence is generating surging global demand for computational resources, yet the cost of producing a unit of computation varies by a factor of two across countries. This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For developing countries with abundant energy but narrow export baskets, exporting compute opens a new entry point in the global economy, converting a natural resource directly into a high-value digital service.</w:t>
      </w:r>
    </w:p>
    <w:p>
      <w:pPr>
        <w:spacing w:before="0" w:after="160"/>
        <w:ind w:firstLine="0"/>
        <w:jc w:val="both"/>
      </w:pPr>
      <w:r>
        <w:rPr>
          <w:b/>
        </w:rPr>
        <w:t xml:space="preserve">JEL Classification: </w:t>
      </w:r>
      <w:r>
        <w:t>F14, F18, L86, O14, O33, Q40</w:t>
      </w:r>
    </w:p>
    <w:p>
      <w:pPr>
        <w:spacing w:before="0" w:after="160"/>
        <w:ind w:firstLine="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Global demand for computational resources is driven by the expansion of artificial intelligence. The computation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entire electricity consumption of France—a share projected to more than double by 2030 (</w:t>
      </w:r>
      <w:bookmarkStart w:id="250" w:name="IEA2025txt"/>
      <w:hyperlink w:anchor="IEA2025" w:history="1">
        <w:r>
          <w:rPr>
            <w:color w:val="1F3864"/>
            <w:u w:val="single"/>
          </w:rPr>
          <w:t xml:space="preserve">IEA 2025</w:t>
        </w:r>
      </w:hyperlink>
      <w:bookmarkEnd w:id="250"/>
      <w:r>
        <w:t xml:space="preserve">).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 This extreme power intensity makes electricity cost the dominant locational factor for AI compute.</w:t>
      </w:r>
    </w:p>
    <w:p>
      <w:pPr>
        <w:spacing w:before="0" w:after="160"/>
        <w:ind w:firstLine="0"/>
        <w:jc w:val="both"/>
      </w:pPr>
      <w:r>
        <w:t xml:space="preserve">This surge in demand for computation creates a new type of export opportunity. In the Heckscher-Ohlin tradition, countries export goods intensive in their abundant factors. For FLOP exports, the relevant endowment is not cheap electricity per se but the natural resources that produce it—hydropower reservoirs (Kyrgyzstan, Ethiopia, Georgia), oil and gas (Iran, Turkmenistan, Qatar), solar irradiance (North Africa, the Gulf), and geothermal energy (Kenya, Iceland). The planned submarine cable linking Georgia and Azerbaijan to Romania, for example, is predicated on abundant Caucasus solar and gas resources. This paper refers to converting these resource endowments into exportable compute as </w:t>
      </w:r>
      <w:r>
        <w:rPr>
          <w:i/>
        </w:rPr>
        <w:t>FLOP exporting</w:t>
      </w:r>
      <w:r>
        <w:t xml:space="preserve">—the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(operated by providers such as Amazon Web Services, Microsoft Azure, or Google Cloud) employs only about 50 permanent staff (</w:t>
      </w:r>
      <w:bookmarkStart w:id="234" w:name="UptimeInstitute2024txt"/>
      <w:hyperlink w:anchor="UptimeInstitute2024" w:history="1">
        <w:r>
          <w:rPr>
            <w:color w:val="1F3864"/>
            <w:u w:val="single"/>
          </w:rPr>
          <w:t xml:space="preserve">Uptime Institute 2024</w:t>
        </w:r>
      </w:hyperlink>
      <w:bookmarkEnd w:id="234"/>
      <w:r>
        <w:t xml:space="preserve">), so the human capital constraints that have historically limited export upgrading in developing countries (</w:t>
      </w:r>
      <w:bookmarkStart w:id="202" w:name="Hausmann2007txt"/>
      <w:hyperlink w:anchor="Hausmann2007" w:history="1">
        <w:r>
          <w:rPr>
            <w:color w:val="1F3864"/>
            <w:u w:val="single"/>
          </w:rPr>
          <w:t xml:space="preserve">Hausmann, Hwang, and Rodrik 2007</w:t>
        </w:r>
      </w:hyperlink>
      <w:bookmarkEnd w:id="202"/>
      <w:r>
        <w:t xml:space="preserve">) are largely absent.</w:t>
      </w:r>
      <w:r>
        <w:rPr>
          <w:rStyle w:val="FootnoteReference"/>
        </w:rPr>
        <w:footnoteReference w:id="3"/>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pPr>
        <w:spacing w:before="0" w:after="160"/>
        <w:ind w:firstLine="0"/>
        <w:jc w:val="both"/>
      </w:pPr>
      <w:r>
        <w:t xml:space="preserve">Recent megaprojects across Africa, the Middle East, and Central Asia confirm that FLOP exporting is already feasible. Armenia is deploying 50,000 GPUs in a $4 billion AI megaproject (</w:t>
      </w:r>
      <w:bookmarkStart w:id="203" w:name="Firebird2026txt"/>
      <w:hyperlink w:anchor="Firebird2026" w:history="1">
        <w:r>
          <w:rPr>
            <w:color w:val="1F3864"/>
            <w:u w:val="single"/>
          </w:rPr>
          <w:t xml:space="preserve">Firebird 2026</w:t>
        </w:r>
      </w:hyperlink>
      <w:bookmarkEnd w:id="203"/>
      <w:r>
        <w:t xml:space="preserve">),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equivalent to over 15% of Kyrgyzstan’s $3.8 billion in goods exports (</w:t>
      </w:r>
      <w:bookmarkStart w:id="204" w:name="WorldBank2024txt"/>
      <w:hyperlink w:anchor="WorldBank2024" w:history="1">
        <w:r>
          <w:rPr>
            <w:color w:val="1F3864"/>
            <w:u w:val="single"/>
          </w:rPr>
          <w:t xml:space="preserve">World Bank 2024</w:t>
        </w:r>
      </w:hyperlink>
      <w:bookmarkEnd w:id="204"/>
      <w:r>
        <w:t xml:space="preserve">).</w:t>
      </w:r>
      <w:r>
        <w:rPr>
          <w:rStyle w:val="FootnoteReference"/>
        </w:rPr>
        <w:footnoteReference w:id="5"/>
      </w:r>
    </w:p>
    <w:p>
      <w:pPr>
        <w:spacing w:before="0" w:after="160"/>
        <w:ind w:firstLine="0"/>
        <w:jc w:val="both"/>
      </w:pPr>
      <w:r>
        <w:t xml:space="preserve">A growing literature examines compute governance and the geography of AI infrastructure (</w:t>
      </w:r>
      <w:bookmarkStart w:id="235" w:name="Sastry2024txt"/>
      <w:hyperlink w:anchor="Sastry2024" w:history="1">
        <w:r>
          <w:rPr>
            <w:color w:val="1F3864"/>
            <w:u w:val="single"/>
          </w:rPr>
          <w:t xml:space="preserve">Sastry, Heim, et al. 2024</w:t>
        </w:r>
      </w:hyperlink>
      <w:bookmarkEnd w:id="235"/>
      <w:r>
        <w:t xml:space="preserve">, </w:t>
      </w:r>
      <w:bookmarkStart w:id="205" w:name="Lehdonvirta2024txt"/>
      <w:hyperlink w:anchor="Lehdonvirta2024" w:history="1">
        <w:r>
          <w:rPr>
            <w:color w:val="1F3864"/>
            <w:u w:val="single"/>
          </w:rPr>
          <w:t xml:space="preserve">Lehdonvirta, Wu, and Hawkins 2024</w:t>
        </w:r>
      </w:hyperlink>
      <w:bookmarkEnd w:id="205"/>
      <w:r>
        <w:t xml:space="preserve">, </w:t>
      </w:r>
      <w:bookmarkStart w:id="236" w:name="Pilz2025txt"/>
      <w:hyperlink w:anchor="Pilz2025" w:history="1">
        <w:r>
          <w:rPr>
            <w:color w:val="1F3864"/>
            <w:u w:val="single"/>
          </w:rPr>
          <w:t xml:space="preserve">Pilz, Mahmood, and Heim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it characterizes the resulting trade regimes (which countries export, which import, and which adopt hybrid strategies) and shows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6" w:name="Goldfarb2018txt"/>
      <w:hyperlink w:anchor="Goldfarb2018" w:history="1">
        <w:r>
          <w:rPr>
            <w:color w:val="1F3864"/>
            <w:u w:val="single"/>
          </w:rPr>
          <w:t xml:space="preserve">Goldfarb and Trefler (2018)</w:t>
        </w:r>
      </w:hyperlink>
      <w:bookmarkEnd w:id="206"/>
      <w:r>
        <w:t xml:space="preserve"> argue that AI shifts comparative advantage toward countries with data, human capital, and institutional capacity. The model introduces a complementary channel—comparative advantage in compute </w:t>
      </w:r>
      <w:r>
        <w:rPr>
          <w:i/>
        </w:rPr>
        <w:t>production</w:t>
      </w:r>
      <w:r>
        <w:t xml:space="preserve"> depends on electricity costs and climate, so resource-rich countries could become compute exporters without domestic AI research industries. </w:t>
      </w:r>
      <w:bookmarkStart w:id="237" w:name="Korinek2021txt"/>
      <w:hyperlink w:anchor="Korinek2021" w:history="1">
        <w:r>
          <w:rPr>
            <w:color w:val="1F3864"/>
            <w:u w:val="single"/>
          </w:rPr>
          <w:t xml:space="preserve">Korinek and Stiglitz (2021)</w:t>
        </w:r>
      </w:hyperlink>
      <w:bookmarkEnd w:id="237"/>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207" w:name="Hausmann2007txt"/>
      <w:hyperlink w:anchor="Hausmann2007" w:history="1">
        <w:r>
          <w:rPr>
            <w:color w:val="1F3864"/>
            <w:u w:val="single"/>
          </w:rPr>
          <w:t xml:space="preserve">Hausmann, Hwang, and Rodrik (2007)</w:t>
        </w:r>
      </w:hyperlink>
      <w:bookmarkEnd w:id="207"/>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the model, network infrastructure plays the analogous role for digital trade. </w:t>
      </w:r>
      <w:bookmarkStart w:id="251" w:name="Krugman1991txt"/>
      <w:hyperlink w:anchor="Krugman1991" w:history="1">
        <w:r>
          <w:rPr>
            <w:color w:val="1F3864"/>
            <w:u w:val="single"/>
          </w:rPr>
          <w:t xml:space="preserve">Krugman (1991)</w:t>
        </w:r>
      </w:hyperlink>
      <w:bookmarkEnd w:id="251"/>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 a simplification discussed further in the calibration.</w:t>
      </w:r>
    </w:p>
    <w:p>
      <w:pPr>
        <w:spacing w:before="0" w:after="160"/>
        <w:ind w:firstLine="0"/>
        <w:jc w:val="both"/>
      </w:pPr>
      <w:r>
        <w:t xml:space="preserve">A growing literature examines the determinants of data center location. </w:t>
      </w:r>
      <w:bookmarkStart w:id="208" w:name="Flucker2013txt"/>
      <w:hyperlink w:anchor="Flucker2013" w:history="1">
        <w:r>
          <w:rPr>
            <w:color w:val="1F3864"/>
            <w:u w:val="single"/>
          </w:rPr>
          <w:t xml:space="preserve">Flucker, Tozer, and Whitehead (2013)</w:t>
        </w:r>
      </w:hyperlink>
      <w:bookmarkEnd w:id="208"/>
      <w:r>
        <w:t xml:space="preserve"> show that climate affects data center cooling costs. </w:t>
      </w:r>
      <w:bookmarkStart w:id="239" w:name="Oltmanns2021txt"/>
      <w:hyperlink w:anchor="Oltmanns2021" w:history="1">
        <w:r>
          <w:rPr>
            <w:color w:val="1F3864"/>
            <w:u w:val="single"/>
          </w:rPr>
          <w:t xml:space="preserve">Oltmanns, Krcmarik, and Gatti (2021)</w:t>
        </w:r>
      </w:hyperlink>
      <w:bookmarkEnd w:id="239"/>
      <w:r>
        <w:t xml:space="preserve"> model data center location as a function of electricity prices, climate, connectivity, and political stability.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52" w:name="HMY2004txt"/>
      <w:hyperlink w:anchor="HMY2004" w:history="1">
        <w:r>
          <w:rPr>
            <w:color w:val="1F3864"/>
            <w:u w:val="single"/>
          </w:rPr>
          <w:t xml:space="preserve">Helpman, Melitz, and Yeaple (2004)</w:t>
        </w:r>
      </w:hyperlink>
      <w:bookmarkEnd w:id="252"/>
      <w:r>
        <w:t xml:space="preserve"> extend this to heterogeneous firms choosing between exporting and FDI.</w:t>
      </w:r>
    </w:p>
    <w:p>
      <w:pPr>
        <w:spacing w:before="0" w:after="160"/>
        <w:ind w:firstLine="0"/>
        <w:jc w:val="both"/>
      </w:pPr>
      <w:r>
        <w:t xml:space="preserve">Several recent papers address compute governance. </w:t>
      </w:r>
      <w:bookmarkStart w:id="240" w:name="Sastry2024txt"/>
      <w:hyperlink w:anchor="Sastry2024" w:history="1">
        <w:r>
          <w:rPr>
            <w:color w:val="1F3864"/>
            <w:u w:val="single"/>
          </w:rPr>
          <w:t xml:space="preserve">Sastry, Heim, et al. (2024)</w:t>
        </w:r>
      </w:hyperlink>
      <w:bookmarkEnd w:id="240"/>
      <w:r>
        <w:t xml:space="preserve"> argue that compute is well-suited for regulation because governments can track how many chips exist, restrict who buys them, and measure how much computation they perform. </w:t>
      </w:r>
      <w:bookmarkStart w:id="209" w:name="Lehdonvirta2024txt"/>
      <w:hyperlink w:anchor="Lehdonvirta2024" w:history="1">
        <w:r>
          <w:rPr>
            <w:color w:val="1F3864"/>
            <w:u w:val="single"/>
          </w:rPr>
          <w:t xml:space="preserve">Lehdonvirta, Wu, and Hawkins (2024)</w:t>
        </w:r>
      </w:hyperlink>
      <w:bookmarkEnd w:id="209"/>
      <w:r>
        <w:t xml:space="preserve"> map the global geography of cloud GPU infrastructure, distinguishing a “Compute North” with training-capable hardware from a “Compute South” limited to inference-grade chips. </w:t>
      </w:r>
      <w:bookmarkStart w:id="241" w:name="Pilz2025txt"/>
      <w:hyperlink w:anchor="Pilz2025" w:history="1">
        <w:r>
          <w:rPr>
            <w:color w:val="1F3864"/>
            <w:u w:val="single"/>
          </w:rPr>
          <w:t xml:space="preserve">Pilz, Mahmood, and Heim (2025)</w:t>
        </w:r>
      </w:hyperlink>
      <w:bookmarkEnd w:id="241"/>
      <w:r>
        <w:t xml:space="preserve"> project that AI data center power demand could reach 327 GW by 2030 and that domestic power shortages may push compute infrastructure abroad.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fills that gap by treating compute as a tradeable good whose production cost varies across countries, whose delivery cost differs between training (latency-insensitive) and inference (latency-sensitive), and whose sourcing is shaped by a sovereignty premium that captures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The production of compute at scale takes place in data centers that house thousands of GPU-equipped servers. Consider </w:t>
      </w:r>
      <m:oMath>
        <m:r>
          <m:rPr>
            <m:sty m:val="i"/>
          </m:rPr>
          <w:rPr>
            <w:rFonts w:ascii="Cambria Math" w:hAnsi="Cambria Math"/>
          </w:rPr>
          <m:t xml:space="preserve">N</m:t>
        </m:r>
      </m:oMath>
      <w:r>
        <w:t xml:space="preserve"> countries, each capable of producing compute services. The unit cost of producing one GPU-hour of compute in country </w:t>
      </w:r>
      <m:oMath>
        <m:r>
          <m:rPr>
            <m:sty m:val="i"/>
          </m:rPr>
          <w:rPr>
            <w:rFonts w:ascii="Cambria Math" w:hAnsi="Cambria Math"/>
          </w:rPr>
          <m:t xml:space="preserve">j</m:t>
        </m:r>
      </m:oMath>
      <w:r>
        <w:t xml:space="preserve"> depends on three inputs—electricity, hardware, and data center construction.</w:t>
      </w:r>
      <w:r>
        <w:rPr>
          <w:rStyle w:val="FootnoteReference"/>
        </w:rPr>
        <w:footnoteReference w:id="6"/>
      </w:r>
    </w:p>
    <w:p>
      <w:pPr>
        <w:spacing w:before="0" w:after="40"/>
        <w:ind w:firstLine="0"/>
        <w:jc w:val="both"/>
      </w:pPr>
      <w:r>
        <w:t xml:space="preserve">The key cost driver is the GPU’s power draw, the electrical power it consumes during operation. Power draw is denoted by </w:t>
      </w:r>
      <m:oMath>
        <m:r>
          <m:rPr>
            <m:sty m:val="i"/>
          </m:rPr>
          <w:rPr>
            <w:rFonts w:ascii="Cambria Math" w:hAnsi="Cambria Math"/>
          </w:rPr>
          <m:t xml:space="preserve">γ</m:t>
        </m:r>
      </m:oMath>
      <w:r>
        <w:t xml:space="preserve">, measured in kilowatts (kW). The actual electricity consumed depends also on the </w:t>
      </w:r>
      <w:r>
        <w:rPr>
          <w:i/>
        </w:rPr>
        <w:t>power usage effectiveness</w:t>
      </w:r>
      <w:r>
        <w:t xml:space="preserve"> PUE(</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where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the peak summer temperature (°C) in country </w:t>
      </w:r>
      <m:oMath>
        <m:r>
          <m:rPr>
            <m:sty m:val="i"/>
          </m:rPr>
          <w:rPr>
            <w:rFonts w:ascii="Cambria Math" w:hAnsi="Cambria Math"/>
          </w:rPr>
          <m:t xml:space="preserve">j</m:t>
        </m:r>
      </m:oMath>
      <w:r>
        <w:t xml:space="preserve">. PUE is the dimensionless ratio of total facility energy to IT equipment energy, and it ranges from 1.08 in cold climates to over 1.4 in hot ones (</w:t>
      </w:r>
      <w:bookmarkStart w:id="210" w:name="Flucker2013txt"/>
      <w:hyperlink w:anchor="Flucker2013" w:history="1">
        <w:r>
          <w:rPr>
            <w:color w:val="1F3864"/>
            <w:u w:val="single"/>
          </w:rPr>
          <w:t xml:space="preserve">Flucker, Tozer, and Whitehead 2013</w:t>
        </w:r>
      </w:hyperlink>
      <w:bookmarkEnd w:id="210"/>
      <w:r>
        <w:t xml:space="preserve">).</w:t>
      </w:r>
      <w:r>
        <w:rPr>
          <w:rStyle w:val="FootnoteReference"/>
        </w:rPr>
        <w:footnoteReference w:id="7"/>
      </w:r>
      <w:r>
        <w:t xml:space="preserve"> PUE is modeled as: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φ</m:t>
        </m:r>
      </m:oMath>
      <w:r>
        <w:t xml:space="preserve"> is the baseline PUE in cold climates, </w:t>
      </w:r>
      <m:oMath>
        <m:r>
          <m:rPr>
            <m:sty m:val="i"/>
          </m:rPr>
          <w:rPr>
            <w:rFonts w:ascii="Cambria Math" w:hAnsi="Cambria Math"/>
          </w:rPr>
          <m:t xml:space="preserve">δ</m:t>
        </m:r>
      </m:oMath>
      <w:r>
        <w:t xml:space="preserve"> is the PUE sensitivity per °C above the reference, and </w:t>
      </w:r>
      <m:oMath>
        <m:bar>
          <m:barPr>
            <m:pos m:val="top"/>
          </m:barPr>
          <m:e>
            <m:r>
              <m:rPr>
                <m:sty m:val="i"/>
              </m:rPr>
              <w:rPr>
                <w:rFonts w:ascii="Cambria Math" w:hAnsi="Cambria Math"/>
              </w:rPr>
              <m:t xml:space="preserve">θ</m:t>
            </m:r>
          </m:e>
        </m:bar>
      </m:oMath>
      <w:r>
        <w:t xml:space="preserve"> is the reference temperature. These parameters are calibrated in Section 6.</w:t>
      </w:r>
      <w:r>
        <w:rPr>
          <w:rStyle w:val="FootnoteReference"/>
        </w:rPr>
        <w:footnoteReference w:id="8"/>
      </w:r>
    </w:p>
    <w:p>
      <w:pPr>
        <w:spacing w:before="0" w:after="40"/>
        <w:ind w:firstLine="0"/>
        <w:jc w:val="both"/>
      </w:pPr>
      <w:r>
        <w:t xml:space="preserve">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r>
          <m:rPr>
            <m:sty m:val="i"/>
          </m:rPr>
          <w:rPr>
            <w:rFonts w:ascii="Cambria Math" w:hAnsi="Cambria Math"/>
          </w:rPr>
          <m:t xml:space="preserve">ρ</m:t>
        </m:r>
      </m:oMath>
      <w:r>
        <w:t xml:space="preserve"> is the amortized hardware cost per GPU-hour: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with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the GPU purchase price, </w:t>
      </w:r>
      <m:oMath>
        <m:r>
          <m:rPr>
            <m:sty m:val="i"/>
          </m:rPr>
          <w:rPr>
            <w:rFonts w:ascii="Cambria Math" w:hAnsi="Cambria Math"/>
          </w:rPr>
          <m:t xml:space="preserve">L</m:t>
        </m:r>
      </m:oMath>
      <w:r>
        <w:t xml:space="preserve"> the lifetime in years, </w:t>
      </w:r>
      <m:oMath>
        <m:r>
          <m:rPr>
            <m:sty m:val="i"/>
          </m:rPr>
          <w:rPr>
            <w:rFonts w:ascii="Cambria Math" w:hAnsi="Cambria Math"/>
          </w:rPr>
          <m:t xml:space="preserve">H</m:t>
        </m:r>
      </m:oMath>
      <w:r>
        <w:t xml:space="preserve"> = 8,766 hours per year, and </w:t>
      </w:r>
      <m:oMath>
        <m:r>
          <m:rPr>
            <m:sty m:val="i"/>
          </m:rPr>
          <w:rPr>
            <w:rFonts w:ascii="Cambria Math" w:hAnsi="Cambria Math"/>
          </w:rPr>
          <m:t xml:space="preserve">β</m:t>
        </m:r>
      </m:oMath>
      <w:r>
        <w:t xml:space="preserve"> the utilization rate.</w:t>
      </w:r>
      <w:r>
        <w:rPr>
          <w:rStyle w:val="FootnoteReference"/>
        </w:rPr>
        <w:footnoteReference w:id="9"/>
      </w:r>
      <w:r>
        <w:t xml:space="preserve"> The term </w:t>
      </w:r>
      <m:oMath>
        <m:r>
          <m:rPr>
            <m:sty m:val="i"/>
          </m:rPr>
          <w:rPr>
            <w:rFonts w:ascii="Cambria Math" w:hAnsi="Cambria Math"/>
          </w:rPr>
          <m:t xml:space="preserve">η</m:t>
        </m:r>
      </m:oMath>
      <w:r>
        <w:t xml:space="preserve"> captures networking costs (high-speed interconnect fabric such as InfiniBand), which can represent 15–25% of total system cost in a large training cluster (</w:t>
      </w:r>
      <w:bookmarkStart w:id="211" w:name="Barroso2018txt"/>
      <w:hyperlink w:anchor="Barroso2018" w:history="1">
        <w:r>
          <w:rPr>
            <w:color w:val="1F3864"/>
            <w:u w:val="single"/>
          </w:rPr>
          <w:t xml:space="preserve">Barroso, Hölzle, and Ranganathan 2018</w:t>
        </w:r>
      </w:hyperlink>
      <w:bookmarkEnd w:id="211"/>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by global hardware markets and are common across countries.</w:t>
      </w:r>
      <w:r>
        <w:rPr>
          <w:rStyle w:val="FootnoteReference"/>
        </w:rPr>
        <w:footnoteReference w:id="10"/>
      </w:r>
      <w:r>
        <w:t xml:space="preserve"> The first term is the PUE-adjusted electricity cost. The second is amortized hardware. The third is amortized construction.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(through PUE), and construction costs.</w:t>
      </w:r>
    </w:p>
    <w:p>
      <w:pPr>
        <w:spacing w:before="0" w:after="40"/>
        <w:ind w:firstLine="0"/>
        <w:jc w:val="both"/>
      </w:pPr>
      <w:r>
        <w:t xml:space="preserve">Equation (2) measures the engineering cost of producing a GPU-hour but abstracts from institutional factors that affect whether that GPU-hour is actually delivered. Grid outages, regulatory unpredictability, and sanctions risk all reduce effective output. To capture these factors, define a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that measures the fraction of potential GPU-hours that country </w:t>
      </w:r>
      <m:oMath>
        <m:r>
          <m:rPr>
            <m:sty m:val="i"/>
          </m:rPr>
          <w:rPr>
            <w:rFonts w:ascii="Cambria Math" w:hAnsi="Cambria Math"/>
          </w:rPr>
          <m:t xml:space="preserve">j</m:t>
        </m:r>
      </m:oMath>
      <w:r>
        <w:t xml:space="preserve"> actually delivers. The reliability-adjusted cost is then</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c</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001" w:name="Eq2a"/>
            <w:r>
              <w:t>(2a)</w:t>
            </w:r>
            <w:bookmarkEnd w:id="1001"/>
          </w:p>
        </w:tc>
      </w:tr>
    </w:tbl>
    <w:p>
      <w:pPr>
        <w:spacing w:before="0" w:after="160"/>
        <w:ind w:firstLine="0"/>
        <w:jc w:val="both"/>
      </w:pPr>
      <w:r>
        <w:t xml:space="preserve">where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combines governance quality (rule of law, contract enforcement), grid reliability (frequency and duration of power outages), and sanctions exposure (trade restrictions on GPU imports). For countries with reliable grids, strong institutions,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and the adjustment is negligible. For countries with frequent outages or sanctions constraints,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falls well below one, raising effective costs above what the engineering parameters alone would imply. The baseline calibration sets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all countries and reports reliability-adjusted rankings as a robustness exercise.</w:t>
      </w:r>
    </w:p>
    <w:p>
      <w:pPr>
        <w:pStyle w:val="Heading2"/>
      </w:pPr>
      <w:r>
        <w:rPr>
          <w:rFonts w:ascii="Times New Roman" w:hAnsi="Times New Roman"/>
          <w:b w:val="0"/>
          <w:i/>
          <w:color w:val="2F5496"/>
          <w:sz w:val="24"/>
        </w:rPr>
        <w:t>3.2 Trade Costs</w:t>
      </w:r>
    </w:p>
    <w:p>
      <w:pPr>
        <w:spacing w:before="0" w:after="160"/>
        <w:ind w:firstLine="0"/>
        <w:jc w:val="both"/>
      </w:pPr>
      <w:r>
        <w:t xml:space="preserve">Following the trade-in-tasks framework of </w:t>
      </w:r>
      <w:bookmarkStart w:id="212" w:name="Grossman2008txt"/>
      <w:hyperlink w:anchor="Grossman2008" w:history="1">
        <w:r>
          <w:rPr>
            <w:color w:val="1F3864"/>
            <w:u w:val="single"/>
          </w:rPr>
          <w:t xml:space="preserve">Grossman and Rossi-Hansberg (2008)</w:t>
        </w:r>
      </w:hyperlink>
      <w:bookmarkEnd w:id="212"/>
      <w:r>
        <w:t xml:space="preserve"> and the iceberg cost structure of </w:t>
      </w:r>
      <w:bookmarkStart w:id="242" w:name="EatonKortum2002txt"/>
      <w:hyperlink w:anchor="EatonKortum2002" w:history="1">
        <w:r>
          <w:rPr>
            <w:color w:val="1F3864"/>
            <w:u w:val="single"/>
          </w:rPr>
          <w:t xml:space="preserve">Eaton and Kortum (2002)</w:t>
        </w:r>
      </w:hyperlink>
      <w:bookmarkEnd w:id="242"/>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encompass real-time workloads such as chatbot responses, autonomous decisions, and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server country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and back, measured in milliseconds (ms). Within a country, latency is typically 5–10 ms, while across continents it can exceed 150 ms. For training, the workload ships to the producer, so effective latency is zero.</w:t>
      </w:r>
    </w:p>
    <w:p>
      <w:pPr>
        <w:spacing w:before="0" w:after="160"/>
        <w:ind w:firstLine="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producer,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producer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(foreign sourcing)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(domestic).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has zero effective latency)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degrades with latency). This iceberg formulation parallels </w:t>
      </w:r>
      <w:bookmarkStart w:id="213" w:name="Hummels2013txt"/>
      <w:hyperlink w:anchor="Hummels2013" w:history="1">
        <w:r>
          <w:rPr>
            <w:color w:val="1F3864"/>
            <w:u w:val="single"/>
          </w:rPr>
          <w:t xml:space="preserve">Hummels and Schaur (2013)</w:t>
        </w:r>
      </w:hyperlink>
      <w:bookmarkEnd w:id="213"/>
      <w:r>
        <w:t xml:space="preserve">, who estimate that each day of shipping time is equivalent to a tariff. Here, milliseconds replace days and network latency replaces shipping time. In practice, GPU compute time (100–500 ms for a large language model response) dominates network round-trip time (20–150 ms). The latency penalty in </w:t>
      </w:r>
      <w:bookmarkStart w:id="900" w:name="Eq3txt900"/>
      <w:hyperlink w:anchor="Eq3" w:history="1">
        <w:r>
          <w:rPr>
            <w:color w:val="1F3864"/>
            <w:u w:val="single"/>
          </w:rPr>
          <w:t xml:space="preserve">equation (3)</w:t>
        </w:r>
      </w:hyperlink>
      <w:bookmarkEnd w:id="900"/>
      <w:r>
        <w:t xml:space="preserve"> therefore captures only the incremental network component, making it a conservative estimate of the total latency cost of offshoring inference. This also implies that the geographic radius from which inference can be competitively served is wider than network latency alone would suggest.</w:t>
      </w:r>
    </w:p>
    <w:p>
      <w:pPr>
        <w:spacing w:before="0" w:after="160"/>
        <w:ind w:firstLine="0"/>
        <w:jc w:val="both"/>
      </w:pPr>
      <w:r>
        <w:t xml:space="preserve">For training, </w:t>
      </w:r>
      <w:bookmarkStart w:id="901" w:name="Eq3txt901"/>
      <w:hyperlink w:anchor="Eq3" w:history="1">
        <w:r>
          <w:rPr>
            <w:color w:val="1F3864"/>
            <w:u w:val="single"/>
          </w:rPr>
          <w:t xml:space="preserve">equation (3)</w:t>
        </w:r>
      </w:hyperlink>
      <w:bookmarkEnd w:id="901"/>
      <w:r>
        <w:t xml:space="preserve"> simplifies to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—the delivered cost depends only on the production cost and whether the source is foreign. For inference, the full form of </w:t>
      </w:r>
      <w:bookmarkStart w:id="902" w:name="Eq3txt902"/>
      <w:hyperlink w:anchor="Eq3" w:history="1">
        <w:r>
          <w:rPr>
            <w:color w:val="1F3864"/>
            <w:u w:val="single"/>
          </w:rPr>
          <w:t xml:space="preserve">equation (3)</w:t>
        </w:r>
      </w:hyperlink>
      <w:bookmarkEnd w:id="902"/>
      <w:r>
        <w:t xml:space="preserve"> applies, including the latency term. In practice, inference also faces a hard latency ceiling.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This is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 Training workloads also incur data transfer costs. Moving petabytes of training data to a remote facility requires substantial bandwidth and time. These data egress costs are not modeled explicitly but would further raise the effective cost of offshored training, particularly for bandwidth-constrained developing countries.</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consuming country </w:t>
      </w:r>
      <m:oMath>
        <m:r>
          <m:rPr>
            <m:sty m:val="i"/>
          </m:rPr>
          <w:rPr>
            <w:rFonts w:ascii="Cambria Math" w:hAnsi="Cambria Math"/>
          </w:rPr>
          <m:t xml:space="preserve">k</m:t>
        </m:r>
      </m:oMath>
      <w:r>
        <w:t>. Rather than relying on GDP as a proxy, the paper measures compute demand using installed data center capacity in megawatts (MW), compiled from industry sources: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(MW).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binary split between training and inference is a simplification. Emerging workload categories, notably agentic inference (long-running, multi-step reasoning tasks) and fine-tuning (rapid iterative retraining on proprietary data), occupy a middle ground, tolerating moderate latency but requiring sustained GPU allocation and proximity to data. The model’s training share </w:t>
      </w:r>
      <m:oMath>
        <m:r>
          <m:rPr>
            <m:sty m:val="i"/>
          </m:rPr>
          <w:rPr>
            <w:rFonts w:ascii="Cambria Math" w:hAnsi="Cambria Math"/>
          </w:rPr>
          <m:t xml:space="preserve">α</m:t>
        </m:r>
      </m:oMath>
      <w:r>
        <w:t xml:space="preserve"> should therefore be interpreted as the share of compute that is fully latency-insensitive and freely offshorable. The effective offshorable share may be smaller as agentic and fine-tuning workloads grow. Using installed capacity to proxy demand is a static assumption that measures where compute demand currently sits, not where it will be as AI adoption grows. Endogenizing demand, for instance proportional to GDP or digital adoption, is a natural extension. The static specification is conservative in that it assigns demand to countries that already have infrastructure, understating export opportunities for low-cost producers that could serve future demand growth in emerging markets.</w:t>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consuming country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4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Following </w:t>
      </w:r>
      <w:bookmarkStart w:id="214" w:name="DFS1977txt"/>
      <w:hyperlink w:anchor="DFS1977" w:history="1">
        <w:r>
          <w:rPr>
            <w:color w:val="1F3864"/>
            <w:u w:val="single"/>
          </w:rPr>
          <w:t xml:space="preserve">Dornbusch, Fischer, and Samuelson (1977)</w:t>
        </w:r>
      </w:hyperlink>
      <w:bookmarkEnd w:id="214"/>
      <w:r>
        <w:t xml:space="preserve">, countries are ranked by production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 xml:space="preserve">. In the capacity-constrained equilibrium, exporters fill demand in cost order, with country (1) supplying up to its capacity, then country (2), and so on.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at which cumulative capacity first meets export demand. The equilibrium training price equals the marginal exporter’s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measured in GPU-hours per period, representing the maximum volume of compute the country can supply. This ceiling reflects the joint constraint of grid electricity availability, institutional capacity for data center permitting and construction, and access to GPU financing. 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on cheap producers,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measuring the incremental gain from relaxing the capacity ceiling by one GPU-hour.</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demand center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FOB-equivalent inference price for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7" w:name="Eq7"/>
            <w:r>
              <w:t>(7)</w:t>
            </w:r>
            <w:bookmarkEnd w:id="807"/>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pPr>
        <w:pStyle w:val="Heading1"/>
      </w:pPr>
      <w:r>
        <w:rPr>
          <w:rFonts w:ascii="Times New Roman" w:hAnsi="Times New Roman"/>
          <w:b/>
          <w:color w:val="2F5496"/>
          <w:sz w:val="28"/>
        </w:rPr>
        <w:t>4. Equilibrium Properties Results</w:t>
      </w:r>
    </w:p>
    <w:p>
      <w:pPr>
        <w:spacing w:before="0" w:after="160"/>
        <w:ind w:firstLine="0"/>
        <w:jc w:val="both"/>
      </w:pPr>
      <w:r>
        <w:t>This section derives the formal properties of the capacity-constrained equilibrium defined in Section 3. Full derivations appear in Appendix B. All propositions hold for general parameter values, and country-specific numerical examples are deferred to the calibration (Section 6).</w:t>
      </w:r>
    </w:p>
    <w:p>
      <w:pPr>
        <w:spacing w:before="0" w:after="160"/>
        <w:ind w:firstLine="0"/>
        <w:jc w:val="both"/>
      </w:pPr>
      <w:r>
        <w:rPr>
          <w:b/>
        </w:rPr>
        <w:t xml:space="preserve">Proposition 1 (Country Taxonomy). </w:t>
      </w:r>
      <w:r>
        <w:t>In equilibrium, each country falls into exactly one of three regimes: (i) exporter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when the country supplies compute to the world market up to its capacity, (ii) domestic producer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the sovereignty premium makes domestic production cheaper than importing, and (iii) importer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even with the sovereignty markup, foreign compute is cheaper. The three cases partition the cost space and are mutually exclusive.</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t>
      </w:r>
      <w:bookmarkStart w:id="215" w:name="DOJFTC2010txt"/>
      <w:hyperlink w:anchor="DOJFTC2010" w:history="1">
        <w:r>
          <w:rPr>
            <w:color w:val="1F3864"/>
            <w:u w:val="single"/>
          </w:rPr>
          <w:t xml:space="preserve">U.S. DOJ and FTC 2010</w:t>
        </w:r>
      </w:hyperlink>
      <w:bookmarkEnd w:id="215"/>
      <w:r>
        <w:t xml:space="preserve">). The proof follows from the strict Cauchy-Schwarz inequality when at least two producers hold positive market shares.</w:t>
      </w:r>
    </w:p>
    <w:p>
      <w:pPr>
        <w:spacing w:before="0" w:after="160"/>
        <w:ind w:firstLine="0"/>
        <w:jc w:val="both"/>
      </w:pPr>
      <w:r>
        <w:rPr>
          <w:b/>
        </w:rPr>
        <w:t xml:space="preserve">Proposition 3 (Sovereignty Switching Threshold). </w:t>
      </w:r>
      <w:r>
        <w:t xml:space="preserve">A country will bear the extra cost of domestic AI training only if its sovereignty premium is large enough to justify the price gap with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lower the sovereignty premium needed for domestic production because the higher world price makes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for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oMath>
      <w:r>
        <w:t xml:space="preserve"> produce domestically at above-world-price costs). Under capacity constraints, both components are smaller than in the unconstrained model because the higher world price narrows the gap between domestic and import costs.</w:t>
      </w:r>
    </w:p>
    <w:p>
      <w:pPr>
        <w:spacing w:before="0" w:after="160"/>
        <w:ind w:firstLine="0"/>
        <w:jc w:val="both"/>
      </w:pPr>
      <w:r>
        <w:rPr>
          <w:rFonts w:ascii="Times New Roman" w:hAnsi="Times New Roman"/>
          <w:b w:val="0"/>
          <w:i/>
          <w:sz w:val="24"/>
        </w:rPr>
        <w:t xml:space="preserve">Demand spillover. </w:t>
      </w:r>
      <w:r>
        <w:t>When a low-cost exporter hits its capacity ceiling, excess demand spills to the next cheapest feasible supplier. This cascade mechanism generates a distinctive pattern in which countries that would be excluded from the export market in the unconstrained model become second-tier exporters when cheaper countries are capacity-constrained, providing a theoretical foundation for mid-cost countries capturing meaningful export shares.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which corresponds to large industrial consumers (</w:t>
      </w:r>
      <w:bookmarkStart w:id="243" w:name="Eurostat2025txt"/>
      <w:hyperlink w:anchor="Eurostat2025" w:history="1">
        <w:r>
          <w:rPr>
            <w:color w:val="1F3864"/>
            <w:u w:val="single"/>
          </w:rPr>
          <w:t xml:space="preserve">Eurostat 2025</w:t>
        </w:r>
      </w:hyperlink>
      <w:bookmarkEnd w:id="243"/>
      <w:r>
        <w:t xml:space="preserve">). For non-European countries, the paper uses national regulator tariff sheets and secondary sources, including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(Barki Tojik, AERA, Ministry of Energy of Uzbekistan), and </w:t>
      </w:r>
      <w:bookmarkStart w:id="216" w:name="GlobalPetrolPrices2025txt"/>
      <w:hyperlink w:anchor="GlobalPetrolPrices2025" w:history="1">
        <w:r>
          <w:rPr>
            <w:color w:val="1F3864"/>
            <w:u w:val="single"/>
          </w:rPr>
          <w:t xml:space="preserve">GlobalPetrolPrices (2025)</w:t>
        </w:r>
      </w:hyperlink>
      <w:bookmarkEnd w:id="216"/>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8" w:name="TurnerTownsend2025txt"/>
      <w:hyperlink w:anchor="TurnerTownsend2025" w:history="1">
        <w:r>
          <w:rPr>
            <w:color w:val="1F3864"/>
            <w:u w:val="single"/>
          </w:rPr>
          <w:t xml:space="preserve">Turner &amp; Townsend 2025</w:t>
        </w:r>
      </w:hyperlink>
      <w:bookmarkEnd w:id="218"/>
      <w:r>
        <w:t xml:space="preserve">). For the remaining countries, construction costs are predicted using a log-linear regression of ln($/W) on ln(GDP per capita), urban population share, a seismic zone indicator, and </w:t>
      </w:r>
      <w:bookmarkStart w:id="244" w:name="WorldBank2024txt"/>
      <w:hyperlink w:anchor="WorldBank2024" w:history="1">
        <w:r>
          <w:rPr>
            <w:color w:val="1F3864"/>
            <w:u w:val="single"/>
          </w:rPr>
          <w:t xml:space="preserve">World Bank</w:t>
        </w:r>
      </w:hyperlink>
      <w:bookmarkEnd w:id="244"/>
      <w:r>
        <w:t xml:space="preserve"> regional dummies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2"/>
      </w:r>
      <w:r>
        <w:t xml:space="preserve"> Costs are amortized over 15 years. The per-GPU construction cost in </w:t>
      </w:r>
      <w:bookmarkStart w:id="903" w:name="Eq2txt903"/>
      <w:hyperlink w:anchor="Eq2" w:history="1">
        <w:r>
          <w:rPr>
            <w:color w:val="1F3864"/>
            <w:u w:val="single"/>
          </w:rPr>
          <w:t xml:space="preserve">equation (2)</w:t>
        </w:r>
      </w:hyperlink>
      <w:bookmarkEnd w:id="903"/>
      <w:r>
        <w:t xml:space="preserve"> equals 700 W (the GPU thermal design power) times the build cost per watt.</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The calibration uses the NVIDIA H100 SXM GPU as the reference hardware platform, with list price $25,000, thermal design power 700W, economic lifetime 3 years, utilization rate 70% (</w:t>
      </w:r>
      <w:bookmarkStart w:id="220" w:name="Barroso2018txt"/>
      <w:hyperlink w:anchor="Barroso2018" w:history="1">
        <w:r>
          <w:rPr>
            <w:color w:val="1F3864"/>
            <w:u w:val="single"/>
          </w:rPr>
          <w:t xml:space="preserve">Barroso, Hölzle, and Ranganathan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with custom schedulers and workload packing, runs in the 60–75% range (</w:t>
      </w:r>
      <w:bookmarkStart w:id="245" w:name="Barroso2018txt"/>
      <w:hyperlink w:anchor="Barroso2018" w:history="1">
        <w:r>
          <w:rPr>
            <w:color w:val="1F3864"/>
            <w:u w:val="single"/>
          </w:rPr>
          <w:t xml:space="preserve">Barroso, Hölzle, and Ranganathan 2018</w:t>
        </w:r>
      </w:hyperlink>
      <w:bookmarkEnd w:id="245"/>
      <w:r>
        <w:t xml:space="preserve">). A new entrant in Central Asia would likely achieve 40–60% utilization in early years, which would roughly double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21" w:name="Barroso2018txt"/>
      <w:hyperlink w:anchor="Barroso2018" w:history="1">
        <w:r>
          <w:rPr>
            <w:color w:val="1F3864"/>
            <w:u w:val="single"/>
          </w:rPr>
          <w:t xml:space="preserve">Barroso, Hölzle, and Ranganathan 2018</w:t>
        </w:r>
      </w:hyperlink>
      <w:bookmarkEnd w:id="221"/>
      <w:r>
        <w:t xml:space="preserve">). Like hardware, networking equipment is procured at uniform global prices, so this term does not affect cross-country cost rankings. GPU prices are assumed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a latency difference of 100 ms (roughly the intercontinental round-trip between Europe and East Asia) imposes an 8% cost penalty, consistent with industry evidence that web-service revenue declines by approximately 1% per 100 ms of additional latency.</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equation (2a)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6" w:name="WorldBank2024txt"/>
      <w:hyperlink w:anchor="WorldBank2024" w:history="1">
        <w:r>
          <w:rPr>
            <w:color w:val="1F3864"/>
            <w:u w:val="single"/>
          </w:rPr>
          <w:t xml:space="preserve">World Bank</w:t>
        </w:r>
      </w:hyperlink>
      <w:bookmarkEnd w:id="246"/>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Developing countries with weak grids and governance fall in between.</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4" w:name="Eq4txt904"/>
      <w:hyperlink w:anchor="Eq4" w:history="1">
        <w:r>
          <w:rPr>
            <w:color w:val="1F3864"/>
            <w:u w:val="single"/>
          </w:rPr>
          <w:t xml:space="preserve">equation (4)</w:t>
        </w:r>
      </w:hyperlink>
      <w:bookmarkEnd w:id="904"/>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7" w:name="Cloudscene2025txt"/>
      <w:hyperlink w:anchor="Cloudscene2025" w:history="1">
        <w:r>
          <w:rPr>
            <w:color w:val="1F3864"/>
            <w:u w:val="single"/>
          </w:rPr>
          <w:t xml:space="preserve">Cloudscene</w:t>
        </w:r>
      </w:hyperlink>
      <w:bookmarkEnd w:id="247"/>
      <w:r>
        <w:t xml:space="preserve">), are substantially larger on average, and </w:t>
      </w:r>
      <w:bookmarkStart w:id="224" w:name="IEA2025txt"/>
      <w:hyperlink w:anchor="IEA2025" w:history="1">
        <w:r>
          <w:rPr>
            <w:color w:val="1F3864"/>
            <w:u w:val="single"/>
          </w:rPr>
          <w:t xml:space="preserve">IEA (2025)</w:t>
        </w:r>
      </w:hyperlink>
      <w:bookmarkEnd w:id="224"/>
      <w:r>
        <w:t xml:space="preserve"> data confirm that China accounts for roughly 25% of global data center electricity consumption versus 44% for the United States. </w:t>
      </w:r>
      <w:bookmarkStart w:id="103" w:name="TableA1txt"/>
      <w:hyperlink w:anchor="TableA1" w:history="1">
        <w:r>
          <w:rPr>
            <w:color w:val="1F3864"/>
            <w:u w:val="single"/>
          </w:rPr>
          <w:t xml:space="preserve">Table A1</w:t>
        </w:r>
      </w:hyperlink>
      <w:bookmarkEnd w:id="103"/>
      <w:r>
        <w:t xml:space="preserve"> in the Appendix reports the capacity estimates for all countries.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in the spirit of the multi-country Ricardian tests of </w:t>
      </w:r>
      <w:bookmarkStart w:id="225" w:name="CDK2012txt"/>
      <w:hyperlink w:anchor="CDK2012" w:history="1">
        <w:r>
          <w:rPr>
            <w:color w:val="1F3864"/>
            <w:u w:val="single"/>
          </w:rPr>
          <w:t xml:space="preserve">Costinot, Donaldson, and Komunjer (2012)</w:t>
        </w:r>
      </w:hyperlink>
      <w:bookmarkEnd w:id="225"/>
      <w:r>
        <w:t xml:space="preserve">.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in </w:t>
      </w:r>
      <w:bookmarkStart w:id="905" w:name="Eq1txt905"/>
      <w:hyperlink w:anchor="Eq1" w:history="1">
        <w:r>
          <w:rPr>
            <w:color w:val="1F3864"/>
            <w:u w:val="single"/>
          </w:rPr>
          <w:t xml:space="preserve">equation (1)</w:t>
        </w:r>
      </w:hyperlink>
      <w:bookmarkEnd w:id="905"/>
      <w:r>
        <w:t xml:space="preserve">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6" w:name="UptimeInstitute2024txt"/>
      <w:hyperlink w:anchor="UptimeInstitute2024" w:history="1">
        <w:r>
          <w:rPr>
            <w:color w:val="1F3864"/>
            <w:u w:val="single"/>
          </w:rPr>
          <w:t xml:space="preserve">Uptime Institute 2024</w:t>
        </w:r>
      </w:hyperlink>
      <w:bookmarkEnd w:id="22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7" w:name="Liu2023txt"/>
      <w:hyperlink w:anchor="Liu2023" w:history="1">
        <w:r>
          <w:rPr>
            <w:color w:val="1F3864"/>
            <w:u w:val="single"/>
          </w:rPr>
          <w:t xml:space="preserve">Liu et al. 2023</w:t>
        </w:r>
      </w:hyperlink>
      <w:bookmarkEnd w:id="22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sorted by unit cost under observed electricity prices. </w:t>
      </w:r>
      <w:r>
        <w:t>Under observed tariffs, the cheapest producer is Iran ($1.41/hr), followed by Turkmenistan ($1.11/hr) and Kyrgyzstan ($1.13/hr).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($1.28/hr) and Greenland ($1.32/hr) face high electricity prices.</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8" w:name="Lazard2025txt"/>
      <w:hyperlink w:anchor="Lazard2025" w:history="1">
        <w:r>
          <w:rPr>
            <w:color w:val="1F3864"/>
            <w:u w:val="single"/>
          </w:rPr>
          <w:t xml:space="preserve">Lazard 2025</w:t>
        </w:r>
      </w:hyperlink>
      <w:bookmarkEnd w:id="228"/>
      <w:r>
        <w:t xml:space="preserve">). This adjustment is applied to </w:t>
      </w:r>
      <w:r>
        <w:t>13 countries</w:t>
      </w:r>
      <w:r>
        <w:t xml:space="preserve"> whose retail electricity prices fall below estimated LRMC. Hydropower producers (Kyrgyzstan, Canada, Norway) are not adjusted because their low prices reflect genuine resource advantages, not fiscal transfers. The resulting cost-recovery ranking is the paper’s preferred baseline.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r>
          <m:rPr>
            <m:sty m:val="p"/>
          </m:rPr>
          <w:rPr>
            <w:rFonts w:ascii="Cambria Math" w:hAnsi="Cambria Math"/>
          </w:rPr>
          <m:t xml:space="preserve"> = 6.4%</m:t>
        </m:r>
      </m:oMath>
      <w:r>
        <w:t xml:space="preserve"> and Japan 6.9%. Countries with high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together serving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striking result for a country with GDP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The key insight is that cheap-energy developing countries can, in principle, earn export revenue from much larger economies.</w:t>
      </w:r>
    </w:p>
    <w:p>
      <w:pPr>
        <w:spacing w:before="0" w:after="160"/>
        <w:ind w:firstLine="0"/>
        <w:jc w:val="both"/>
      </w:pPr>
      <w:r>
        <w:t>Doubling the sovereignty premium to 20% shifts 1 additional country to domestic training production, reducing the share of global training demand available to foreign producers from 0%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Grid reliability further narrows the set of viable exporters. 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equation (2a) formalizes these factors. Dividing each country’s engineering cost by its reliability score yields the effective cost </w:t>
      </w:r>
      <m:oMath>
        <m:sSubSup>
          <m:sSubSupPr/>
          <m:e>
            <m:r>
              <m:rPr>
                <m:sty m:val="i"/>
              </m:rPr>
              <w:rPr>
                <w:rFonts w:ascii="Cambria Math" w:hAnsi="Cambria Math"/>
              </w:rPr>
              <m:t xml:space="preserve">c</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w:t>
      </w:r>
      <w:r>
        <w:t xml:space="preserve">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This result underscores a central tension in the paper. Because hardware amortization accounts for roughly 94% of engineering costs and is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r>
        <w:t>Taken together, 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(military intelligence, health records,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the majority of countries to domestic production, forgoing the cost savings from specialization. Developing countries in Central Asia and Africa are likely to follow the EU template, imposing data localization requirements that their small markets cannot efficiently serve. The irony is that the same countries whose cost advantages make them natural FLOP exporters may simultaneously erect sovereignty barriers against importing compute from their neighbors, undermining the regional trade the model predicts would be welfare-improving.</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versus LNG export.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Energy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The training price shifts by at most $0.272/hr. The reason is straightforward—hardware amortization accounts for approximately 94 percent of total cost and is identical for all countries. Only the electricity and construction components vary cross-country, and their combined share is too small for plausible perturbations to overturn the ordering.</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will often be decisive in determining which cost-competitive countries actually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Ricardian model for trade in computing services (FLOPs) in which countries produce and export computing capacity based on their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Ricardian assignment into a framework with market-clearing prices and Ricardian rents. The paper calibrates the model for 86 countries using data on electricity prices, temperatures, construction costs, bilateral latencies, and grid capacity.</w:t>
      </w:r>
    </w:p>
    <w:p>
      <w:pPr>
        <w:spacing w:before="0" w:after="160"/>
        <w:ind w:firstLine="0"/>
        <w:jc w:val="both"/>
      </w:pPr>
      <w:r>
        <w:t xml:space="preserve">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30" w:name="ACR2012txt"/>
      <w:hyperlink w:anchor="ACR2012" w:history="1">
        <w:r>
          <w:rPr>
            <w:color w:val="1F3864"/>
            <w:u w:val="single"/>
          </w:rPr>
          <w:t xml:space="preserve">Arkolakis, Costinot, and Rodríguez-Clare 2012</w:t>
        </w:r>
      </w:hyperlink>
      <w:bookmarkEnd w:id="230"/>
      <w:r>
        <w:t xml:space="preserve">). The model generates a country taxonomy (full importers, training exporters, inference hubs, and hybrid regimes) that maps onto observed investment patterns. This geographic structure is consistent with </w:t>
      </w:r>
      <w:bookmarkStart w:id="249" w:name="Lehdonvirta2024txt"/>
      <w:hyperlink w:anchor="Lehdonvirta2024" w:history="1">
        <w:r>
          <w:rPr>
            <w:color w:val="1F3864"/>
            <w:u w:val="single"/>
          </w:rPr>
          <w:t xml:space="preserve">Lehdonvirta, Wu, and Hawkins (2024)</w:t>
        </w:r>
      </w:hyperlink>
      <w:bookmarkEnd w:id="249"/>
      <w:r>
        <w:t xml:space="preserve">, who independently find that training-capable GPU infrastructure is concentrated in roughly 30 countries while the rest are limited to inference-grade hardware.</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convert cheap electricity into a high-value digital export without building a domestic AI research ecosystem. FLOP exporting is the digital equivalent of resource-based industrialization, but with the advantage that the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 exporting shares these risks depends on whether the revenues are broad-based or captured by a narrow set of actors, and on whether governments invest the proceeds in human capital and institutional development.</w:t>
      </w:r>
    </w:p>
    <w:p>
      <w:pPr>
        <w:spacing w:before="0" w:after="160"/>
        <w:ind w:firstLine="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2"/>
    </w:p>
    <w:p>
      <w:pPr>
        <w:spacing w:before="0" w:after="80" w:line="240" w:lineRule="exact"/>
        <w:ind w:hanging="720" w:left="720"/>
        <w:jc w:val="both"/>
      </w:pPr>
      <w:bookmarkStart w:id="503"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3"/>
    </w:p>
    <w:p>
      <w:pPr>
        <w:spacing w:before="0" w:after="80" w:line="240" w:lineRule="exact"/>
        <w:ind w:hanging="720" w:left="720"/>
        <w:jc w:val="both"/>
      </w:pPr>
      <w:bookmarkStart w:id="504" w:name="CDK2012"/>
      <w:hyperlink w:anchor="CDK2012txt" w:history="1">
        <w:r>
          <w:rPr>
            <w:color w:val="1F3864"/>
            <w:u w:val="single"/>
          </w:rPr>
          <w:t xml:space="preserve">Costinot, A., J. Donaldson, and I. Komunjer. (2012). </w:t>
        </w:r>
      </w:hyperlink>
      <w:r>
        <w:t xml:space="preserve">“What Goods Do Countries Trade? A Quantitative Exploration of Ricardo’s Ideas.” </w:t>
      </w:r>
      <w:r>
        <w:rPr>
          <w:i/>
        </w:rPr>
        <w:t>Review of Economic Studies</w:t>
      </w:r>
      <w:r>
        <w:t>, 79(2): 581–608.</w:t>
      </w:r>
      <w:bookmarkEnd w:id="504"/>
    </w:p>
    <w:p>
      <w:pPr>
        <w:spacing w:before="0" w:after="80" w:line="240" w:lineRule="exact"/>
        <w:ind w:hanging="720" w:left="720"/>
        <w:jc w:val="both"/>
      </w:pPr>
      <w:bookmarkStart w:id="505" w:name="Deloitte2020"/>
      <w:r>
        <w:rPr>
          <w:color w:val="1F3864"/>
          <w:u w:val="single"/>
        </w:rPr>
        <w:t xml:space="preserve">Deloitte and Google. (2020). </w:t>
      </w:r>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DFS1977"/>
      <w:hyperlink w:anchor="DFS1977txt" w:history="1">
        <w:r>
          <w:rPr>
            <w:color w:val="1F3864"/>
            <w:u w:val="single"/>
          </w:rPr>
          <w:t xml:space="preserve">Dornbusch, R., S. Fischer, and P. Samuelson. (1977). </w:t>
        </w:r>
      </w:hyperlink>
      <w:r>
        <w:t xml:space="preserve">“Comparative Advantage, Trade, and Payments in a Ricardian Model with a Continuum of Goods.” </w:t>
      </w:r>
      <w:r>
        <w:rPr>
          <w:i/>
        </w:rPr>
        <w:t>American Economic Review</w:t>
      </w:r>
      <w:r>
        <w:t>, 67(5): 823–839.</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PRI2024"/>
      <w:r>
        <w:rPr>
          <w:color w:val="1F3864"/>
          <w:u w:val="single"/>
        </w:rPr>
        <w:t xml:space="preserve">EPRI. (2024). </w:t>
      </w:r>
      <w:r>
        <w:t>“Powering Intelligence: Analyzing AI and Data Center Energy Consumption.” Electric Power Research Institute.</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rossman2008"/>
      <w:hyperlink w:anchor="Grossman2008txt" w:history="1">
        <w:r>
          <w:rPr>
            <w:color w:val="1F3864"/>
            <w:u w:val="single"/>
          </w:rPr>
          <w:t xml:space="preserve">Grossman, G., and E. Rossi-Hansberg. (2008). </w:t>
        </w:r>
      </w:hyperlink>
      <w:r>
        <w:t xml:space="preserve">“Trading Tasks: A Simple Theory of Offshoring.” </w:t>
      </w:r>
      <w:r>
        <w:rPr>
          <w:i/>
        </w:rPr>
        <w:t>American Economic Review</w:t>
      </w:r>
      <w:r>
        <w:t>, 98(5): 1978–1997.</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hyperlink w:anchor="DOJFTC2010txt" w:history="1">
        <w:r>
          <w:rPr>
            <w:color w:val="1F3864"/>
            <w:u w:val="single"/>
          </w:rPr>
          <w:t xml:space="preserve">U.S. Department of Justice and Federal Trade Commission. </w:t>
        </w:r>
      </w:hyperlink>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(2024). </w:t>
        </w:r>
      </w:hyperlink>
      <w:r>
        <w:t>“Data Center Staffing: Trends and Best Practices.”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0"/>
        <w:sectPr>
          <w:footerReference w:type="default" r:id="rId10"/>
          <w:footerReference w:type="first" r:id="rId11"/>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60"/>
        <w:ind w:firstLine="0"/>
        <w:jc w:val="both"/>
      </w:pPr>
      <w:bookmarkStart w:id="110" w:name="TableA1"/>
      <w:hyperlink w:anchor="TableA1txt" w:history="1">
        <w:r>
          <w:rPr>
            <w:b/>
            <w:sz w:val="20"/>
            <w:color w:val="1F3864"/>
            <w:u w:val="single"/>
          </w:rPr>
          <w:t>Table A1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(2)</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(2)</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(2)</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(2)</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(2)</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(2)</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(2)</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r>
              <w:rPr>
                <w:sz w:val="16"/>
              </w:rPr>
              <w:t>Google (2024)</w:t>
            </w:r>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(2)</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(3)</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(5)</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(4)</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(4)</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(2a)</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2a). The baseline calibration sets ξⱼ = 1 for all countries.</w:t>
      </w:r>
      <w:r>
        <w:rPr>
          <w:sz w:val="15"/>
        </w:rPr>
        <w:t xml:space="preserve"> Sensitivity scenarios and parameter values. Elec +$0.01/kWh (electricity +0.01 $/kWh, ρ = 0.9996, p_T = $1.600/hr). Elec −$0.01/kWh (electricity -0.01 $/kWh, ρ = 0.9993, p_T = $1.585/hr). GPU +20% ($30k) (GPU price $30,000, ρ = 1.0000, p_T = $1.864/hr). GPU −20% ($20k) (GPU price $20,000, ρ = 1.0000, p_T = $1.320/hr). PUE cap 1.20 (PUE cap 1.20, ρ = 0.9922, p_T = $1.592/hr).</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from </w:t>
      </w:r>
      <w:bookmarkStart w:id="907" w:name="Eq1txt907"/>
      <w:hyperlink w:anchor="Eq1" w:history="1">
        <w:r>
          <w:rPr>
            <w:sz w:val="15"/>
            <w:color w:val="1F3864"/>
            <w:u w:val="single"/>
          </w:rPr>
          <w:t xml:space="preserve">equation (1)</w:t>
        </w:r>
      </w:hyperlink>
      <w:bookmarkEnd w:id="907"/>
      <w:r>
        <w:rPr>
          <w:sz w:val="15"/>
        </w:rPr>
        <w:t xml:space="preserve">. Constr. = predicted data center construction cost ($/W of IT load). k̄ⱼ = installed data center power capacity (MW). ωⱼ = country share of global compute demand from equation (4).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(5) without sovereignty premium.</w:t>
      </w:r>
    </w:p>
    <w:p>
      <w:pPr>
        <w:spacing w:before="0" w:after="0"/>
        <w:sectPr>
          <w:pgSz w:w="15840" w:h="12240" w:orient="landscape"/>
          <w:pgMar w:top="1440" w:right="1440" w:bottom="1440" w:left="1440" w:header="720" w:footer="720"/>
        </w:sectPr>
      </w:pP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8" w:name="Eq2txt908"/>
      <w:hyperlink w:anchor="Eq2" w:history="1">
        <w:r>
          <w:rPr>
            <w:color w:val="1F3864"/>
            <w:u w:val="single"/>
          </w:rPr>
          <w:t xml:space="preserve">equation (2)</w:t>
        </w:r>
      </w:hyperlink>
      <w:bookmarkEnd w:id="908"/>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9" w:name="Eq4txt909"/>
      <w:hyperlink w:anchor="Eq4" w:history="1">
        <w:r>
          <w:rPr>
            <w:color w:val="1F3864"/>
            <w:u w:val="single"/>
          </w:rPr>
          <w:t xml:space="preserve">equation (4)</w:t>
        </w:r>
      </w:hyperlink>
      <w:bookmarkEnd w:id="909"/>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w:t>
      </w:r>
    </w:p>
  </w:footnote>
  <w:footnote w:id="7">
    <w:p>
      <w:pPr>
        <w:pStyle w:val="FootnoteText"/>
      </w:pPr>
      <w:r>
        <w:rPr>
          <w:rStyle w:val="FootnoteReference"/>
        </w:rPr>
        <w:footnoteRef/>
      </w:r>
      <w:r>
        <w:t xml:space="preserve"> Google’s 2024 sustainability report indicates a fleet-wide trailing twelve-month PUE of 1.10. The PUE floor of 1.08 represents current best practice with free-air cooling in Scandinavian or Icelandic climates.</w:t>
      </w:r>
    </w:p>
  </w:footnote>
  <w:footnote w:id="8">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