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ind w:firstLine="0"/>
        <w:jc w:val="center"/>
      </w:pPr>
      <w:r>
        <w:rPr>
          <w:rFonts w:ascii="Times New Roman" w:hAnsi="Times New Roman"/>
          <w:b w:val="0"/>
          <w:sz w:val="32"/>
        </w:rPr>
        <w:t>Cheap Energy Might Not Be Enough:</w:t>
        <w:br/>
      </w:r>
      <w:r>
        <w:rPr>
          <w:rFonts w:ascii="Times New Roman" w:hAnsi="Times New Roman"/>
          <w:b w:val="0"/>
          <w:sz w:val="32"/>
        </w:rPr>
        <w:t>A Trade Model of AI Compute Services</w:t>
      </w:r>
    </w:p>
    <w:p>
      <w:pPr>
        <w:spacing w:before="240" w:after="240" w:line="360" w:lineRule="auto"/>
        <w:ind w:firstLine="0"/>
        <w:jc w:val="center"/>
      </w:pPr>
      <w:r>
        <w:rPr>
          <w:i/>
        </w:rPr>
        <w:t>Michael Lokshin</w:t>
      </w:r>
      <w:r>
        <w:rPr>
          <w:rStyle w:val="FootnoteReference"/>
        </w:rPr>
        <w:footnoteReference w:id="1"/>
      </w:r>
    </w:p>
    <w:p>
      <w:pPr>
        <w:spacing w:before="40" w:after="240" w:line="360" w:lineRule="auto"/>
        <w:ind w:firstLine="0"/>
        <w:jc w:val="center"/>
      </w:pPr>
      <w:r>
        <w:rPr>
          <w:rFonts w:ascii="Times New Roman" w:hAnsi="Times New Roman"/>
          <w:color w:val="808080"/>
          <w:sz w:val="18"/>
        </w:rPr>
        <w:t>v34  —  August 21, 2026  22:33</w:t>
      </w:r>
    </w:p>
    <w:p>
      <w:pPr>
        <w:spacing w:before="240" w:after="0" w:line="240" w:lineRule="auto"/>
        <w:ind w:firstLine="0" w:left="720" w:right="720"/>
        <w:jc w:val="both"/>
      </w:pPr>
      <w:r>
        <w:rPr>
          <w:b/>
        </w:rPr>
        <w:t>Abstract</w:t>
      </w:r>
      <w:r>
        <w:t>: Can energy-rich developing countries convert cheap electricity into AI compute exports? This paper develops a capacity-constrained trade model of AI compute services with bilateral frictions in delivery, regulation, and trust. Calibrating the model across 85 countries shows that several developing economies can produce compute at low cost, but this advantage rarely becomes export competitiveness. Because hardware dominates unit costs and is globally priced, cross-country production costs differ by only 12–20 percent. Modest regulatory, financing, and trust frictions can therefore erase the gains from cheap power. The binding constraint is institutional credibility rather than electricity prices, including enforceable data governance, stable regulation, credible power contracts, access to finance, and geopolitical alignment with buyers.</w:t>
      </w:r>
    </w:p>
    <w:p>
      <w:pPr>
        <w:spacing w:before="0" w:after="0" w:line="240" w:lineRule="auto"/>
        <w:ind w:firstLine="0"/>
        <w:jc w:val="both"/>
      </w:pPr>
    </w:p>
    <w:p>
      <w:pPr>
        <w:spacing w:before="0" w:after="0" w:line="240" w:lineRule="auto"/>
        <w:ind w:firstLine="0"/>
        <w:jc w:val="both"/>
      </w:pPr>
    </w:p>
    <w:p>
      <w:pPr>
        <w:spacing w:before="0" w:after="0" w:line="240" w:lineRule="auto"/>
        <w:ind w:firstLine="0"/>
        <w:jc w:val="both"/>
      </w:pPr>
    </w:p>
    <w:p>
      <w:pPr>
        <w:spacing w:before="0" w:after="160" w:line="240" w:lineRule="auto"/>
        <w:ind w:firstLine="0" w:left="720" w:right="720"/>
        <w:jc w:val="both"/>
      </w:pPr>
      <w:r>
        <w:rPr>
          <w:b/>
        </w:rPr>
        <w:t xml:space="preserve">JEL Classification: </w:t>
      </w:r>
      <w:r>
        <w:t>F14, F18, L86, O14, O33, Q40</w:t>
      </w:r>
    </w:p>
    <w:p>
      <w:pPr>
        <w:spacing w:before="40" w:after="160" w:line="240" w:lineRule="auto"/>
        <w:ind w:firstLine="0" w:left="720" w:right="720"/>
        <w:jc w:val="both"/>
      </w:pPr>
      <w:r>
        <w:rPr>
          <w:b/>
        </w:rPr>
        <w:t xml:space="preserve">Keywords: </w:t>
      </w:r>
      <w:r>
        <w:t>compute trade, FLOPs, artificial intelligence, data centers, comparative advantage, developing countries</w:t>
      </w:r>
    </w:p>
    <w:p>
      <w:pPr>
        <w:spacing w:before="0" w:after="0"/>
      </w:pPr>
      <w:r>
        <w:br w:type="page"/>
      </w:r>
    </w:p>
    <w:p>
      <w:pPr>
        <w:pStyle w:val="Heading1"/>
      </w:pPr>
      <w:r>
        <w:rPr>
          <w:rFonts w:ascii="Times New Roman" w:hAnsi="Times New Roman"/>
          <w:color w:val="2F5496"/>
          <w:sz w:val="28"/>
        </w:rPr>
        <w:t>1. Introduction</w:t>
      </w:r>
    </w:p>
    <w:p>
      <w:pPr>
        <w:spacing w:before="0" w:after="160" w:line="360" w:lineRule="auto"/>
        <w:ind w:firstLine="0"/>
        <w:jc w:val="both"/>
      </w:pPr>
      <w:r>
        <w:t xml:space="preserve">The expansion of artificial intelligence drives the demand for computational resources. The compute used to train machine-learning models (ML) has doubled every six months since 2010 (</w:t>
      </w:r>
      <w:bookmarkStart w:id="200" w:name="SevillaEtAl2022txt"/>
      <w:hyperlink w:anchor="SevillaEtAl2022" w:history="1">
        <w:r>
          <w:rPr>
            <w:color w:val="1F3864"/>
            <w:u w:val="single"/>
          </w:rPr>
          <w:t xml:space="preserve">Sevilla et al. 2022</w:t>
        </w:r>
      </w:hyperlink>
      <w:bookmarkEnd w:id="200"/>
      <w:r>
        <w:t xml:space="preserve">). In 2024, data centers accounted for approximately 1.5 percent of global electricity demand, and that share is projected to exceed 3 percent by 2030 (</w:t>
      </w:r>
      <w:bookmarkStart w:id="245" w:name="IEA2025txt"/>
      <w:hyperlink w:anchor="IEA2025" w:history="1">
        <w:r>
          <w:rPr>
            <w:color w:val="1F3864"/>
            <w:u w:val="single"/>
          </w:rPr>
          <w:t xml:space="preserve">IEA 2025</w:t>
        </w:r>
      </w:hyperlink>
      <w:bookmarkEnd w:id="245"/>
      <w:r>
        <w:t xml:space="preserve">). Rising compute demand creates a new kind of export opportunity: countries can sell computational work across borders. In this paper, we call this FLOP exporting because the service being traded is measured in floating-point operations, the standard unit of computational work. For energy-rich developing countries, this creates a potential path from raw energy exports to higher-value digital services.</w:t>
      </w:r>
    </w:p>
    <w:p>
      <w:pPr>
        <w:spacing w:before="0" w:after="160" w:line="360" w:lineRule="auto"/>
        <w:ind w:firstLine="0"/>
        <w:jc w:val="both"/>
      </w:pPr>
      <w:r>
        <w:t xml:space="preserve">Several megaprojects suggest that FLOP exporting is technically and commercially feasible. Armenia is deploying 50,000 GPUs as part of a $4 billion investment (</w:t>
      </w:r>
      <w:bookmarkStart w:id="246" w:name="Firebird2026txt"/>
      <w:hyperlink w:anchor="Firebird2026" w:history="1">
        <w:r>
          <w:rPr>
            <w:color w:val="1F3864"/>
            <w:u w:val="single"/>
          </w:rPr>
          <w:t xml:space="preserve">Firebird 2026</w:t>
        </w:r>
      </w:hyperlink>
      <w:bookmarkEnd w:id="246"/>
      <w:r>
        <w:t xml:space="preserve">). Kenya, Saudi Arabia, and Malaysia have attracted billion-dollar investments in data centers. Google has committed $15 billion to India, and OpenAI has proposed a $25 billion “Stargate Argentina” complex (</w:t>
      </w:r>
      <w:bookmarkStart w:id="201" w:name="StraubEtAl2026txt"/>
      <w:hyperlink w:anchor="StraubEtAl2026" w:history="1">
        <w:r>
          <w:rPr>
            <w:color w:val="1F3864"/>
            <w:u w:val="single"/>
          </w:rPr>
          <w:t xml:space="preserve">Straub et al. 2026</w:t>
        </w:r>
      </w:hyperlink>
      <w:bookmarkEnd w:id="201"/>
      <w:r>
        <w:t xml:space="preserve">). Global data-center FDI reached over $310 billion in 2025 (</w:t>
      </w:r>
      <w:hyperlink w:anchor="AykutEtAl2026" w:history="1">
        <w:r>
          <w:rPr>
            <w:color w:val="1F3864"/>
            <w:u w:val="single"/>
          </w:rPr>
          <w:t xml:space="preserve">Aykut et al. 2026</w:t>
        </w:r>
      </w:hyperlink>
      <w:r>
        <w:t xml:space="preserve">) and annual cloud computing exports exceeded $9 billion (</w:t>
      </w:r>
      <w:hyperlink w:anchor="WorldBank2025" w:history="1">
        <w:r>
          <w:rPr>
            <w:color w:val="1F3864"/>
            <w:u w:val="single"/>
          </w:rPr>
          <w:t xml:space="preserve">World Bank 2025</w:t>
        </w:r>
      </w:hyperlink>
      <w:r>
        <w:t xml:space="preserve">).</w:t>
      </w:r>
    </w:p>
    <w:p>
      <w:pPr>
        <w:spacing w:before="0" w:after="160" w:line="360" w:lineRule="auto"/>
        <w:ind w:firstLine="0"/>
        <w:jc w:val="both"/>
      </w:pPr>
      <w:r>
        <w:t xml:space="preserve">Yet the cheapest locations are not the ones attracting the most investment. The cheapest potential producer in our calibration, Kyrgyzstan, has 5 MW of installed capacity and virtually no data-center FDI, while the largest recipients among developing economies (Malaysia, India, Brazil) sit in the middle of the cost ranking (</w:t>
      </w:r>
      <w:bookmarkStart w:id="202" w:name="AykutEtAl2026txt"/>
      <w:hyperlink w:anchor="AykutEtAl2026" w:history="1">
        <w:r>
          <w:rPr>
            <w:color w:val="1F3864"/>
            <w:u w:val="single"/>
          </w:rPr>
          <w:t xml:space="preserve">Aykut et al. 2026</w:t>
        </w:r>
      </w:hyperlink>
      <w:bookmarkEnd w:id="202"/>
      <w:r>
        <w:t xml:space="preserve">). Cheap electricity alone is not creating compute exports. The central question, then, is why low-cost countries fail to attract compute investment and what conditions would allow them to convert cheap power into export capacity.</w:t>
      </w:r>
    </w:p>
    <w:p>
      <w:pPr>
        <w:spacing w:before="0" w:after="160" w:line="360" w:lineRule="auto"/>
        <w:ind w:firstLine="0"/>
        <w:jc w:val="both"/>
      </w:pPr>
      <w:r>
        <w:t xml:space="preserve">Recent work examines compute governance and the geography of AI infrastructure (</w:t>
      </w:r>
      <w:bookmarkStart w:id="248" w:name="Sastry2024txt"/>
      <w:hyperlink w:anchor="Sastry2024" w:history="1">
        <w:r>
          <w:rPr>
            <w:color w:val="1F3864"/>
            <w:u w:val="single"/>
          </w:rPr>
          <w:t xml:space="preserve">Sastry et al. 2024</w:t>
        </w:r>
      </w:hyperlink>
      <w:bookmarkEnd w:id="248"/>
      <w:r>
        <w:t xml:space="preserve">, </w:t>
      </w:r>
      <w:bookmarkStart w:id="203" w:name="Lehdonvirta2024txt"/>
      <w:hyperlink w:anchor="Lehdonvirta2024" w:history="1">
        <w:r>
          <w:rPr>
            <w:color w:val="1F3864"/>
            <w:u w:val="single"/>
          </w:rPr>
          <w:t xml:space="preserve">Lehdonvirta et al. 2024</w:t>
        </w:r>
      </w:hyperlink>
      <w:bookmarkEnd w:id="203"/>
      <w:r>
        <w:t xml:space="preserve">, </w:t>
      </w:r>
      <w:bookmarkStart w:id="249" w:name="Pilz2025txt"/>
      <w:hyperlink w:anchor="Pilz2025" w:history="1">
        <w:r>
          <w:rPr>
            <w:color w:val="1F3864"/>
            <w:u w:val="single"/>
          </w:rPr>
          <w:t xml:space="preserve">Pilz et al. 2025</w:t>
        </w:r>
      </w:hyperlink>
      <w:bookmarkEnd w:id="249"/>
      <w:r>
        <w:t xml:space="preserve">), but no formal trade model of compute has been developed. This paper offers the first such model and makes three contributions. First, we develop a capacity-constrained Ricardian model of compute trade. The model treats latency as an iceberg trade cost and geopolitical distrust as a bilateral sovereignty premium that raises delivered costs. Second, we calibrate the model across 85 countries, correcting for energy subsidies that distort headline cost rankings. Third, we characterize the resulting trade regimes and quantify the welfare cost of sovereignty premia.</w:t>
      </w:r>
    </w:p>
    <w:p>
      <w:pPr>
        <w:spacing w:before="0" w:after="160" w:line="360" w:lineRule="auto"/>
        <w:ind w:firstLine="0"/>
        <w:jc w:val="both"/>
      </w:pPr>
      <w:r>
        <w:t xml:space="preserve">Cheap power and favorable cooling conditions do not automatically translate into export competitiveness. Hardware amortization accounts for roughly 90 percent of the unit cost and is priced globally, so cross-country production cost differences are limited to 12–20 percent. This narrow spread leaves little room for institutional frictions. Under cost-recovery pricing, several developing countries rank among the lowest-cost producers. However, when bilateral sovereignty frictions are introduced, trust deficits with OECD buyers eliminate nearly all of their export potential. Financing costs reinforce this result: a 10-percentage-point WACC gap between OECD hyperscalers and locally financed developing-country operators adds about $0.29 per GPU-hour to unit cost, roughly four times the electricity-cost spread among the top twenty producers (</w:t>
      </w:r>
      <w:bookmarkStart w:id="204" w:name="Calcaterra2024txt"/>
      <w:hyperlink w:anchor="Calcaterra2024" w:history="1">
        <w:r>
          <w:rPr>
            <w:color w:val="1F3864"/>
            <w:u w:val="single"/>
          </w:rPr>
          <w:t xml:space="preserve">Calcaterra et al. 2024</w:t>
        </w:r>
      </w:hyperlink>
      <w:bookmarkEnd w:id="204"/>
      <w:r>
        <w:t xml:space="preserve">). </w:t>
      </w:r>
    </w:p>
    <w:p>
      <w:pPr>
        <w:pStyle w:val="Heading1"/>
      </w:pPr>
      <w:r>
        <w:rPr>
          <w:rFonts w:ascii="Times New Roman" w:hAnsi="Times New Roman"/>
          <w:color w:val="2F5496"/>
          <w:sz w:val="28"/>
        </w:rPr>
        <w:t>2. Related Literature</w:t>
      </w:r>
    </w:p>
    <w:p>
      <w:pPr>
        <w:spacing w:before="0" w:after="160" w:line="360" w:lineRule="auto"/>
        <w:ind w:firstLine="0"/>
        <w:jc w:val="both"/>
      </w:pPr>
      <w:r>
        <w:t xml:space="preserve"/>
      </w:r>
      <w:bookmarkStart w:id="205" w:name="Goldfarb2018txt"/>
      <w:hyperlink w:anchor="Goldfarb2018" w:history="1">
        <w:r>
          <w:rPr>
            <w:color w:val="1F3864"/>
            <w:u w:val="single"/>
          </w:rPr>
          <w:t xml:space="preserve">Goldfarb and Trefler (2018)</w:t>
        </w:r>
      </w:hyperlink>
      <w:bookmarkEnd w:id="205"/>
      <w:r>
        <w:t xml:space="preserve"> argue that AI shifts comparative advantage toward data and human capital. Our model highlights a different margin: compute production depends heavily on electricity costs and climate. Resource-rich countries could therefore export compute even without large domestic AI industries. </w:t>
      </w:r>
      <w:bookmarkStart w:id="250" w:name="Korinek2021txt"/>
      <w:hyperlink w:anchor="Korinek2021" w:history="1">
        <w:r>
          <w:rPr>
            <w:color w:val="1F3864"/>
            <w:u w:val="single"/>
          </w:rPr>
          <w:t xml:space="preserve">Korinek and Stiglitz (2021)</w:t>
        </w:r>
      </w:hyperlink>
      <w:bookmarkEnd w:id="250"/>
      <w:r>
        <w:t xml:space="preserve"> warn that developing countries may be left behind in the AI revolution; FLOP exporting offers a route in. The concept relates to </w:t>
      </w:r>
      <w:bookmarkStart w:id="270" w:name="Hausmann2007txt"/>
      <w:hyperlink w:anchor="Hausmann2007" w:history="1">
        <w:r>
          <w:rPr>
            <w:color w:val="1F3864"/>
            <w:u w:val="single"/>
          </w:rPr>
          <w:t xml:space="preserve">Hausmann et al. (2007)</w:t>
        </w:r>
      </w:hyperlink>
      <w:bookmarkEnd w:id="270"/>
      <w:r>
        <w:t xml:space="preserve"> on export composition and growth, and to </w:t>
      </w:r>
      <w:bookmarkStart w:id="264" w:name="Limao2001txt"/>
      <w:hyperlink w:anchor="Limao2001" w:history="1">
        <w:r>
          <w:rPr>
            <w:color w:val="1F3864"/>
            <w:u w:val="single"/>
          </w:rPr>
          <w:t xml:space="preserve">Limão and Venables (2001)</w:t>
        </w:r>
      </w:hyperlink>
      <w:bookmarkEnd w:id="264"/>
      <w:r>
        <w:t xml:space="preserve"> on infrastructure as a determinant of trade costs. In our setting, network latency plays an analogous role.</w:t>
      </w:r>
    </w:p>
    <w:p>
      <w:pPr>
        <w:spacing w:before="0" w:after="160" w:line="360" w:lineRule="auto"/>
        <w:ind w:firstLine="0"/>
        <w:jc w:val="both"/>
      </w:pPr>
      <w:r>
        <w:t xml:space="preserve">The closest precedent to our model is IT services offshoring, which is labor-intensive and skill-biased (</w:t>
      </w:r>
      <w:bookmarkStart w:id="206" w:name="Blinder2006txt"/>
      <w:hyperlink w:anchor="Blinder2006" w:history="1">
        <w:r>
          <w:rPr>
            <w:color w:val="1F3864"/>
            <w:u w:val="single"/>
          </w:rPr>
          <w:t xml:space="preserve">Blinder 2006</w:t>
        </w:r>
      </w:hyperlink>
      <w:bookmarkEnd w:id="206"/>
      <w:r>
        <w:t xml:space="preserve">). FLOP exporting differs from traditional IT services offshoring in factor intensity. It is capital- and energy-intensive rather than labor-intensive, so likely exporters are energy-rich countries rather than labor-abundant ones. The structural difference is that GPUs, the main traded input, are priced globally. Cross-country cost variation therefore comes primarily from electricity and facility costs, which together account for only a small share of unit cost. Comparative advantage in compute is consequently narrower and more fragile than in services offshoring, where labor-cost differences are larger.</w:t>
      </w:r>
    </w:p>
    <w:p>
      <w:pPr>
        <w:spacing w:before="0" w:after="160" w:line="360" w:lineRule="auto"/>
        <w:ind w:firstLine="0"/>
        <w:jc w:val="both"/>
      </w:pPr>
      <w:r>
        <w:t xml:space="preserve">Several studies examine where firms should build data centers. </w:t>
      </w:r>
      <w:bookmarkStart w:id="207" w:name="Flucker2013txt"/>
      <w:hyperlink w:anchor="Flucker2013" w:history="1">
        <w:r>
          <w:rPr>
            <w:color w:val="1F3864"/>
            <w:u w:val="single"/>
          </w:rPr>
          <w:t xml:space="preserve">Flucker et al. (2013)</w:t>
        </w:r>
      </w:hyperlink>
      <w:bookmarkEnd w:id="207"/>
      <w:r>
        <w:t xml:space="preserve"> show that climate affects data center cooling costs. </w:t>
      </w:r>
      <w:hyperlink w:anchor="Liu2023" w:history="1">
        <w:r>
          <w:rPr>
            <w:color w:val="1F3864"/>
            <w:u w:val="single"/>
          </w:rPr>
          <w:t xml:space="preserve">Liu et al. (2023)</w:t>
        </w:r>
      </w:hyperlink>
      <w:r>
        <w:t xml:space="preserve"> study data center placement under renewable energy constraints. In international trade theory, </w:t>
      </w:r>
      <w:bookmarkStart w:id="271" w:name="Brainard1997txt"/>
      <w:hyperlink w:anchor="Brainard1997" w:history="1">
        <w:r>
          <w:rPr>
            <w:color w:val="1F3864"/>
            <w:u w:val="single"/>
          </w:rPr>
          <w:t xml:space="preserve">Brainard (1997)</w:t>
        </w:r>
      </w:hyperlink>
      <w:bookmarkEnd w:id="271"/>
      <w:r>
        <w:t xml:space="preserve"> formalizes the proximity-concentration trade-off between serving a market locally and concentrating production abroad. </w:t>
      </w:r>
      <w:bookmarkStart w:id="251" w:name="HMY2004txt"/>
      <w:hyperlink w:anchor="HMY2004" w:history="1">
        <w:r>
          <w:rPr>
            <w:color w:val="1F3864"/>
            <w:u w:val="single"/>
          </w:rPr>
          <w:t xml:space="preserve">Helpman et al. (2004)</w:t>
        </w:r>
      </w:hyperlink>
      <w:bookmarkEnd w:id="251"/>
      <w:r>
        <w:t xml:space="preserve"> extend this to heterogeneous firms choosing between exporting and FDI.</w:t>
      </w:r>
    </w:p>
    <w:p>
      <w:pPr>
        <w:spacing w:before="0" w:after="160" w:line="360" w:lineRule="auto"/>
        <w:ind w:firstLine="0"/>
        <w:jc w:val="both"/>
      </w:pPr>
      <w:r>
        <w:t xml:space="preserve">On governance, </w:t>
      </w:r>
      <w:hyperlink w:anchor="Sastry2024" w:history="1">
        <w:r>
          <w:rPr>
            <w:color w:val="1F3864"/>
            <w:u w:val="single"/>
          </w:rPr>
          <w:t xml:space="preserve">Sastry et al. (2024)</w:t>
        </w:r>
      </w:hyperlink>
      <w:r>
        <w:t xml:space="preserve"> argue that compute is well-suited for regulation. </w:t>
      </w:r>
      <w:hyperlink w:anchor="Lehdonvirta2024" w:history="1">
        <w:r>
          <w:rPr>
            <w:color w:val="1F3864"/>
            <w:u w:val="single"/>
          </w:rPr>
          <w:t xml:space="preserve">Lehdonvirta et al. (2024)</w:t>
        </w:r>
      </w:hyperlink>
      <w:r>
        <w:t xml:space="preserve"> map a “Compute North” with training-capable hardware versus a “Compute South” limited to inference chips. </w:t>
      </w:r>
      <w:hyperlink w:anchor="Pilz2025" w:history="1">
        <w:r>
          <w:rPr>
            <w:color w:val="1F3864"/>
            <w:u w:val="single"/>
          </w:rPr>
          <w:t xml:space="preserve">Pilz et al. (2025)</w:t>
        </w:r>
      </w:hyperlink>
      <w:r>
        <w:t xml:space="preserve"> project that data center power demand could reach 327 GW by 2030. The </w:t>
      </w:r>
      <w:hyperlink w:anchor="WorldBank2025" w:history="1">
        <w:r>
          <w:rPr>
            <w:color w:val="1F3864"/>
            <w:u w:val="single"/>
          </w:rPr>
          <w:t xml:space="preserve">World Bank (2025)</w:t>
        </w:r>
      </w:hyperlink>
      <w:r>
        <w:t xml:space="preserve"> documents the resulting divide (high-income countries hold 77 percent of colocation capacity), but does not offer a formal framework linking costs to trade patterns. </w:t>
      </w:r>
      <w:bookmarkStart w:id="253" w:name="Biglaiser2024txt"/>
      <w:hyperlink w:anchor="Biglaiser2024" w:history="1">
        <w:r>
          <w:rPr>
            <w:color w:val="1F3864"/>
            <w:u w:val="single"/>
          </w:rPr>
          <w:t xml:space="preserve">Biglaiser et al. (2024)</w:t>
        </w:r>
      </w:hyperlink>
      <w:bookmarkEnd w:id="253"/>
      <w:r>
        <w:t xml:space="preserve"> survey the cloud market in IO, and </w:t>
      </w:r>
      <w:bookmarkStart w:id="267" w:name="Stojkoski2024txt"/>
      <w:hyperlink w:anchor="Stojkoski2024" w:history="1">
        <w:r>
          <w:rPr>
            <w:color w:val="1F3864"/>
            <w:u w:val="single"/>
          </w:rPr>
          <w:t xml:space="preserve">Stojkoski et al. (2024)</w:t>
        </w:r>
      </w:hyperlink>
      <w:bookmarkEnd w:id="267"/>
      <w:r>
        <w:t xml:space="preserve"> estimate cloud export geography but treat services as homogeneous. Our model adds supply-side cost structure and a training–inference distinction.</w:t>
      </w:r>
    </w:p>
    <w:p>
      <w:pPr>
        <w:pStyle w:val="Heading1"/>
      </w:pPr>
      <w:r>
        <w:rPr>
          <w:rFonts w:ascii="Times New Roman" w:hAnsi="Times New Roman"/>
          <w:color w:val="2F5496"/>
          <w:sz w:val="28"/>
        </w:rPr>
        <w:t>3. Model of Compute Production and Trade</w:t>
      </w:r>
    </w:p>
    <w:p>
      <w:pPr>
        <w:pStyle w:val="Heading2"/>
      </w:pPr>
      <w:r>
        <w:rPr>
          <w:rFonts w:ascii="Times New Roman" w:hAnsi="Times New Roman"/>
          <w:b w:val="0"/>
          <w:i/>
          <w:color w:val="2F5496"/>
          <w:sz w:val="24"/>
        </w:rPr>
        <w:t>3.1 Production Technology and Cost Structure</w:t>
      </w:r>
    </w:p>
    <w:p>
      <w:pPr>
        <w:spacing w:before="0" w:after="160" w:line="360" w:lineRule="auto"/>
        <w:ind w:firstLine="0"/>
        <w:jc w:val="both"/>
      </w:pPr>
      <w:r>
        <w:t xml:space="preserve">Consider </w:t>
      </w:r>
      <m:oMath>
        <m:r>
          <m:rPr>
            <m:sty m:val="i"/>
          </m:rPr>
          <w:rPr>
            <w:rFonts w:ascii="Cambria Math" w:hAnsi="Cambria Math"/>
          </w:rPr>
          <m:t xml:space="preserve">N</m:t>
        </m:r>
      </m:oMath>
      <w:r>
        <w:t xml:space="preserve"> countries, each capable of producing compute services. The cost of producing a unit of compute in country </w:t>
      </w:r>
      <m:oMath>
        <m:r>
          <m:rPr>
            <m:sty m:val="i"/>
          </m:rPr>
          <w:rPr>
            <w:rFonts w:ascii="Cambria Math" w:hAnsi="Cambria Math"/>
          </w:rPr>
          <m:t xml:space="preserve">j</m:t>
        </m:r>
      </m:oMath>
      <w:r>
        <w:t xml:space="preserve"> depends on three inputs: electricity, hardware, and data center construction.</w:t>
      </w:r>
    </w:p>
    <w:p>
      <w:pPr>
        <w:spacing w:before="0" w:after="80" w:line="360" w:lineRule="auto"/>
        <w:ind w:firstLine="0"/>
        <w:jc w:val="both"/>
      </w:pPr>
      <w:r>
        <w:t xml:space="preserve">A data center consumes electricity for its Graphics Processing Units (GPUs), cooling, power distribution, and lighting. This overhead is measured by the </w:t>
      </w:r>
      <w:r>
        <w:rPr>
          <w:i/>
        </w:rPr>
        <w:t>power usage effectiveness</w:t>
      </w:r>
      <w:r>
        <w:t xml:space="preserve"> (PUE), the ratio of total facility energy consumption to IT equipment energy consumption. The cost per GPU-hour in country </w:t>
      </w:r>
      <m:oMath>
        <m:r>
          <m:rPr>
            <m:sty m:val="i"/>
          </m:rPr>
          <w:rPr>
            <w:rFonts w:ascii="Cambria Math" w:hAnsi="Cambria Math"/>
          </w:rPr>
          <m:t xml:space="preserve">j</m:t>
        </m:r>
      </m:oMath>
      <w:r>
        <w:t xml:space="preserve"> is:</w:t>
      </w:r>
      <w:r>
        <w:rPr>
          <w:rStyle w:val="FootnoteReference"/>
        </w:rPr>
        <w:footnoteReference w:id="7"/>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γ</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E,j</m:t>
                  </m:r>
                </m:sub>
              </m:sSub>
              <m:r>
                <m:rPr>
                  <m:sty m:val="p"/>
                </m:rPr>
                <w:rPr>
                  <w:rFonts w:ascii="Cambria Math" w:hAnsi="Cambria Math"/>
                </w:rPr>
                <m:t xml:space="preserve"> + </m:t>
              </m:r>
              <m:r>
                <m:rPr>
                  <m:sty m:val="i"/>
                </m:rPr>
                <w:rPr>
                  <w:rFonts w:ascii="Cambria Math" w:hAnsi="Cambria Math"/>
                </w:rPr>
                <m:t xml:space="preserve">ρ</m:t>
              </m:r>
              <m:r>
                <m:rPr>
                  <m:sty m:val="p"/>
                </m:rPr>
                <w:rPr>
                  <w:rFonts w:ascii="Cambria Math" w:hAnsi="Cambria Math"/>
                </w:rPr>
                <m:t xml:space="preserve"> + </m:t>
              </m:r>
              <m:r>
                <m:rPr>
                  <m:sty m:val="i"/>
                </m:rPr>
                <w:rPr>
                  <w:rFonts w:ascii="Cambria Math" w:hAnsi="Cambria Math"/>
                </w:rPr>
                <m:t xml:space="preserve">η</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L,j</m:t>
                  </m:r>
                </m:sub>
              </m:sSub>
              <m:r>
                <m:rPr>
                  <m:sty m:val="p"/>
                </m:rPr>
                <w:rPr>
                  <w:rFonts w:ascii="Cambria Math" w:hAnsi="Cambria Math"/>
                </w:rPr>
                <m:t xml:space="preserve"> / (</m:t>
              </m:r>
              <m:r>
                <m:rPr>
                  <m:sty m:val="i"/>
                </m:rPr>
                <w:rPr>
                  <w:rFonts w:ascii="Cambria Math" w:hAnsi="Cambria Math"/>
                </w:rPr>
                <m:t xml:space="preserve">D</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m:t>
              </m:r>
            </m:oMath>
          </w:p>
        </w:tc>
        <w:tc>
          <w:tcPr>
            <w:tcW w:w="720" w:type="dxa"/>
            <w:vAlign w:val="center"/>
          </w:tcPr>
          <w:p>
            <w:pPr>
              <w:jc w:val="right"/>
              <w:spacing w:before="60" w:after="60"/>
            </w:pPr>
            <w:bookmarkStart w:id="801" w:name="Eq1"/>
            <w:r>
              <w:t>(1)</w:t>
            </w:r>
            <w:bookmarkEnd w:id="801"/>
          </w:p>
        </w:tc>
      </w:tr>
    </w:tbl>
    <w:p>
      <w:pPr>
        <w:spacing w:before="80" w:after="40" w:line="360" w:lineRule="auto"/>
        <w:ind w:firstLine="0"/>
        <w:jc w:val="both"/>
      </w:pPr>
      <w:r>
        <w:t xml:space="preserve">where </w:t>
      </w:r>
      <m:oMath>
        <m:r>
          <m:rPr>
            <m:sty m:val="i"/>
          </m:rPr>
          <w:rPr>
            <w:rFonts w:ascii="Cambria Math" w:hAnsi="Cambria Math"/>
          </w:rPr>
          <m:t xml:space="preserve">γ</m:t>
        </m:r>
      </m:oMath>
      <w:r>
        <w:t xml:space="preserve"> is GPU power draw (kW), </w:t>
      </w:r>
      <m:oMath>
        <m:sSub>
          <m:sSubPr/>
          <m:e>
            <m:r>
              <m:rPr>
                <m:sty m:val="i"/>
              </m:rPr>
              <w:rPr>
                <w:rFonts w:ascii="Cambria Math" w:hAnsi="Cambria Math"/>
              </w:rPr>
              <m:t xml:space="preserve">p</m:t>
            </m:r>
          </m:e>
          <m:sub>
            <m:r>
              <m:rPr>
                <m:sty m:val="i"/>
              </m:rPr>
              <w:rPr>
                <w:rFonts w:ascii="Cambria Math" w:hAnsi="Cambria Math"/>
              </w:rPr>
              <m:t xml:space="preserve">E,j</m:t>
            </m:r>
          </m:sub>
        </m:sSub>
      </m:oMath>
      <w:r>
        <w:t xml:space="preserve"> is the electricity price ($/kWh), </w:t>
      </w:r>
      <m:oMath>
        <m:r>
          <m:rPr>
            <m:sty m:val="i"/>
          </m:rPr>
          <w:rPr>
            <w:rFonts w:ascii="Cambria Math" w:hAnsi="Cambria Math"/>
          </w:rPr>
          <m:t xml:space="preserve">ρ</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GPU</m:t>
            </m:r>
          </m:sub>
        </m:sSub>
        <m:r>
          <m:rPr>
            <m:sty m:val="p"/>
          </m:rPr>
          <w:rPr>
            <w:rFonts w:ascii="Cambria Math" w:hAnsi="Cambria Math"/>
          </w:rPr>
          <m:t xml:space="preserve"> / (</m:t>
        </m:r>
        <m:r>
          <m:rPr>
            <m:sty m:val="i"/>
          </m:rPr>
          <w:rPr>
            <w:rFonts w:ascii="Cambria Math" w:hAnsi="Cambria Math"/>
          </w:rPr>
          <m:t xml:space="preserve">L</m:t>
        </m:r>
        <m:r>
          <m:rPr>
            <m:sty m:val="p"/>
          </m:rPr>
          <w:rPr>
            <w:rFonts w:ascii="Cambria Math" w:hAnsi="Cambria Math"/>
          </w:rPr>
          <m:t xml:space="preserve"> · </m:t>
        </m:r>
        <m:r>
          <m:rPr>
            <m:sty m:val="i"/>
          </m:rPr>
          <w:rPr>
            <w:rFonts w:ascii="Cambria Math" w:hAnsi="Cambria Math"/>
          </w:rPr>
          <m:t xml:space="preserve">H</m:t>
        </m:r>
        <m:r>
          <m:rPr>
            <m:sty m:val="p"/>
          </m:rPr>
          <w:rPr>
            <w:rFonts w:ascii="Cambria Math" w:hAnsi="Cambria Math"/>
          </w:rPr>
          <m:t xml:space="preserve"> · </m:t>
        </m:r>
        <m:r>
          <m:rPr>
            <m:sty m:val="i"/>
          </m:rPr>
          <w:rPr>
            <w:rFonts w:ascii="Cambria Math" w:hAnsi="Cambria Math"/>
          </w:rPr>
          <m:t xml:space="preserve">β</m:t>
        </m:r>
        <m:r>
          <m:rPr>
            <m:sty m:val="p"/>
          </m:rPr>
          <w:rPr>
            <w:rFonts w:ascii="Cambria Math" w:hAnsi="Cambria Math"/>
          </w:rPr>
          <m:t xml:space="preserve">)</m:t>
        </m:r>
      </m:oMath>
      <w:r>
        <w:t xml:space="preserve"> is amortized hardware cost per GPU-hour (</w:t>
      </w:r>
      <m:oMath>
        <m:sSub>
          <m:sSubPr/>
          <m:e>
            <m:r>
              <m:rPr>
                <m:sty m:val="i"/>
              </m:rPr>
              <w:rPr>
                <w:rFonts w:ascii="Cambria Math" w:hAnsi="Cambria Math"/>
              </w:rPr>
              <m:t xml:space="preserve">P</m:t>
            </m:r>
          </m:e>
          <m:sub>
            <m:r>
              <m:rPr>
                <m:sty m:val="i"/>
              </m:rPr>
              <w:rPr>
                <w:rFonts w:ascii="Cambria Math" w:hAnsi="Cambria Math"/>
              </w:rPr>
              <m:t xml:space="preserve">GPU</m:t>
            </m:r>
          </m:sub>
        </m:sSub>
      </m:oMath>
      <w:r>
        <w:t xml:space="preserve"> = purchase price, </w:t>
      </w:r>
      <m:oMath>
        <m:r>
          <m:rPr>
            <m:sty m:val="i"/>
          </m:rPr>
          <w:rPr>
            <w:rFonts w:ascii="Cambria Math" w:hAnsi="Cambria Math"/>
          </w:rPr>
          <m:t xml:space="preserve">L</m:t>
        </m:r>
      </m:oMath>
      <w:r>
        <w:t xml:space="preserve"> = lifetime in years, </w:t>
      </w:r>
      <m:oMath>
        <m:r>
          <m:rPr>
            <m:sty m:val="i"/>
          </m:rPr>
          <w:rPr>
            <w:rFonts w:ascii="Cambria Math" w:hAnsi="Cambria Math"/>
          </w:rPr>
          <m:t xml:space="preserve">H</m:t>
        </m:r>
      </m:oMath>
      <w:r>
        <w:t xml:space="preserve"> = 8,766 hours per year, </w:t>
      </w:r>
      <m:oMath>
        <m:r>
          <m:rPr>
            <m:sty m:val="i"/>
          </m:rPr>
          <w:rPr>
            <w:rFonts w:ascii="Cambria Math" w:hAnsi="Cambria Math"/>
          </w:rPr>
          <m:t xml:space="preserve">β</m:t>
        </m:r>
      </m:oMath>
      <w:r>
        <w:t xml:space="preserve"> = utilization rate),</w:t>
      </w:r>
      <w:r>
        <w:rPr>
          <w:rStyle w:val="FootnoteReference"/>
        </w:rPr>
        <w:footnoteReference w:id="9"/>
      </w:r>
      <w:r>
        <w:t xml:space="preserve"> </w:t>
      </w:r>
      <m:oMath>
        <m:r>
          <m:rPr>
            <m:sty m:val="i"/>
          </m:rPr>
          <w:rPr>
            <w:rFonts w:ascii="Cambria Math" w:hAnsi="Cambria Math"/>
          </w:rPr>
          <m:t xml:space="preserve">η</m:t>
        </m:r>
      </m:oMath>
      <w:r>
        <w:t xml:space="preserve"> is amortized networking cost, and the last term amortizes per-GPU construction costs </w:t>
      </w:r>
      <m:oMath>
        <m:sSub>
          <m:sSubPr/>
          <m:e>
            <m:r>
              <m:rPr>
                <m:sty m:val="i"/>
              </m:rPr>
              <w:rPr>
                <w:rFonts w:ascii="Cambria Math" w:hAnsi="Cambria Math"/>
              </w:rPr>
              <m:t xml:space="preserve">p</m:t>
            </m:r>
          </m:e>
          <m:sub>
            <m:r>
              <m:rPr>
                <m:sty m:val="i"/>
              </m:rPr>
              <w:rPr>
                <w:rFonts w:ascii="Cambria Math" w:hAnsi="Cambria Math"/>
              </w:rPr>
              <m:t xml:space="preserve">L,j</m:t>
            </m:r>
          </m:sub>
        </m:sSub>
      </m:oMath>
      <w:r>
        <w:t xml:space="preserve"> (= per-watt cost × 700 W) over the facility’s lifetime </w:t>
      </w:r>
      <m:oMath>
        <m:r>
          <m:rPr>
            <m:sty m:val="i"/>
          </m:rPr>
          <w:rPr>
            <w:rFonts w:ascii="Cambria Math" w:hAnsi="Cambria Math"/>
          </w:rPr>
          <m:t xml:space="preserve">D</m:t>
        </m:r>
      </m:oMath>
      <w:r>
        <w:t xml:space="preserve">. Both </w:t>
      </w:r>
      <m:oMath>
        <m:r>
          <m:rPr>
            <m:sty m:val="i"/>
          </m:rPr>
          <w:rPr>
            <w:rFonts w:ascii="Cambria Math" w:hAnsi="Cambria Math"/>
          </w:rPr>
          <m:t xml:space="preserve">ρ</m:t>
        </m:r>
      </m:oMath>
      <w:r>
        <w:t xml:space="preserve"> and </w:t>
      </w:r>
      <m:oMath>
        <m:r>
          <m:rPr>
            <m:sty m:val="i"/>
          </m:rPr>
          <w:rPr>
            <w:rFonts w:ascii="Cambria Math" w:hAnsi="Cambria Math"/>
          </w:rPr>
          <m:t xml:space="preserve">η</m:t>
        </m:r>
      </m:oMath>
      <w:r>
        <w:t xml:space="preserve"> are determined in global hardware markets.</w:t>
      </w:r>
      <w:r>
        <w:rPr>
          <w:rStyle w:val="FootnoteReference"/>
        </w:rPr>
        <w:footnoteReference w:id="10"/>
      </w:r>
      <w:r>
        <w:t xml:space="preserve"> Cross-country variation in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therefore driven by electricity prices, climate, and construction costs; the construction-cost estimates are described in Appendix E. The PUE function captures temperature-dependent cooling overhead:</w:t>
      </w:r>
    </w:p>
    <w:p>
      <w:pPr>
        <w:spacing w:before="0" w:after="160" w:line="360" w:lineRule="auto"/>
        <w:ind w:firstLine="0"/>
        <w:jc w:val="both"/>
      </w:pPr>
      <m:oMathPara>
        <m:oMath>
          <m:r>
            <m:rPr>
              <m:sty m:val="p"/>
            </m:rPr>
            <w:rPr>
              <w:rFonts w:ascii="Cambria Math" w:hAnsi="Cambria Math"/>
            </w:rPr>
            <m:t xml:space="preserve">PUE(</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r>
            <m:rPr>
              <m:sty m:val="i"/>
            </m:rPr>
            <w:rPr>
              <w:rFonts w:ascii="Cambria Math" w:hAnsi="Cambria Math"/>
            </w:rPr>
            <m:t xml:space="preserve">φ</m:t>
          </m:r>
          <m:r>
            <m:rPr>
              <m:sty m:val="p"/>
            </m:rPr>
            <w:rPr>
              <w:rFonts w:ascii="Cambria Math" w:hAnsi="Cambria Math"/>
            </w:rPr>
            <m:t xml:space="preserve"> + </m:t>
          </m:r>
          <m:r>
            <m:rPr>
              <m:sty m:val="i"/>
            </m:rPr>
            <w:rPr>
              <w:rFonts w:ascii="Cambria Math" w:hAnsi="Cambria Math"/>
            </w:rPr>
            <m:t xml:space="preserve">δ</m:t>
          </m:r>
          <m:r>
            <m:rPr>
              <m:sty m:val="p"/>
            </m:rPr>
            <w:rPr>
              <w:rFonts w:ascii="Cambria Math" w:hAnsi="Cambria Math"/>
            </w:rPr>
            <m:t xml:space="preserve"> · max(0, </m:t>
          </m:r>
          <m:sSub>
            <m:sSubPr/>
            <m:e>
              <m:r>
                <m:rPr>
                  <m:sty m:val="i"/>
                </m:rPr>
                <w:rPr>
                  <w:rFonts w:ascii="Cambria Math" w:hAnsi="Cambria Math"/>
                </w:rPr>
                <m:t xml:space="preserve">θ</m:t>
              </m:r>
            </m:e>
            <m:sub>
              <m:r>
                <m:rPr>
                  <m:sty m:val="i"/>
                </m:rPr>
                <w:rPr>
                  <w:rFonts w:ascii="Cambria Math" w:hAnsi="Cambria Math"/>
                </w:rPr>
                <m:t xml:space="preserve">j</m:t>
              </m:r>
            </m:sub>
          </m:sSub>
          <m:r>
            <m:rPr>
              <m:sty m:val="p"/>
            </m:rPr>
            <w:rPr>
              <w:rFonts w:ascii="Cambria Math" w:hAnsi="Cambria Math"/>
            </w:rPr>
            <m:t xml:space="preserve"> − </m:t>
          </m:r>
          <m:bar>
            <m:barPr>
              <m:pos m:val="top"/>
            </m:barPr>
            <m:e>
              <m:r>
                <m:rPr>
                  <m:sty m:val="i"/>
                </m:rPr>
                <w:rPr>
                  <w:rFonts w:ascii="Cambria Math" w:hAnsi="Cambria Math"/>
                </w:rPr>
                <m:t xml:space="preserve">θ</m:t>
              </m:r>
            </m:e>
          </m:bar>
          <m:r>
            <m:rPr>
              <m:sty m:val="p"/>
            </m:rPr>
            <w:rPr>
              <w:rFonts w:ascii="Cambria Math" w:hAnsi="Cambria Math"/>
            </w:rPr>
            <m:t xml:space="preserve">),</m:t>
          </m:r>
        </m:oMath>
      </m:oMathPara>
      <w:r>
        <w:t xml:space="preserve"> where </w:t>
      </w:r>
      <m:oMath>
        <m:r>
          <m:rPr>
            <m:sty m:val="i"/>
          </m:rPr>
          <w:rPr>
            <w:rFonts w:ascii="Cambria Math" w:hAnsi="Cambria Math"/>
          </w:rPr>
          <m:t xml:space="preserve">φ</m:t>
        </m:r>
      </m:oMath>
      <w:r>
        <w:t xml:space="preserve"> is the base PUE at or below the free-cooling threshold </w:t>
      </w:r>
      <m:oMath>
        <m:bar>
          <m:barPr>
            <m:pos m:val="top"/>
          </m:barPr>
          <m:e>
            <m:r>
              <m:rPr>
                <m:sty m:val="i"/>
              </m:rPr>
              <w:rPr>
                <w:rFonts w:ascii="Cambria Math" w:hAnsi="Cambria Math"/>
              </w:rPr>
              <m:t xml:space="preserve">θ</m:t>
            </m:r>
          </m:e>
        </m:bar>
      </m:oMath>
      <w:r>
        <w:t xml:space="preserve">, </w:t>
      </w:r>
      <m:oMath>
        <m:r>
          <m:rPr>
            <m:sty m:val="i"/>
          </m:rPr>
          <w:rPr>
            <w:rFonts w:ascii="Cambria Math" w:hAnsi="Cambria Math"/>
          </w:rPr>
          <m:t xml:space="preserve">δ</m:t>
        </m:r>
      </m:oMath>
      <w:r>
        <w:t xml:space="preserve"> is the marginal PUE penalty per °C above </w:t>
      </w:r>
      <m:oMath>
        <m:bar>
          <m:barPr>
            <m:pos m:val="top"/>
          </m:barPr>
          <m:e>
            <m:r>
              <m:rPr>
                <m:sty m:val="i"/>
              </m:rPr>
              <w:rPr>
                <w:rFonts w:ascii="Cambria Math" w:hAnsi="Cambria Math"/>
              </w:rPr>
              <m:t xml:space="preserve">θ</m:t>
            </m:r>
          </m:e>
        </m:bar>
      </m:oMath>
      <w:r>
        <w:t xml:space="preserve">, and </w:t>
      </w:r>
      <m:oMath>
        <m:sSub>
          <m:sSubPr/>
          <m:e>
            <m:r>
              <m:rPr>
                <m:sty m:val="i"/>
              </m:rPr>
              <w:rPr>
                <w:rFonts w:ascii="Cambria Math" w:hAnsi="Cambria Math"/>
              </w:rPr>
              <m:t xml:space="preserve">θ</m:t>
            </m:r>
          </m:e>
          <m:sub>
            <m:r>
              <m:rPr>
                <m:sty m:val="i"/>
              </m:rPr>
              <w:rPr>
                <w:rFonts w:ascii="Cambria Math" w:hAnsi="Cambria Math"/>
              </w:rPr>
              <m:t xml:space="preserve">j</m:t>
            </m:r>
          </m:sub>
        </m:sSub>
      </m:oMath>
      <w:r>
        <w:t xml:space="preserve"> is country j’s peak summer temperature.</w:t>
      </w:r>
    </w:p>
    <w:p>
      <w:pPr>
        <w:spacing w:before="0" w:after="160" w:line="360" w:lineRule="auto"/>
        <w:ind w:firstLine="0"/>
        <w:jc w:val="both"/>
      </w:pPr>
      <w:r>
        <w:t xml:space="preserve">The cost structure is Ricardian: countries differ in production costs because they differ in technology and input prices. The intuition for resource-rich comparative advantage, however, is closer to Heckscher–Ohlin with countries exporting goods intensive in their abundant factors (</w:t>
      </w:r>
      <w:bookmarkStart w:id="209" w:name="Heckscher1919txt"/>
      <w:hyperlink w:anchor="Heckscher1919" w:history="1">
        <w:r>
          <w:rPr>
            <w:color w:val="1F3864"/>
            <w:u w:val="single"/>
          </w:rPr>
          <w:t xml:space="preserve">Heckscher 1919</w:t>
        </w:r>
      </w:hyperlink>
      <w:bookmarkEnd w:id="209"/>
      <w:r>
        <w:t xml:space="preserve">, </w:t>
      </w:r>
      <w:bookmarkStart w:id="254" w:name="Ohlin1933txt"/>
      <w:hyperlink w:anchor="Ohlin1933" w:history="1">
        <w:r>
          <w:rPr>
            <w:color w:val="1F3864"/>
            <w:u w:val="single"/>
          </w:rPr>
          <w:t xml:space="preserve">Ohlin 1933</w:t>
        </w:r>
      </w:hyperlink>
      <w:bookmarkEnd w:id="254"/>
      <w:r>
        <w:t xml:space="preserve">). For compute production, the relevant endowment is not electricity, but the natural resources that generate it, such as hydropower (Kyrgyzstan, Ethiopia, Georgia), oil and gas (Iran, Turkmenistan, Qatar), solar irradiance (North Africa, the Gulf), and geothermal energy (Kenya, Iceland).</w:t>
      </w:r>
    </w:p>
    <w:p>
      <w:pPr>
        <w:pStyle w:val="Heading2"/>
      </w:pPr>
      <w:r>
        <w:rPr>
          <w:rFonts w:ascii="Times New Roman" w:hAnsi="Times New Roman"/>
          <w:b w:val="0"/>
          <w:i/>
          <w:color w:val="2F5496"/>
          <w:sz w:val="24"/>
        </w:rPr>
        <w:t>3.2 Trade Costs</w:t>
      </w:r>
    </w:p>
    <w:p>
      <w:pPr>
        <w:spacing w:before="0" w:after="160" w:line="360" w:lineRule="auto"/>
        <w:ind w:firstLine="0"/>
        <w:jc w:val="both"/>
      </w:pPr>
      <w:r>
        <w:t xml:space="preserve">Countries produce and trade two types of compute services that differ in their offshoring costs. </w:t>
      </w:r>
      <w:r>
        <w:rPr>
          <w:i/>
        </w:rPr>
        <w:t>Training services</w:t>
      </w:r>
      <w:r>
        <w:t xml:space="preserve"> (denoted T) include batch workloads such as model training, fine-tuning, and large-scale data processing. Training a state-of-the-art AI model can take weeks to months across thousands of GPUs. The client ships its data to a data center, the computation executes locally, and the output is returned to the client. Since neither input nor output is time-sensitive, network latency plays no role. </w:t>
      </w:r>
      <w:r>
        <w:rPr>
          <w:i/>
        </w:rPr>
        <w:t>Inference services</w:t>
      </w:r>
      <w:r>
        <w:t xml:space="preserve"> (denoted I) encompass real-time workloads such as chatbot responses, autonomous decisions, and interactive agents. Each query must travel to the server and back within milliseconds, so the service quality degrades as delivery delays (latency) increase. </w:t>
      </w:r>
      <w:r>
        <w:rPr>
          <w:i/>
        </w:rPr>
        <w:t>Latency</w:t>
      </w:r>
      <w:r>
        <w:rPr>
          <w:i/>
        </w:rPr>
        <w:t xml:space="preserve">, denoted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is the round-trip time for a data packet to travel from the seller country </w:t>
      </w:r>
      <m:oMath>
        <m:r>
          <m:rPr>
            <m:sty m:val="i"/>
          </m:rPr>
          <w:rPr>
            <w:rFonts w:ascii="Cambria Math" w:hAnsi="Cambria Math"/>
          </w:rPr>
          <m:t xml:space="preserve">j</m:t>
        </m:r>
      </m:oMath>
      <w:r>
        <w:t xml:space="preserve"> to buyer country </w:t>
      </w:r>
      <m:oMath>
        <m:r>
          <m:rPr>
            <m:sty m:val="i"/>
          </m:rPr>
          <w:rPr>
            <w:rFonts w:ascii="Cambria Math" w:hAnsi="Cambria Math"/>
          </w:rPr>
          <m:t xml:space="preserve">k</m:t>
        </m:r>
      </m:oMath>
      <w:r>
        <w:t>, typically 5–10 ms within a country and over 150 ms across continents (Appendix F summarizes workload types and their latency sensitivity).</w:t>
      </w:r>
    </w:p>
    <w:p>
      <w:pPr>
        <w:spacing w:before="0" w:after="40" w:line="360" w:lineRule="auto"/>
        <w:ind w:firstLine="0"/>
        <w:jc w:val="both"/>
      </w:pPr>
      <w:r>
        <w:t xml:space="preserve">Governments and firms may prefer to process data domestically for national security, regulatory compliance, or political reasons. This is captured by a bilateral </w:t>
      </w:r>
      <w:r>
        <w:rPr>
          <w:i/>
        </w:rPr>
        <w:t>sovereignty premium</w:t>
      </w:r>
      <w:r>
        <w:t xml:space="preserve">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which acts as a markup on the cost of compute sourced from seller country </w:t>
      </w:r>
      <m:oMath>
        <m:r>
          <m:rPr>
            <m:sty m:val="i"/>
          </m:rPr>
          <w:rPr>
            <w:rFonts w:ascii="Cambria Math" w:hAnsi="Cambria Math"/>
          </w:rPr>
          <m:t xml:space="preserve">i</m:t>
        </m:r>
      </m:oMath>
      <w:r>
        <w:t xml:space="preserve"> by buyer country </w:t>
      </w:r>
      <m:oMath>
        <m:r>
          <m:rPr>
            <m:sty m:val="i"/>
          </m:rPr>
          <w:rPr>
            <w:rFonts w:ascii="Cambria Math" w:hAnsi="Cambria Math"/>
          </w:rPr>
          <m:t xml:space="preserve">j</m:t>
        </m:r>
      </m:oMath>
      <w:r>
        <w:t xml:space="preserve">. When buyer </w:t>
      </w:r>
      <m:oMath>
        <m:r>
          <m:rPr>
            <m:sty m:val="i"/>
          </m:rPr>
          <w:rPr>
            <w:rFonts w:ascii="Cambria Math" w:hAnsi="Cambria Math"/>
          </w:rPr>
          <m:t xml:space="preserve">j</m:t>
        </m:r>
      </m:oMath>
      <w:r>
        <w:t xml:space="preserve"> sources compute from seller </w:t>
      </w:r>
      <m:oMath>
        <m:r>
          <m:rPr>
            <m:sty m:val="i"/>
          </m:rPr>
          <w:rPr>
            <w:rFonts w:ascii="Cambria Math" w:hAnsi="Cambria Math"/>
          </w:rPr>
          <m:t xml:space="preserve">i</m:t>
        </m:r>
        <m:r>
          <m:rPr>
            <m:sty m:val="p"/>
          </m:rPr>
          <w:rPr>
            <w:rFonts w:ascii="Cambria Math" w:hAnsi="Cambria Math"/>
          </w:rPr>
          <m:t xml:space="preserve"> ≠ </m:t>
        </m:r>
        <m:r>
          <m:rPr>
            <m:sty m:val="i"/>
          </m:rPr>
          <w:rPr>
            <w:rFonts w:ascii="Cambria Math" w:hAnsi="Cambria Math"/>
          </w:rPr>
          <m:t xml:space="preserve">j</m:t>
        </m:r>
      </m:oMath>
      <w:r>
        <w:t xml:space="preserve">, the effective cost is inflated by the factor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The sovereignty premium is zero for domestic production (</w:t>
      </w:r>
      <m:oMath>
        <m:sSub>
          <m:sSubPr/>
          <m:e>
            <m:r>
              <m:rPr>
                <m:sty m:val="i"/>
              </m:rPr>
              <w:rPr>
                <w:rFonts w:ascii="Cambria Math" w:hAnsi="Cambria Math"/>
              </w:rPr>
              <m:t xml:space="preserve">λ</m:t>
            </m:r>
          </m:e>
          <m:sub>
            <m:r>
              <m:rPr>
                <m:sty m:val="i"/>
              </m:rPr>
              <w:rPr>
                <w:rFonts w:ascii="Cambria Math" w:hAnsi="Cambria Math"/>
              </w:rPr>
              <m:t xml:space="preserve">ii</m:t>
            </m:r>
          </m:sub>
        </m:sSub>
        <m:r>
          <m:rPr>
            <m:sty m:val="p"/>
          </m:rPr>
          <w:rPr>
            <w:rFonts w:ascii="Cambria Math" w:hAnsi="Cambria Math"/>
          </w:rPr>
          <m:t xml:space="preserve"> = 0</m:t>
        </m:r>
      </m:oMath>
      <w:r>
        <w:t xml:space="preserve">). The bilateral premium is modeled as a function of geopolitical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measured from the UN General Assembly ideal-point distance (</w:t>
      </w:r>
      <w:bookmarkStart w:id="210" w:name="BaileyEtAl2017txt"/>
      <w:hyperlink w:anchor="BaileyEtAl2017" w:history="1">
        <w:r>
          <w:rPr>
            <w:color w:val="1F3864"/>
            <w:u w:val="single"/>
          </w:rPr>
          <w:t xml:space="preserve">Bailey, Strezhnev, and Voeten 2017</w:t>
        </w:r>
      </w:hyperlink>
      <w:bookmarkEnd w:id="210"/>
      <w:r>
        <w:t xml:space="preserve">) and normalized so that </w:t>
      </w:r>
      <m:oMath>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[0, 1]</m:t>
        </m:r>
      </m:oMath>
      <w:r>
        <w:t xml:space="preserve">, with 0 denoting perfect alignment; regulatory compatibility </w:t>
      </w:r>
      <m:oMath>
        <m:sSub>
          <m:sSubPr/>
          <m:e>
            <m:r>
              <m:rPr>
                <m:sty m:val="i"/>
              </m:rPr>
              <w:rPr>
                <w:rFonts w:ascii="Cambria Math" w:hAnsi="Cambria Math"/>
              </w:rPr>
              <m:t xml:space="preserve">R</m:t>
            </m:r>
          </m:e>
          <m:sub>
            <m:r>
              <m:rPr>
                <m:sty m:val="i"/>
              </m:rPr>
              <w:rPr>
                <w:rFonts w:ascii="Cambria Math" w:hAnsi="Cambria Math"/>
              </w:rPr>
              <m:t xml:space="preserve">ij</m:t>
            </m:r>
          </m:sub>
        </m:sSub>
      </m:oMath>
      <w:r>
        <w:t>, coded as 1 for country pairs covered by a mutual data adequacy agreement and 0 otherwise. Pairs under comprehensive trade sanctions (</w:t>
      </w:r>
      <m:oMath>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 = 1</m:t>
        </m:r>
      </m:oMath>
      <w:r>
        <w:t xml:space="preserve">) are treated separately as a corner case: trade is prohibited by assumption, so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For all other (non-sanctioned) pairs, the bilateral premium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r>
                <m:rPr>
                  <m:sty m:val="p"/>
                </m:rPr>
                <w:rPr>
                  <w:rFonts w:ascii="Cambria Math" w:hAnsi="Cambria Math"/>
                </w:rPr>
                <m:t xml:space="preserve">∞ if </m:t>
              </m:r>
              <m:sSub>
                <m:sSubPr/>
                <m:e>
                  <m:r>
                    <m:rPr>
                      <m:sty m:val="i"/>
                    </m:rPr>
                    <w:rPr>
                      <w:rFonts w:ascii="Cambria Math" w:hAnsi="Cambria Math"/>
                    </w:rPr>
                    <m:t xml:space="preserve">S</m:t>
                  </m:r>
                </m:e>
                <m:sub>
                  <m:r>
                    <m:rPr>
                      <m:sty m:val="i"/>
                    </m:rPr>
                    <w:rPr>
                      <w:rFonts w:ascii="Cambria Math" w:hAnsi="Cambria Math"/>
                    </w:rPr>
                    <m:t xml:space="preserve">ij</m:t>
                  </m:r>
                </m:sub>
              </m:sSub>
              <m:r>
                <m:rPr>
                  <m:sty m:val="p"/>
                </m:rPr>
                <w:rPr>
                  <w:rFonts w:ascii="Cambria Math" w:hAnsi="Cambria Math"/>
                </w:rPr>
                <m:t xml:space="preserve"> = 1; </m:t>
              </m:r>
              <m:sSub>
                <m:sSubPr/>
                <m:e>
                  <m:r>
                    <m:rPr>
                      <m:sty m:val="i"/>
                    </m:rPr>
                    <w:rPr>
                      <w:rFonts w:ascii="Cambria Math" w:hAnsi="Cambria Math"/>
                    </w:rPr>
                    <m:t xml:space="preserve">w</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w</m:t>
                  </m:r>
                </m:e>
                <m:sub>
                  <m:r>
                    <m:rPr>
                      <m:sty m:val="i"/>
                    </m:rPr>
                    <w:rPr>
                      <w:rFonts w:ascii="Cambria Math" w:hAnsi="Cambria Math"/>
                    </w:rPr>
                    <m:t xml:space="preserve">2</m:t>
                  </m:r>
                </m:sub>
              </m:sSub>
              <m:r>
                <m:rPr>
                  <m:sty m:val="p"/>
                </m:rPr>
                <w:rPr>
                  <w:rFonts w:ascii="Cambria Math" w:hAnsi="Cambria Math"/>
                </w:rPr>
                <m:t xml:space="preserve"> · (1 − </m:t>
              </m:r>
              <m:sSub>
                <m:sSubPr/>
                <m:e>
                  <m:r>
                    <m:rPr>
                      <m:sty m:val="i"/>
                    </m:rPr>
                    <w:rPr>
                      <w:rFonts w:ascii="Cambria Math" w:hAnsi="Cambria Math"/>
                    </w:rPr>
                    <m:t xml:space="preserve">R</m:t>
                  </m:r>
                </m:e>
                <m:sub>
                  <m:r>
                    <m:rPr>
                      <m:sty m:val="i"/>
                    </m:rPr>
                    <w:rPr>
                      <w:rFonts w:ascii="Cambria Math" w:hAnsi="Cambria Math"/>
                    </w:rPr>
                    <m:t xml:space="preserve">ij</m:t>
                  </m:r>
                </m:sub>
              </m:sSub>
              <m:r>
                <m:rPr>
                  <m:sty m:val="p"/>
                </m:rPr>
                <w:rPr>
                  <w:rFonts w:ascii="Cambria Math" w:hAnsi="Cambria Math"/>
                </w:rPr>
                <m:t xml:space="preserve">) otherwise}.</m:t>
              </m:r>
            </m:oMath>
          </w:p>
        </w:tc>
        <w:tc>
          <w:tcPr>
            <w:tcW w:w="720" w:type="dxa"/>
            <w:vAlign w:val="center"/>
          </w:tcPr>
          <w:p>
            <w:pPr>
              <w:jc w:val="right"/>
              <w:spacing w:before="60" w:after="60"/>
            </w:pPr>
            <w:bookmarkStart w:id="802" w:name="Eq2"/>
            <w:r>
              <w:t>(2)</w:t>
            </w:r>
            <w:bookmarkEnd w:id="802"/>
          </w:p>
        </w:tc>
      </w:tr>
    </w:tbl>
    <w:p>
      <w:pPr>
        <w:spacing w:before="80" w:after="160" w:line="360" w:lineRule="auto"/>
        <w:ind w:firstLine="0"/>
        <w:jc w:val="both"/>
      </w:pPr>
      <w:r>
        <w:t xml:space="preserve">Two established bodies of literature motivate this functional form. The multiplicative wedge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m:t>
        </m:r>
      </m:oMath>
      <w:r>
        <w:t xml:space="preserve"> on delivered cost is the standard representation of ad valorem bilateral trade frictions in the gravity literature (</w:t>
      </w:r>
      <w:bookmarkStart w:id="211" w:name="AndersonVanWincoop2003txt"/>
      <w:hyperlink w:anchor="AndersonVanWincoop2003" w:history="1">
        <w:r>
          <w:rPr>
            <w:color w:val="1F3864"/>
            <w:u w:val="single"/>
          </w:rPr>
          <w:t xml:space="preserve">Anderson and van Wincoop 2003</w:t>
        </w:r>
      </w:hyperlink>
      <w:bookmarkEnd w:id="211"/>
      <w:r>
        <w:t xml:space="preserve">), where pair-specific wedges capture border effects, policy barriers, and non-tariff measures that raise the price paid by buyer </w:t>
      </w:r>
      <m:oMath>
        <m:r>
          <m:rPr>
            <m:sty m:val="i"/>
          </m:rPr>
          <w:rPr>
            <w:rFonts w:ascii="Cambria Math" w:hAnsi="Cambria Math"/>
          </w:rPr>
          <m:t xml:space="preserve">j</m:t>
        </m:r>
      </m:oMath>
      <w:r>
        <w:t xml:space="preserve"> for seller </w:t>
      </w:r>
      <m:oMath>
        <m:r>
          <m:rPr>
            <m:sty m:val="i"/>
          </m:rPr>
          <w:rPr>
            <w:rFonts w:ascii="Cambria Math" w:hAnsi="Cambria Math"/>
          </w:rPr>
          <m:t xml:space="preserve">i</m:t>
        </m:r>
      </m:oMath>
      <w:r>
        <w:t xml:space="preserve">’s services above the seller’s own cost. The linear additive structure of the two components </w:t>
      </w:r>
      <m:oMath>
        <m:sSub>
          <m:sSubPr/>
          <m:e>
            <m:r>
              <m:rPr>
                <m:sty m:val="i"/>
              </m:rPr>
              <w:rPr>
                <w:rFonts w:ascii="Cambria Math" w:hAnsi="Cambria Math"/>
              </w:rPr>
              <m:t xml:space="preserve">G</m:t>
            </m:r>
          </m:e>
          <m:sub>
            <m:r>
              <m:rPr>
                <m:sty m:val="i"/>
              </m:rPr>
              <w:rPr>
                <w:rFonts w:ascii="Cambria Math" w:hAnsi="Cambria Math"/>
              </w:rPr>
              <m:t xml:space="preserve">ij</m:t>
            </m:r>
          </m:sub>
        </m:sSub>
        <m:r>
          <m:rPr>
            <m:sty m:val="p"/>
          </m:rPr>
          <w:rPr>
            <w:rFonts w:ascii="Cambria Math" w:hAnsi="Cambria Math"/>
          </w:rPr>
          <m:t xml:space="preserve"> and </m:t>
        </m:r>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treats geopolitical, regulatory, and sanctions frictions as separable contributions to the wedge, consistent with the iceberg-equivalent decomposition of services trade costs in </w:t>
      </w:r>
      <w:bookmarkStart w:id="212" w:name="BenzJaax2020txt"/>
      <w:hyperlink w:anchor="BenzJaax2020" w:history="1">
        <w:r>
          <w:rPr>
            <w:color w:val="1F3864"/>
            <w:u w:val="single"/>
          </w:rPr>
          <w:t xml:space="preserve">Benz and Jaax (2020)</w:t>
        </w:r>
      </w:hyperlink>
      <w:bookmarkEnd w:id="212"/>
      <w:r>
        <w:t xml:space="preserve">.</w:t>
      </w:r>
    </w:p>
    <w:p>
      <w:pPr>
        <w:spacing w:before="0" w:after="80" w:line="360" w:lineRule="auto"/>
        <w:ind w:firstLine="0"/>
        <w:jc w:val="both"/>
      </w:pPr>
      <w:r>
        <w:t xml:space="preserve">The wedge dependence on bilateral institutional alignment follows from the incomplete-contracts theory (</w:t>
      </w:r>
      <w:bookmarkStart w:id="213" w:name="AndersonMarcouiller2002txt"/>
      <w:hyperlink w:anchor="AndersonMarcouiller2002" w:history="1">
        <w:r>
          <w:rPr>
            <w:color w:val="1F3864"/>
            <w:u w:val="single"/>
          </w:rPr>
          <w:t xml:space="preserve">Anderson and Marcouiller 2002</w:t>
        </w:r>
      </w:hyperlink>
      <w:bookmarkEnd w:id="213"/>
      <w:r>
        <w:t xml:space="preserve">, </w:t>
      </w:r>
      <w:bookmarkStart w:id="255" w:name="Antras2003txt"/>
      <w:hyperlink w:anchor="Antras2003" w:history="1">
        <w:r>
          <w:rPr>
            <w:color w:val="1F3864"/>
            <w:u w:val="single"/>
          </w:rPr>
          <w:t xml:space="preserve">Antràs 2003</w:t>
        </w:r>
      </w:hyperlink>
      <w:bookmarkEnd w:id="255"/>
      <w:r>
        <w:t xml:space="preserve">). Compute trade is contract-intensive. A buyer sends sensitive data to a remote seller and depends on the seller’s jurisdiction to enforce confidentiality, service-level obligations, and, in many applications, the buyer’s ability to retrieve or delete its data. In countries where these contracts are weakly enforceable, the buyer discounts the seller’s effective price, and the size of the discount varies with the pair-specific strength of the enforcement environment. Political alignment </w:t>
      </w:r>
      <m:oMath>
        <m:sSub>
          <m:sSubPr/>
          <m:e>
            <m:r>
              <m:rPr>
                <m:sty m:val="i"/>
              </m:rPr>
              <w:rPr>
                <w:rFonts w:ascii="Cambria Math" w:hAnsi="Cambria Math"/>
              </w:rPr>
              <m:t xml:space="preserve">G</m:t>
            </m:r>
          </m:e>
          <m:sub>
            <m:r>
              <m:rPr>
                <m:sty m:val="i"/>
              </m:rPr>
              <w:rPr>
                <w:rFonts w:ascii="Cambria Math" w:hAnsi="Cambria Math"/>
              </w:rPr>
              <m:t xml:space="preserve">ij</m:t>
            </m:r>
          </m:sub>
        </m:sSub>
      </m:oMath>
      <w:r>
        <w:t xml:space="preserve"> proxies dispute-resolution willingness, mutual data adequacy </w:t>
      </w:r>
      <m:oMath>
        <m:sSub>
          <m:sSubPr/>
          <m:e>
            <m:r>
              <m:rPr>
                <m:sty m:val="i"/>
              </m:rPr>
              <w:rPr>
                <w:rFonts w:ascii="Cambria Math" w:hAnsi="Cambria Math"/>
              </w:rPr>
              <m:t xml:space="preserve">R</m:t>
            </m:r>
          </m:e>
          <m:sub>
            <m:r>
              <m:rPr>
                <m:sty m:val="i"/>
              </m:rPr>
              <w:rPr>
                <w:rFonts w:ascii="Cambria Math" w:hAnsi="Cambria Math"/>
              </w:rPr>
              <m:t xml:space="preserve">ij</m:t>
            </m:r>
          </m:sub>
        </m:sSub>
      </m:oMath>
      <w:r>
        <w:t xml:space="preserve"> proxies enforceable contractual floors on data handling, and sanctions </w:t>
      </w:r>
      <m:oMath>
        <m:sSub>
          <m:sSubPr/>
          <m:e>
            <m:r>
              <m:rPr>
                <m:sty m:val="i"/>
              </m:rPr>
              <w:rPr>
                <w:rFonts w:ascii="Cambria Math" w:hAnsi="Cambria Math"/>
              </w:rPr>
              <m:t xml:space="preserve">S</m:t>
            </m:r>
          </m:e>
          <m:sub>
            <m:r>
              <m:rPr>
                <m:sty m:val="i"/>
              </m:rPr>
              <w:rPr>
                <w:rFonts w:ascii="Cambria Math" w:hAnsi="Cambria Math"/>
              </w:rPr>
              <m:t xml:space="preserve">ij</m:t>
            </m:r>
          </m:sub>
        </m:sSub>
      </m:oMath>
      <w:r>
        <w:t xml:space="preserve"> proxy the extreme case where no enforcement is possible. Equation (2) is thus the natural implementation of the insecure-trade framework in a services-trade setting where the traded object is a compute service bundled with a data-handling contract. </w:t>
      </w:r>
      <w:r>
        <w:t xml:space="preserve">The delivered cost of service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from seller </w:t>
      </w:r>
      <m:oMath>
        <m:r>
          <m:rPr>
            <m:sty m:val="i"/>
          </m:rPr>
          <w:rPr>
            <w:rFonts w:ascii="Cambria Math" w:hAnsi="Cambria Math"/>
          </w:rPr>
          <m:t xml:space="preserve">j</m:t>
        </m:r>
      </m:oMath>
      <w:r>
        <w:t xml:space="preserve"> to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(1 + </m:t>
              </m:r>
              <m:sSub>
                <m:sSubPr/>
                <m:e>
                  <m:r>
                    <m:rPr>
                      <m:sty m:val="i"/>
                    </m:rPr>
                    <w:rPr>
                      <w:rFonts w:ascii="Cambria Math" w:hAnsi="Cambria Math"/>
                    </w:rPr>
                    <m:t xml:space="preserve">τ</m:t>
                  </m:r>
                </m:e>
                <m:sub>
                  <m:r>
                    <m:rPr>
                      <m:sty m:val="i"/>
                    </m:rPr>
                    <w:rPr>
                      <w:rFonts w:ascii="Cambria Math" w:hAnsi="Cambria Math"/>
                    </w:rPr>
                    <m:t xml:space="preserve">s</m:t>
                  </m:r>
                </m:sub>
              </m:sSub>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720" w:type="dxa"/>
            <w:vAlign w:val="center"/>
          </w:tcPr>
          <w:p>
            <w:pPr>
              <w:jc w:val="right"/>
              <w:spacing w:before="60" w:after="60"/>
            </w:pPr>
            <w:bookmarkStart w:id="803" w:name="Eq3"/>
            <w:r>
              <w:t>(3)</w:t>
            </w:r>
            <w:bookmarkEnd w:id="803"/>
          </w:p>
        </w:tc>
      </w:tr>
    </w:tbl>
    <w:p>
      <w:pPr>
        <w:spacing w:before="80" w:after="160" w:line="360" w:lineRule="auto"/>
        <w:ind w:firstLine="0"/>
        <w:jc w:val="both"/>
      </w:pPr>
      <w:r>
        <w:t xml:space="preserve">where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is the unit cost of producing one GPU-hour in country </w:t>
      </w:r>
      <m:oMath>
        <m:r>
          <m:rPr>
            <m:sty m:val="i"/>
          </m:rPr>
          <w:rPr>
            <w:rFonts w:ascii="Cambria Math" w:hAnsi="Cambria Math"/>
          </w:rPr>
          <m:t xml:space="preserve">j</m:t>
        </m:r>
      </m:oMath>
      <w:r>
        <w:t xml:space="preserve">  (</w:t>
      </w:r>
      <w:bookmarkStart w:id="900" w:name="Eq1txt900"/>
      <w:hyperlink w:anchor="Eq1" w:history="1">
        <w:r>
          <w:rPr>
            <w:color w:val="1F3864"/>
            <w:u w:val="single"/>
          </w:rPr>
          <w:t xml:space="preserve">equation (1)</w:t>
        </w:r>
      </w:hyperlink>
      <w:bookmarkEnd w:id="900"/>
      <w:r>
        <w:t xml:space="preserve">). The bilateral premium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same object as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in </w:t>
      </w:r>
      <w:bookmarkStart w:id="901" w:name="Eq2txt901"/>
      <w:hyperlink w:anchor="Eq2" w:history="1">
        <w:r>
          <w:rPr>
            <w:color w:val="1F3864"/>
            <w:u w:val="single"/>
          </w:rPr>
          <w:t xml:space="preserve">equation (2)</w:t>
        </w:r>
      </w:hyperlink>
      <w:bookmarkEnd w:id="901"/>
      <w:r>
        <w:t xml:space="preserve">; we relabel the subscripts as </w:t>
      </w:r>
      <m:oMath>
        <m:r>
          <m:rPr>
            <m:sty m:val="i"/>
          </m:rPr>
          <w:rPr>
            <w:rFonts w:ascii="Cambria Math" w:hAnsi="Cambria Math"/>
          </w:rPr>
          <m:t xml:space="preserve">(j, k)</m:t>
        </m:r>
      </m:oMath>
      <w:r>
        <w:t xml:space="preserve"> whenever the premium is paired with a specific seller’s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We treat governance quality, grid reliability, and similar institutional risks as demand-side frictions. They enter through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rather than by a production cost adjustment.</w:t>
      </w:r>
    </w:p>
    <w:p>
      <w:pPr>
        <w:spacing w:before="0" w:after="160" w:line="360" w:lineRule="auto"/>
        <w:ind w:firstLine="0"/>
        <w:jc w:val="both"/>
      </w:pPr>
      <w:r>
        <w:t xml:space="preserve">The parameter </w:t>
      </w:r>
      <m:oMath>
        <m:r>
          <m:rPr>
            <m:sty m:val="i"/>
          </m:rPr>
          <w:rPr>
            <w:rFonts w:ascii="Cambria Math" w:hAnsi="Cambria Math"/>
          </w:rPr>
          <m:t xml:space="preserve">τ</m:t>
        </m:r>
      </m:oMath>
      <w:r>
        <w:t xml:space="preserve"> measures the rate of quality degradation per millisecond of round-trip latency,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For training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the delivered cost is the sum of the production cost and the sovereignty markup. For inference, the delivered cost increases with latency at rate </w:t>
      </w:r>
      <m:oMath>
        <m:sSub>
          <m:sSubPr/>
          <m:e>
            <m:r>
              <m:rPr>
                <m:sty m:val="i"/>
              </m:rPr>
              <w:rPr>
                <w:rFonts w:ascii="Cambria Math" w:hAnsi="Cambria Math"/>
              </w:rPr>
              <m:t xml:space="preserve">τ</m:t>
            </m:r>
          </m:e>
          <m:sub>
            <m:r>
              <m:rPr>
                <m:sty m:val="i"/>
              </m:rPr>
              <w:rPr>
                <w:rFonts w:ascii="Cambria Math" w:hAnsi="Cambria Math"/>
              </w:rPr>
              <m:t xml:space="preserve">I</m:t>
            </m:r>
          </m:sub>
        </m:sSub>
      </m:oMath>
      <w:r>
        <w:t xml:space="preserve">. Beyond a threshold </w:t>
      </w:r>
      <m:oMath>
        <m:bar>
          <m:barPr>
            <m:pos m:val="top"/>
          </m:barPr>
          <m:e>
            <m:r>
              <m:rPr>
                <m:sty m:val="i"/>
              </m:rPr>
              <w:rPr>
                <w:rFonts w:ascii="Cambria Math" w:hAnsi="Cambria Math"/>
              </w:rPr>
              <m:t xml:space="preserve">l</m:t>
            </m:r>
          </m:e>
        </m:bar>
      </m:oMath>
      <w:r>
        <w:t xml:space="preserve"> (typically 200–300 ms for interactive applications), the service becomes unusable regardless of price: </w:t>
      </w: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oMath>
      <w:r>
        <w:t xml:space="preserve"> if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&gt; </m:t>
        </m:r>
        <m:bar>
          <m:barPr>
            <m:pos m:val="top"/>
          </m:barPr>
          <m:e>
            <m:r>
              <m:rPr>
                <m:sty m:val="i"/>
              </m:rPr>
              <w:rPr>
                <w:rFonts w:ascii="Cambria Math" w:hAnsi="Cambria Math"/>
              </w:rPr>
              <m:t xml:space="preserve">l</m:t>
            </m:r>
          </m:e>
        </m:bar>
      </m:oMath>
      <w:r>
        <w:t>.</w:t>
      </w:r>
    </w:p>
    <w:p>
      <w:pPr>
        <w:pStyle w:val="Heading2"/>
      </w:pPr>
      <w:r>
        <w:rPr>
          <w:rFonts w:ascii="Times New Roman" w:hAnsi="Times New Roman"/>
          <w:b w:val="0"/>
          <w:i/>
          <w:color w:val="2F5496"/>
          <w:sz w:val="24"/>
        </w:rPr>
        <w:t>3.3 Global Compute Demand</w:t>
      </w:r>
    </w:p>
    <w:p>
      <w:pPr>
        <w:spacing w:before="0" w:after="80" w:line="360" w:lineRule="auto"/>
        <w:ind w:firstLine="0"/>
        <w:jc w:val="both"/>
      </w:pPr>
      <w:r>
        <w:t xml:space="preserve">The model is closed by specifying demand for compute services. Let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denote the volume of compute purchased by buyer </w:t>
      </w:r>
      <m:oMath>
        <m:r>
          <m:rPr>
            <m:sty m:val="i"/>
          </m:rPr>
          <w:rPr>
            <w:rFonts w:ascii="Cambria Math" w:hAnsi="Cambria Math"/>
          </w:rPr>
          <m:t xml:space="preserve">k</m:t>
        </m:r>
      </m:oMath>
      <w:r>
        <w:t>. We measure compute demand using installed data center capacity in megawatts (MW):</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r>
                <m:rPr>
                  <m:sty m:val="i"/>
                </m:rPr>
                <w:rPr>
                  <w:rFonts w:ascii="Cambria Math" w:hAnsi="Cambria Math"/>
                </w:rPr>
                <m:t xml:space="preserve">Q</m:t>
              </m:r>
              <m:r>
                <m:rPr>
                  <m:sty m:val="p"/>
                </m:rPr>
                <w:rPr>
                  <w:rFonts w:ascii="Cambria Math" w:hAnsi="Cambria Math"/>
                </w:rPr>
                <m:t xml:space="preserve">,     </m:t>
              </m:r>
              <m:sSub>
                <m:sSubPr/>
                <m:e>
                  <m:r>
                    <m:rPr>
                      <m:sty m:val="i"/>
                    </m:rPr>
                    <w:rPr>
                      <w:rFonts w:ascii="Cambria Math" w:hAnsi="Cambria Math"/>
                    </w:rPr>
                    <m:t xml:space="preserve">ω</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k</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M</m:t>
                      </m:r>
                    </m:e>
                    <m:sub>
                      <m:r>
                        <m:rPr>
                          <m:sty m:val="i"/>
                        </m:rPr>
                        <w:rPr>
                          <w:rFonts w:ascii="Cambria Math" w:hAnsi="Cambria Math"/>
                        </w:rPr>
                        <m:t xml:space="preserve">k′</m:t>
                      </m:r>
                    </m:sub>
                  </m:sSub>
                </m:e>
              </m:nary>
              <m:r>
                <m:rPr>
                  <m:sty m:val="p"/>
                </m:rPr>
                <w:rPr>
                  <w:rFonts w:ascii="Cambria Math" w:hAnsi="Cambria Math"/>
                </w:rPr>
                <m:t xml:space="preserve">,</m:t>
              </m:r>
            </m:oMath>
          </w:p>
        </w:tc>
        <w:tc>
          <w:tcPr>
            <w:tcW w:w="720" w:type="dxa"/>
            <w:vAlign w:val="center"/>
          </w:tcPr>
          <w:p>
            <w:pPr>
              <w:jc w:val="right"/>
              <w:spacing w:before="60" w:after="60"/>
            </w:pPr>
            <w:bookmarkStart w:id="804" w:name="Eq4"/>
            <w:r>
              <w:t>(4)</w:t>
            </w:r>
            <w:bookmarkEnd w:id="804"/>
          </w:p>
        </w:tc>
      </w:tr>
    </w:tbl>
    <w:p>
      <w:pPr>
        <w:spacing w:before="80" w:after="160" w:line="360" w:lineRule="auto"/>
        <w:ind w:firstLine="0"/>
        <w:jc w:val="both"/>
      </w:pPr>
      <w:r>
        <w:t xml:space="preserve">where </w:t>
      </w:r>
      <m:oMath>
        <m:r>
          <m:rPr>
            <m:sty m:val="i"/>
          </m:rPr>
          <w:rPr>
            <w:rFonts w:ascii="Cambria Math" w:hAnsi="Cambria Math"/>
          </w:rPr>
          <m:t xml:space="preserve">Q</m:t>
        </m:r>
      </m:oMath>
      <w:r>
        <w:t xml:space="preserve"> is the total global compute spending and </w:t>
      </w:r>
      <m:oMath>
        <m:sSub>
          <m:sSubPr/>
          <m:e>
            <m:r>
              <m:rPr>
                <m:sty m:val="i"/>
              </m:rPr>
              <w:rPr>
                <w:rFonts w:ascii="Cambria Math" w:hAnsi="Cambria Math"/>
              </w:rPr>
              <m:t xml:space="preserve">ω</m:t>
            </m:r>
          </m:e>
          <m:sub>
            <m:r>
              <m:rPr>
                <m:sty m:val="i"/>
              </m:rPr>
              <w:rPr>
                <w:rFonts w:ascii="Cambria Math" w:hAnsi="Cambria Math"/>
              </w:rPr>
              <m:t xml:space="preserve">k</m:t>
            </m:r>
          </m:sub>
        </m:sSub>
      </m:oMath>
      <w:r>
        <w:t xml:space="preserve"> is country </w:t>
      </w:r>
      <m:oMath>
        <m:r>
          <m:rPr>
            <m:sty m:val="i"/>
          </m:rPr>
          <w:rPr>
            <w:rFonts w:ascii="Cambria Math" w:hAnsi="Cambria Math"/>
          </w:rPr>
          <m:t xml:space="preserve">k</m:t>
        </m:r>
      </m:oMath>
      <w:r>
        <w:t xml:space="preserve">’s share of global demand, measured by its share of installed data center capacity </w:t>
      </w:r>
      <m:oMath>
        <m:sSub>
          <m:sSubPr/>
          <m:e>
            <m:r>
              <m:rPr>
                <m:sty m:val="i"/>
              </m:rPr>
              <w:rPr>
                <w:rFonts w:ascii="Cambria Math" w:hAnsi="Cambria Math"/>
              </w:rPr>
              <m:t xml:space="preserve">M</m:t>
            </m:r>
          </m:e>
          <m:sub>
            <m:r>
              <m:rPr>
                <m:sty m:val="i"/>
              </m:rPr>
              <w:rPr>
                <w:rFonts w:ascii="Cambria Math" w:hAnsi="Cambria Math"/>
              </w:rPr>
              <m:t xml:space="preserve">k</m:t>
            </m:r>
          </m:sub>
        </m:sSub>
      </m:oMath>
      <w:r>
        <w:t xml:space="preserve"> in MW.</w:t>
      </w:r>
      <w:r>
        <w:rPr>
          <w:rStyle w:val="FootnoteReference"/>
        </w:rPr>
        <w:footnoteReference w:id="20"/>
      </w:r>
    </w:p>
    <w:p>
      <w:pPr>
        <w:spacing w:before="0" w:after="160" w:line="360" w:lineRule="auto"/>
        <w:ind w:firstLine="0"/>
        <w:jc w:val="both"/>
      </w:pPr>
      <w:r>
        <w:t xml:space="preserve">Demand splits between training and inference.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where </w:t>
      </w:r>
      <m:oMath>
        <m:r>
          <m:rPr>
            <m:sty m:val="i"/>
          </m:rPr>
          <w:rPr>
            <w:rFonts w:ascii="Cambria Math" w:hAnsi="Cambria Math"/>
          </w:rPr>
          <m:t xml:space="preserve">α</m:t>
        </m:r>
        <m:r>
          <m:rPr>
            <m:sty m:val="p"/>
          </m:rPr>
          <w:rPr>
            <w:rFonts w:ascii="Cambria Math" w:hAnsi="Cambria Math"/>
          </w:rPr>
          <m:t xml:space="preserve"> ∈ (0, 1)</m:t>
        </m:r>
      </m:oMath>
      <w:r>
        <w:t xml:space="preserve"> is the exogenous training share. The parameter </w:t>
      </w:r>
      <m:oMath>
        <m:r>
          <m:rPr>
            <m:sty m:val="i"/>
          </m:rPr>
          <w:rPr>
            <w:rFonts w:ascii="Cambria Math" w:hAnsi="Cambria Math"/>
          </w:rPr>
          <m:t xml:space="preserve">α</m:t>
        </m:r>
      </m:oMath>
      <w:r>
        <w:t xml:space="preserve"> should be interpreted as the share of compute that is fully latency-insensitive and freely offshorable. The effective offshorable share may be smaller as intermediate workloads (agentic inference, fine-tuning) grow.</w:t>
      </w:r>
      <w:r>
        <w:rPr>
          <w:rStyle w:val="FootnoteReference"/>
        </w:rPr>
        <w:footnoteReference w:id="21"/>
      </w:r>
    </w:p>
    <w:p>
      <w:pPr>
        <w:pStyle w:val="Heading2"/>
      </w:pPr>
      <w:r>
        <w:rPr>
          <w:rFonts w:ascii="Times New Roman" w:hAnsi="Times New Roman"/>
          <w:b w:val="0"/>
          <w:i/>
          <w:color w:val="2F5496"/>
          <w:sz w:val="24"/>
        </w:rPr>
        <w:t>3.4 Sourcing and Market Equilibrium</w:t>
      </w:r>
    </w:p>
    <w:p>
      <w:pPr>
        <w:spacing w:before="0" w:after="80" w:line="360" w:lineRule="auto"/>
        <w:ind w:firstLine="0"/>
        <w:jc w:val="both"/>
      </w:pPr>
      <w:r>
        <w:t xml:space="preserve">For each service type </w:t>
      </w:r>
      <m:oMath>
        <m:r>
          <m:rPr>
            <m:sty m:val="i"/>
          </m:rPr>
          <w:rPr>
            <w:rFonts w:ascii="Cambria Math" w:hAnsi="Cambria Math"/>
          </w:rPr>
          <m:t xml:space="preserve">s</m:t>
        </m:r>
        <m:r>
          <m:rPr>
            <m:sty m:val="p"/>
          </m:rPr>
          <w:rPr>
            <w:rFonts w:ascii="Cambria Math" w:hAnsi="Cambria Math"/>
          </w:rPr>
          <m:t xml:space="preserve"> ∈ {</m:t>
        </m:r>
        <m:r>
          <m:rPr>
            <m:sty m:val="i"/>
          </m:rPr>
          <w:rPr>
            <w:rFonts w:ascii="Cambria Math" w:hAnsi="Cambria Math"/>
          </w:rPr>
          <m:t xml:space="preserve">T</m:t>
        </m:r>
        <m:r>
          <m:rPr>
            <m:sty m:val="p"/>
          </m:rPr>
          <w:rPr>
            <w:rFonts w:ascii="Cambria Math" w:hAnsi="Cambria Math"/>
          </w:rPr>
          <m:t xml:space="preserve">, </m:t>
        </m:r>
        <m:r>
          <m:rPr>
            <m:sty m:val="i"/>
          </m:rPr>
          <w:rPr>
            <w:rFonts w:ascii="Cambria Math" w:hAnsi="Cambria Math"/>
          </w:rPr>
          <m:t xml:space="preserve">I</m:t>
        </m:r>
        <m:r>
          <m:rPr>
            <m:sty m:val="p"/>
          </m:rPr>
          <w:rPr>
            <w:rFonts w:ascii="Cambria Math" w:hAnsi="Cambria Math"/>
          </w:rPr>
          <m:t xml:space="preserve">}</m:t>
        </m:r>
      </m:oMath>
      <w:r>
        <w:t xml:space="preserve">, each buyer </w:t>
      </w:r>
      <m:oMath>
        <m:r>
          <m:rPr>
            <m:sty m:val="i"/>
          </m:rPr>
          <w:rPr>
            <w:rFonts w:ascii="Cambria Math" w:hAnsi="Cambria Math"/>
          </w:rPr>
          <m:t xml:space="preserve">k</m:t>
        </m:r>
      </m:oMath>
      <w:r>
        <w:t xml:space="preserve"> chooses the source that minimizes the delivered cost:</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Sup>
                <m:sSubSupPr/>
                <m:e>
                  <m:r>
                    <m:rPr>
                      <m:sty m:val="i"/>
                    </m:rPr>
                    <w:rPr>
                      <w:rFonts w:ascii="Cambria Math" w:hAnsi="Cambria Math"/>
                    </w:rPr>
                    <m:t xml:space="preserve">j</m:t>
                  </m:r>
                </m:e>
                <m:sub>
                  <m:r>
                    <m:rPr>
                      <m:sty m:val="i"/>
                    </m:rPr>
                    <w:rPr>
                      <w:rFonts w:ascii="Cambria Math" w:hAnsi="Cambria Math"/>
                    </w:rPr>
                    <m:t xml:space="preserve">s</m:t>
                  </m:r>
                </m:sub>
                <m:sup>
                  <m:r>
                    <m:rPr>
                      <m:sty m:val="i"/>
                    </m:rPr>
                    <w:rPr>
                      <w:rFonts w:ascii="Cambria Math" w:hAnsi="Cambria Math"/>
                    </w:rPr>
                    <m:t xml:space="preserve">*</m:t>
                  </m:r>
                </m:sup>
              </m:sSubSup>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m:t>
              </m:r>
              <m:limLow>
                <m:limLowPr/>
                <m:e>
                  <m:r>
                    <m:rPr>
                      <m:sty m:val="p"/>
                    </m:rPr>
                    <w:rPr>
                      <w:rFonts w:ascii="Cambria Math" w:hAnsi="Cambria Math"/>
                    </w:rPr>
                    <m:t xml:space="preserve">arg 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P</m:t>
                  </m:r>
                </m:e>
                <m:sub>
                  <m:r>
                    <m:rPr>
                      <m:sty m:val="i"/>
                    </m:rPr>
                    <w:rPr>
                      <w:rFonts w:ascii="Cambria Math" w:hAnsi="Cambria Math"/>
                    </w:rPr>
                    <m:t xml:space="preserve">s</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m:t>
              </m:r>
            </m:oMath>
          </w:p>
        </w:tc>
        <w:tc>
          <w:tcPr>
            <w:tcW w:w="720" w:type="dxa"/>
            <w:vAlign w:val="center"/>
          </w:tcPr>
          <w:p>
            <w:pPr>
              <w:jc w:val="right"/>
              <w:spacing w:before="60" w:after="60"/>
            </w:pPr>
            <w:bookmarkStart w:id="805" w:name="Eq5"/>
            <w:r>
              <w:t>(5)</w:t>
            </w:r>
            <w:bookmarkEnd w:id="805"/>
          </w:p>
        </w:tc>
      </w:tr>
    </w:tbl>
    <w:p>
      <w:pPr>
        <w:spacing w:before="80" w:after="160" w:line="360" w:lineRule="auto"/>
        <w:ind w:firstLine="0"/>
        <w:jc w:val="both"/>
      </w:pPr>
      <w:r>
        <w:t xml:space="preserve">Each country </w:t>
      </w:r>
      <m:oMath>
        <m:r>
          <m:rPr>
            <m:sty m:val="i"/>
          </m:rPr>
          <w:rPr>
            <w:rFonts w:ascii="Cambria Math" w:hAnsi="Cambria Math"/>
          </w:rPr>
          <m:t xml:space="preserve">j</m:t>
        </m:r>
      </m:oMath>
      <w:r>
        <w:t xml:space="preserve"> is characterized by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measured in GPU-hours per period, representing the maximum volume of compute the country can supply. This ceiling reflects the joint constraint of grid electricity availability, institutional capacity for data center permitting and construction, and access to GPU financing.</w:t>
      </w:r>
    </w:p>
    <w:p>
      <w:pPr>
        <w:spacing w:before="0" w:after="160" w:line="360" w:lineRule="auto"/>
        <w:ind w:firstLine="0"/>
        <w:jc w:val="both"/>
      </w:pPr>
      <w:r>
        <w:rPr>
          <w:b w:val="0"/>
          <w:i/>
        </w:rPr>
        <w:t xml:space="preserve">Training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training is a homogeneous good with no distance-related quality degradation. Country </w:t>
      </w:r>
      <m:oMath>
        <m:r>
          <m:rPr>
            <m:sty m:val="i"/>
          </m:rPr>
          <w:rPr>
            <w:rFonts w:ascii="Cambria Math" w:hAnsi="Cambria Math"/>
          </w:rPr>
          <m:t xml:space="preserve">k</m:t>
        </m:r>
      </m:oMath>
      <w:r>
        <w:t xml:space="preserve"> imports training whenever the world price, after adding the bilateral sovereignty premium, is lower than the price of producing domestically: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the competitive world training price. In the capacity-constrained equilibrium, the cheapest producer supplies up to its capacity, then the next cheapest producer enters, and so on until demand is met.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the index of the producer whose entry just satisfies total export demand. The equilibrium training price equals the marginal exporter’s cost: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sub>
        </m:sSub>
      </m:oMath>
      <w:r>
        <w:t>.</w:t>
      </w:r>
    </w:p>
    <w:p>
      <w:pPr>
        <w:spacing w:before="0" w:after="160" w:line="360" w:lineRule="auto"/>
        <w:ind w:firstLine="0"/>
        <w:jc w:val="both"/>
      </w:pPr>
      <w:r>
        <w:t xml:space="preserve">Without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1</m:t>
        </m:r>
      </m:oMath>
      <w:r>
        <w:t xml:space="preserve"> and the cheapest country serves all demand at its own cost, earning zero rent. With binding capacity constraints,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&gt; 1</m:t>
        </m:r>
      </m:oMath>
      <w:r>
        <w:t xml:space="preserve">, the price rises to the cost of the marginal entrant, and all infra-marginal exporters earn positive rents: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When a country allocates capacity across multiple uses, the shadow value </w:t>
      </w:r>
      <m:oMath>
        <m:sSub>
          <m:sSubPr/>
          <m:e>
            <m:r>
              <m:rPr>
                <m:sty m:val="i"/>
              </m:rPr>
              <w:rPr>
                <w:rFonts w:ascii="Cambria Math" w:hAnsi="Cambria Math"/>
              </w:rPr>
              <m:t xml:space="preserve">μ</m:t>
            </m:r>
          </m:e>
          <m:sub>
            <m:r>
              <m:rPr>
                <m:sty m:val="i"/>
              </m:rPr>
              <w:rPr>
                <w:rFonts w:ascii="Cambria Math" w:hAnsi="Cambria Math"/>
              </w:rPr>
              <m:t xml:space="preserve">j</m:t>
            </m:r>
          </m:sub>
        </m:sSub>
      </m:oMath>
      <w:r>
        <w:t xml:space="preserve"> of the capacity constraint equals the margin on the marginal activity. That activity is the least profitable use that still receives capacity. In the training-only case, </w:t>
      </w:r>
      <m:oMath>
        <m:sSub>
          <m:sSubPr/>
          <m:e>
            <m:r>
              <m:rPr>
                <m:sty m:val="i"/>
              </m:rPr>
              <w:rPr>
                <w:rFonts w:ascii="Cambria Math" w:hAnsi="Cambria Math"/>
              </w:rPr>
              <m:t xml:space="preserve">μ</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π</m:t>
            </m:r>
          </m:e>
          <m:sub>
            <m:r>
              <m:rPr>
                <m:sty m:val="i"/>
              </m:rPr>
              <w:rPr>
                <w:rFonts w:ascii="Cambria Math" w:hAnsi="Cambria Math"/>
              </w:rPr>
              <m:t xml:space="preserve">j</m:t>
            </m:r>
          </m:sub>
        </m:sSub>
      </m:oMath>
      <w:r>
        <w:t xml:space="preserve">; in the multi-market case, </w:t>
      </w:r>
      <m:oMath>
        <m:sSub>
          <m:sSubPr/>
          <m:e>
            <m:r>
              <m:rPr>
                <m:sty m:val="i"/>
              </m:rPr>
              <w:rPr>
                <w:rFonts w:ascii="Cambria Math" w:hAnsi="Cambria Math"/>
              </w:rPr>
              <m:t xml:space="preserve">μ</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π</m:t>
            </m:r>
          </m:e>
          <m:sub>
            <m:r>
              <m:rPr>
                <m:sty m:val="i"/>
              </m:rPr>
              <w:rPr>
                <w:rFonts w:ascii="Cambria Math" w:hAnsi="Cambria Math"/>
              </w:rPr>
              <m:t xml:space="preserve">j</m:t>
            </m:r>
          </m:sub>
        </m:sSub>
      </m:oMath>
      <w:r>
        <w:t xml:space="preserve"> because training, as the higher-margin activity, is served first.</w:t>
      </w:r>
    </w:p>
    <w:p>
      <w:pPr>
        <w:spacing w:before="0" w:after="80" w:line="360" w:lineRule="auto"/>
        <w:ind w:firstLine="0"/>
        <w:jc w:val="both"/>
      </w:pPr>
      <w:r>
        <w:rPr>
          <w:b w:val="0"/>
          <w:i/>
        </w:rPr>
        <w:t xml:space="preserve">Inference market. </w:t>
      </w:r>
      <w:r>
        <w:t xml:space="preserve">Since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 </m:t>
        </m:r>
        <m:r>
          <m:rPr>
            <m:sty m:val="i"/>
          </m:rPr>
          <w:rPr>
            <w:rFonts w:ascii="Cambria Math" w:hAnsi="Cambria Math"/>
          </w:rPr>
          <m:t xml:space="preserve">τ</m:t>
        </m:r>
        <m:r>
          <m:rPr>
            <m:sty m:val="p"/>
          </m:rPr>
          <w:rPr>
            <w:rFonts w:ascii="Cambria Math" w:hAnsi="Cambria Math"/>
          </w:rPr>
          <m:t xml:space="preserve"> &gt; 0</m:t>
        </m:r>
      </m:oMath>
      <w:r>
        <w:t xml:space="preserve">, inference suffers distance-dependent quality degradation. The inference market for buyer </w:t>
      </w:r>
      <m:oMath>
        <m:r>
          <m:rPr>
            <m:sty m:val="i"/>
          </m:rPr>
          <w:rPr>
            <w:rFonts w:ascii="Cambria Math" w:hAnsi="Cambria Math"/>
          </w:rPr>
          <m:t xml:space="preserve">k</m:t>
        </m:r>
      </m:oMath>
      <w:r>
        <w:t xml:space="preserve"> is localized, as only countries with latency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can participate, and each faces a different delivered cost. The delivered inference price for buyer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m:t>
                  </m:r>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c</m:t>
                  </m:r>
                </m:e>
                <m:sub>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sub>
              </m:sSub>
              <m:r>
                <m:rPr>
                  <m:sty m:val="p"/>
                </m:rPr>
                <w:rPr>
                  <w:rFonts w:ascii="Cambria Math" w:hAnsi="Cambria Math"/>
                </w:rPr>
                <m:t xml:space="preserve">,</m:t>
              </m:r>
            </m:oMath>
          </w:p>
        </w:tc>
        <w:tc>
          <w:tcPr>
            <w:tcW w:w="720" w:type="dxa"/>
            <w:vAlign w:val="center"/>
          </w:tcPr>
          <w:p>
            <w:pPr>
              <w:jc w:val="right"/>
              <w:spacing w:before="60" w:after="60"/>
            </w:pPr>
            <w:bookmarkStart w:id="806" w:name="Eq6"/>
            <w:r>
              <w:t>(6)</w:t>
            </w:r>
            <w:bookmarkEnd w:id="806"/>
          </w:p>
        </w:tc>
      </w:tr>
    </w:tbl>
    <w:p>
      <w:pPr>
        <w:spacing w:before="80" w:after="160" w:line="360" w:lineRule="auto"/>
        <w:ind w:firstLine="0"/>
        <w:jc w:val="both"/>
      </w:pPr>
      <w:r>
        <w:t xml:space="preserve">where </w:t>
      </w:r>
      <m:oMath>
        <m:sSub>
          <m:sSubPr/>
          <m:e>
            <m:r>
              <m:rPr>
                <m:sty m:val="i"/>
              </m:rPr>
              <w:rPr>
                <w:rFonts w:ascii="Cambria Math" w:hAnsi="Cambria Math"/>
              </w:rPr>
              <m:t xml:space="preserve">m</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is the marginal inference supplier to </w:t>
      </w:r>
      <m:oMath>
        <m:r>
          <m:rPr>
            <m:sty m:val="i"/>
          </m:rPr>
          <w:rPr>
            <w:rFonts w:ascii="Cambria Math" w:hAnsi="Cambria Math"/>
          </w:rPr>
          <m:t xml:space="preserve">k</m:t>
        </m:r>
      </m:oMath>
      <w:r>
        <w:t xml:space="preserve">, determined by the capacity-constrained supply stack for </w:t>
      </w:r>
      <m:oMath>
        <m:r>
          <m:rPr>
            <m:sty m:val="i"/>
          </m:rPr>
          <w:rPr>
            <w:rFonts w:ascii="Cambria Math" w:hAnsi="Cambria Math"/>
          </w:rPr>
          <m:t xml:space="preserve">k</m:t>
        </m:r>
      </m:oMath>
      <w:r>
        <w:t>’s inference market. Each GPU-hour of capacity is allocated to its highest-margin use, whether training exports, inference exports to various destinations, or domestic supply.</w:t>
      </w:r>
    </w:p>
    <w:p>
      <w:pPr>
        <w:spacing w:before="0" w:after="160" w:line="360" w:lineRule="auto"/>
        <w:ind w:firstLine="0"/>
        <w:jc w:val="both"/>
      </w:pPr>
      <w:r>
        <w:t xml:space="preserve">The cost-based equilibrium identifies the set of countries that could profitably produce and export compute. Whether these countries attract investment also depends on agglomeration economies, hyperscaler market structure, and network connectivity (</w:t>
      </w:r>
      <w:bookmarkStart w:id="214" w:name="Krugman1991txt"/>
      <w:hyperlink w:anchor="Krugman1991" w:history="1">
        <w:r>
          <w:rPr>
            <w:color w:val="1F3864"/>
            <w:u w:val="single"/>
          </w:rPr>
          <w:t xml:space="preserve">Krugman 1991</w:t>
        </w:r>
      </w:hyperlink>
      <w:bookmarkEnd w:id="214"/>
      <w:r>
        <w:t xml:space="preserve">). In practice, AWS, Azure, and Google Cloud dominate the cloud compute market, and their location choices reflect scale economies and colocation effects that the competitive model does not capture. The capacity ceilings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capture the resulting gap between cost-based potential and realized investment; Section 7 discusses these limitations in more detail.</w:t>
      </w:r>
    </w:p>
    <w:p>
      <w:pPr>
        <w:pStyle w:val="Heading1"/>
      </w:pPr>
      <w:r>
        <w:rPr>
          <w:rFonts w:ascii="Times New Roman" w:hAnsi="Times New Roman"/>
          <w:color w:val="2F5496"/>
          <w:sz w:val="28"/>
        </w:rPr>
        <w:t>4. Equilibrium Properties</w:t>
      </w:r>
    </w:p>
    <w:p>
      <w:pPr>
        <w:spacing w:before="0" w:after="160" w:line="360" w:lineRule="auto"/>
        <w:ind w:firstLine="0"/>
        <w:jc w:val="both"/>
      </w:pPr>
      <w:r>
        <w:t>This section derives the properties of the capacity-constrained equilibrium introduced in Section 3. Full derivations are shown in Appendix B.</w:t>
      </w:r>
    </w:p>
    <w:p>
      <w:pPr>
        <w:spacing w:before="0" w:after="160" w:line="360" w:lineRule="auto"/>
        <w:ind w:firstLine="0"/>
        <w:jc w:val="both"/>
      </w:pPr>
      <w:r>
        <w:rPr>
          <w:b/>
          <w:i/>
        </w:rPr>
        <w:t xml:space="preserve">Proposition 1 (Country Taxonomy). </w:t>
      </w:r>
      <w:r>
        <w:t xml:space="preserve">With two service types (training with </w:t>
      </w:r>
      <m:oMath>
        <m:sSub>
          <m:sSubPr/>
          <m:e>
            <m:r>
              <m:rPr>
                <m:sty m:val="i"/>
              </m:rPr>
              <w:rPr>
                <w:rFonts w:ascii="Cambria Math" w:hAnsi="Cambria Math"/>
              </w:rPr>
              <m:t xml:space="preserve">τ</m:t>
            </m:r>
          </m:e>
          <m:sub>
            <m:r>
              <m:rPr>
                <m:sty m:val="i"/>
              </m:rPr>
              <w:rPr>
                <w:rFonts w:ascii="Cambria Math" w:hAnsi="Cambria Math"/>
              </w:rPr>
              <m:t xml:space="preserve">T</m:t>
            </m:r>
          </m:sub>
        </m:sSub>
        <m:r>
          <m:rPr>
            <m:sty m:val="p"/>
          </m:rPr>
          <w:rPr>
            <w:rFonts w:ascii="Cambria Math" w:hAnsi="Cambria Math"/>
          </w:rPr>
          <m:t xml:space="preserve"> = 0</m:t>
        </m:r>
      </m:oMath>
      <w:r>
        <w:t xml:space="preserve">, and inference with </w:t>
      </w:r>
      <m:oMath>
        <m:sSub>
          <m:sSubPr/>
          <m:e>
            <m:r>
              <m:rPr>
                <m:sty m:val="i"/>
              </m:rPr>
              <w:rPr>
                <w:rFonts w:ascii="Cambria Math" w:hAnsi="Cambria Math"/>
              </w:rPr>
              <m:t xml:space="preserve">τ</m:t>
            </m:r>
          </m:e>
          <m:sub>
            <m:r>
              <m:rPr>
                <m:sty m:val="i"/>
              </m:rPr>
              <w:rPr>
                <w:rFonts w:ascii="Cambria Math" w:hAnsi="Cambria Math"/>
              </w:rPr>
              <m:t xml:space="preserve">I</m:t>
            </m:r>
          </m:sub>
        </m:sSub>
        <m:r>
          <m:rPr>
            <m:sty m:val="p"/>
          </m:rPr>
          <w:rPr>
            <w:rFonts w:ascii="Cambria Math" w:hAnsi="Cambria Math"/>
          </w:rPr>
          <m:t xml:space="preserve"> &gt; 0</m:t>
        </m:r>
      </m:oMath>
      <w:r>
        <w:t>) and three possible statuses (export, domestic production, and import), there are nine potential regime combinations. In equilibrium, only five are realized. Each regime is coded by two letters: the first for training status, the second for inference (E = export, D = domestic production, I = import).</w:t>
      </w:r>
    </w:p>
    <w:p>
      <w:pPr>
        <w:spacing w:before="0" w:after="160" w:line="360" w:lineRule="auto"/>
        <w:ind w:firstLine="0"/>
        <w:jc w:val="both"/>
      </w:pPr>
      <w:r>
        <w:t xml:space="preserve">(i) </w:t>
      </w:r>
      <w:r>
        <w:rPr>
          <w:b/>
        </w:rPr>
        <w:t>EE</w:t>
      </w:r>
      <w:r>
        <w:t xml:space="preserve">. Training exporter + inference exporter. The cheapest producers,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supply training globally and inference to nearby demand centers.</w:t>
      </w:r>
    </w:p>
    <w:p>
      <w:pPr>
        <w:spacing w:before="0" w:after="160" w:line="360" w:lineRule="auto"/>
        <w:ind w:firstLine="0"/>
        <w:jc w:val="both"/>
      </w:pPr>
      <w:r>
        <w:t xml:space="preserve">(ii) </w:t>
      </w:r>
      <w:r>
        <w:rPr>
          <w:b/>
        </w:rPr>
        <w:t>IE</w:t>
      </w:r>
      <w:r>
        <w:t xml:space="preserve">. Training importer + inference exporter. Countries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&gt;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that are not cheap enough to compete in the global training market but serve as regional inference hubs due to low costs and proximity to demand centers (</w:t>
      </w:r>
      <m:oMath>
        <m:sSub>
          <m:sSubPr/>
          <m:e>
            <m:r>
              <m:rPr>
                <m:sty m:val="i"/>
              </m:rPr>
              <w:rPr>
                <w:rFonts w:ascii="Cambria Math" w:hAnsi="Cambria Math"/>
              </w:rPr>
              <m:t xml:space="preserve">l</m:t>
            </m:r>
          </m:e>
          <m:sub>
            <m:r>
              <m:rPr>
                <m:sty m:val="i"/>
              </m:rPr>
              <w:rPr>
                <w:rFonts w:ascii="Cambria Math" w:hAnsi="Cambria Math"/>
              </w:rPr>
              <m:t xml:space="preserve">jk</m:t>
            </m:r>
          </m:sub>
        </m:sSub>
      </m:oMath>
      <w:r>
        <w:t xml:space="preserve"> below the latency threshold </w:t>
      </w:r>
      <m:oMath>
        <m:bar>
          <m:barPr>
            <m:pos m:val="top"/>
          </m:barPr>
          <m:e>
            <m:r>
              <m:rPr>
                <m:sty m:val="i"/>
              </m:rPr>
              <w:rPr>
                <w:rFonts w:ascii="Cambria Math" w:hAnsi="Cambria Math"/>
              </w:rPr>
              <m:t xml:space="preserve">l</m:t>
            </m:r>
          </m:e>
        </m:bar>
      </m:oMath>
      <w:r>
        <w:t>).</w:t>
      </w:r>
    </w:p>
    <w:p>
      <w:pPr>
        <w:spacing w:before="0" w:after="160" w:line="360" w:lineRule="auto"/>
        <w:ind w:firstLine="0"/>
        <w:jc w:val="both"/>
      </w:pPr>
      <w:r>
        <w:t xml:space="preserve">(iii) </w:t>
      </w:r>
      <w:r>
        <w:rPr>
          <w:b/>
        </w:rPr>
        <w:t>ID</w:t>
      </w:r>
      <w:r>
        <w:t xml:space="preserve">. Training importer + inference domestic producer. Countries that import training but produce inference domestically, because the bilateral sovereignty premium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or geographic isolation makes all foreign inference sources more expensive than domestic production.</w:t>
      </w:r>
    </w:p>
    <w:p>
      <w:pPr>
        <w:spacing w:before="0" w:after="160" w:line="360" w:lineRule="auto"/>
        <w:ind w:firstLine="0"/>
        <w:jc w:val="both"/>
      </w:pPr>
      <w:r>
        <w:t xml:space="preserve">(iv) </w:t>
      </w:r>
      <w:r>
        <w:rPr>
          <w:b/>
        </w:rPr>
        <w:t>DD</w:t>
      </w:r>
      <w:r>
        <w:t xml:space="preserve">. Domestic producer of both. Countries where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so the bilateral sovereignty premium is large enough to justify domestic production of both training and inference.</w:t>
      </w:r>
    </w:p>
    <w:p>
      <w:pPr>
        <w:spacing w:before="0" w:after="160" w:line="360" w:lineRule="auto"/>
        <w:ind w:firstLine="0"/>
        <w:jc w:val="both"/>
      </w:pPr>
      <w:r>
        <w:t xml:space="preserve">(v) </w:t>
      </w:r>
      <w:r>
        <w:rPr>
          <w:b/>
        </w:rPr>
        <w:t>II</w:t>
      </w:r>
      <w:r>
        <w:t xml:space="preserve">. Importer of both. High-cost countries with </w:t>
      </w:r>
      <m:oMath>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that import both training and inference from cheaper or closer suppliers.</w:t>
      </w:r>
    </w:p>
    <w:p>
      <w:pPr>
        <w:spacing w:before="0" w:after="160" w:line="360" w:lineRule="auto"/>
        <w:ind w:firstLine="0"/>
        <w:jc w:val="both"/>
      </w:pPr>
      <w:r>
        <w:t>The model rules out the remaining four regime combinations. A training exporter cannot simultaneously produce inference domestically or import inference. A country cheap enough to win a global training competition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necessarily cheap enough to export inference to nearby buyers (Proposition 4). A country that produces training domestically cannot import inference. The sovereignty premium that justifies domestic training also justifies domestic inference production, which faces latency degradation when imported. A country that produces training domestically while exporting inference would need both a strong domestic-sovereignty motive and very low costs. The model’s cost ordering rules out that combination. </w:t>
      </w:r>
      <w:bookmarkStart w:id="130" w:name="Table1txt"/>
      <w:hyperlink w:anchor="Table1" w:history="1">
        <w:r>
          <w:rPr>
            <w:color w:val="1F3864"/>
            <w:u w:val="single"/>
          </w:rPr>
          <w:t xml:space="preserve">Table 1</w:t>
        </w:r>
      </w:hyperlink>
      <w:bookmarkEnd w:id="130"/>
      <w:r>
        <w:t xml:space="preserve"> summarizes this taxonomy.</w:t>
      </w:r>
    </w:p>
    <w:p>
      <w:pPr>
        <w:spacing w:before="0" w:after="160" w:line="360" w:lineRule="auto"/>
        <w:ind w:firstLine="0"/>
        <w:jc w:val="both"/>
      </w:pPr>
      <w:r>
        <w:rPr>
          <w:b/>
          <w:i/>
        </w:rPr>
        <w:t xml:space="preserve">Proposition 2 (Capacity Constraints Reduce Concentration). </w:t>
      </w:r>
      <w:r>
        <w:t>In the training market, define the Herfindahl–Hirschman Index (HHI) as a measure of market concentration that is equal to the sum of squared market shares:</w:t>
      </w:r>
    </w:p>
    <w:p>
      <w:pPr>
        <w:spacing w:before="0" w:after="160" w:line="360" w:lineRule="auto"/>
        <w:ind w:firstLine="0"/>
        <w:jc w:val="both"/>
      </w:pPr>
      <m:oMathPara>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m:t>
          </m:r>
          <m:nary>
            <m:naryPr>
              <m:chr m:val="∑"/>
              <m:supHide m:val="1"/>
            </m:naryPr>
            <m:sub>
              <m:r>
                <m:rPr>
                  <m:sty m:val="i"/>
                </m:rPr>
                <w:rPr>
                  <w:rFonts w:ascii="Cambria Math" w:hAnsi="Cambria Math"/>
                </w:rPr>
                <m:t xml:space="preserve">j</m:t>
              </m:r>
            </m:sub>
            <m:sup/>
            <m:e>
              <m:sSup>
                <m:sSupPr/>
                <m:e>
                  <m:d>
                    <m:dPr/>
                    <m:e>
                      <m:f>
                        <m:fPr/>
                        <m:num>
                          <m:sSub>
                            <m:sSubPr/>
                            <m:e>
                              <m:r>
                                <m:rPr>
                                  <m:sty m:val="i"/>
                                </m:rPr>
                                <w:rPr>
                                  <w:rFonts w:ascii="Cambria Math" w:hAnsi="Cambria Math"/>
                                </w:rPr>
                                <m:t xml:space="preserve">K</m:t>
                              </m:r>
                            </m:e>
                            <m:sub>
                              <m:r>
                                <m:rPr>
                                  <m:sty m:val="i"/>
                                </m:rPr>
                                <w:rPr>
                                  <w:rFonts w:ascii="Cambria Math" w:hAnsi="Cambria Math"/>
                                </w:rPr>
                                <m:t xml:space="preserve">T,j</m:t>
                              </m:r>
                            </m:sub>
                          </m:sSub>
                        </m:num>
                        <m:den>
                          <m:sSub>
                            <m:sSubPr/>
                            <m:e>
                              <m:r>
                                <m:rPr>
                                  <m:sty m:val="i"/>
                                </m:rPr>
                                <w:rPr>
                                  <w:rFonts w:ascii="Cambria Math" w:hAnsi="Cambria Math"/>
                                </w:rPr>
                                <m:t xml:space="preserve">Q</m:t>
                              </m:r>
                            </m:e>
                            <m:sub>
                              <m:r>
                                <m:rPr>
                                  <m:sty m:val="i"/>
                                </m:rPr>
                                <w:rPr>
                                  <w:rFonts w:ascii="Cambria Math" w:hAnsi="Cambria Math"/>
                                </w:rPr>
                                <m:t xml:space="preserve">T,X</m:t>
                              </m:r>
                            </m:sub>
                          </m:sSub>
                        </m:den>
                      </m:f>
                    </m:e>
                  </m:d>
                </m:e>
                <m:sup>
                  <m:r>
                    <m:rPr>
                      <m:sty m:val="p"/>
                    </m:rPr>
                    <w:rPr>
                      <w:rFonts w:ascii="Cambria Math" w:hAnsi="Cambria Math"/>
                    </w:rPr>
                    <m:t xml:space="preserve">2</m:t>
                  </m:r>
                </m:sup>
              </m:sSup>
            </m:e>
          </m:nary>
          <m:r>
            <m:rPr>
              <m:sty m:val="p"/>
            </m:rPr>
            <w:rPr>
              <w:rFonts w:ascii="Cambria Math" w:hAnsi="Cambria Math"/>
            </w:rPr>
            <m:t xml:space="preserve">, </m:t>
          </m:r>
        </m:oMath>
      </m:oMathPara>
      <w:r>
        <w:t xml:space="preserve">where </w:t>
      </w:r>
      <m:oMath>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m:t>
        </m:r>
        <m:nary>
          <m:naryPr>
            <m:chr m:val="∑"/>
            <m:supHide m:val="1"/>
          </m:naryPr>
          <m:sub>
            <m:r>
              <m:rPr>
                <m:sty m:val="i"/>
              </m:rPr>
              <w:rPr>
                <w:rFonts w:ascii="Cambria Math" w:hAnsi="Cambria Math"/>
              </w:rPr>
              <m:t xml:space="preserve">k</m:t>
            </m:r>
            <m:r>
              <m:rPr>
                <m:sty m:val="p"/>
              </m:rPr>
              <w:rPr>
                <w:rFonts w:ascii="Cambria Math" w:hAnsi="Cambria Math"/>
              </w:rPr>
              <m:t xml:space="preserve">∈</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denote total training export demand, the sum of training demand across all importing countries, and </w:t>
      </w:r>
      <m:oMath>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is country j’s training export allocation (GPU-hours), bounded by the capacity ceiling </w:t>
      </w:r>
      <m:oMath>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Without capacity constraints, the cheapest producer captures all training demand and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 1</m:t>
        </m:r>
      </m:oMath>
      <w:r>
        <w:t xml:space="preserve">. With binding capacity constraints on the cheapest producers, </w:t>
      </w:r>
      <m:oMath>
        <m:sSub>
          <m:sSubPr/>
          <m:e>
            <m:r>
              <m:rPr>
                <m:sty m:val="i"/>
              </m:rPr>
              <w:rPr>
                <w:rFonts w:ascii="Cambria Math" w:hAnsi="Cambria Math"/>
              </w:rPr>
              <m:t xml:space="preserve">HHI</m:t>
            </m:r>
          </m:e>
          <m:sub>
            <m:r>
              <m:rPr>
                <m:sty m:val="i"/>
              </m:rPr>
              <w:rPr>
                <w:rFonts w:ascii="Cambria Math" w:hAnsi="Cambria Math"/>
              </w:rPr>
              <m:t xml:space="preserve">T</m:t>
            </m:r>
          </m:sub>
        </m:sSub>
        <m:r>
          <m:rPr>
            <m:sty m:val="p"/>
          </m:rPr>
          <w:rPr>
            <w:rFonts w:ascii="Cambria Math" w:hAnsi="Cambria Math"/>
          </w:rPr>
          <m:t xml:space="preserve"> &lt; 1</m:t>
        </m:r>
      </m:oMath>
      <w:r>
        <w:t xml:space="preserve">, and </w:t>
      </w:r>
      <m:oMath>
        <m:sSub>
          <m:sSubPr/>
          <m:e>
            <m:r>
              <m:rPr>
                <m:sty m:val="i"/>
              </m:rPr>
              <w:rPr>
                <w:rFonts w:ascii="Cambria Math" w:hAnsi="Cambria Math"/>
              </w:rPr>
              <m:t xml:space="preserve">HHI</m:t>
            </m:r>
          </m:e>
          <m:sub>
            <m:r>
              <m:rPr>
                <m:sty m:val="i"/>
              </m:rPr>
              <w:rPr>
                <w:rFonts w:ascii="Cambria Math" w:hAnsi="Cambria Math"/>
              </w:rPr>
              <m:t xml:space="preserve">T</m:t>
            </m:r>
          </m:sub>
        </m:sSub>
      </m:oMath>
      <w:r>
        <w:t xml:space="preserve"> is strictly decreasing in the number of capacity-constrained infra-marginal exporters. When low-cost producers reach capacity limits, residual demand shifts to higher-cost suppliers, reducing market concentration.</w:t>
      </w:r>
    </w:p>
    <w:p>
      <w:pPr>
        <w:spacing w:before="0" w:after="160" w:line="360" w:lineRule="auto"/>
        <w:ind w:firstLine="0"/>
        <w:jc w:val="both"/>
      </w:pPr>
      <w:r>
        <w:rPr>
          <w:b/>
          <w:i/>
        </w:rPr>
        <w:t xml:space="preserve">Proposition 3 (Sovereignty Switching Threshold). </w:t>
      </w:r>
      <w:r>
        <w:t xml:space="preserve">A country produces AI training domestically only when the sovereignty premium is large enough to offset the higher domestic cost. Formally, country </w:t>
      </w:r>
      <m:oMath>
        <m:r>
          <m:rPr>
            <m:sty m:val="i"/>
          </m:rPr>
          <w:rPr>
            <w:rFonts w:ascii="Cambria Math" w:hAnsi="Cambria Math"/>
          </w:rPr>
          <m:t xml:space="preserve">k</m:t>
        </m:r>
      </m:oMath>
      <w:r>
        <w:t xml:space="preserve"> produces training domestically if and only if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m:t>
        </m:r>
      </m:oMath>
      <w:r>
        <w:t xml:space="preserve"> for every potential supplier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equivalently, </w:t>
      </w:r>
      <m:oMath>
        <m:r>
          <m:rPr>
            <m:sty m:val="i"/>
          </m:rPr>
          <w:rPr>
            <w:rFonts w:ascii="Cambria Math" w:hAnsi="Cambria Math"/>
          </w:rPr>
          <m:t xml:space="preserve">k</m:t>
        </m:r>
      </m:oMath>
      <w:r>
        <w:t xml:space="preserve"> imports whenever there exists a supplier </w:t>
      </w:r>
      <m:oMath>
        <m:r>
          <m:rPr>
            <m:sty m:val="i"/>
          </m:rPr>
          <w:rPr>
            <w:rFonts w:ascii="Cambria Math" w:hAnsi="Cambria Math"/>
          </w:rPr>
          <m:t xml:space="preserve">j</m:t>
        </m:r>
      </m:oMath>
      <w:r>
        <w:t xml:space="preserve"> for which </w:t>
      </w:r>
      <m:oMath>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&lt; </m:t>
        </m:r>
        <m:sSubSup>
          <m:sSubSupPr/>
          <m:e>
            <m:r>
              <m:rPr>
                <m:sty m:val="i"/>
              </m:rPr>
              <w:rPr>
                <w:rFonts w:ascii="Cambria Math" w:hAnsi="Cambria Math"/>
              </w:rPr>
              <m:t xml:space="preserve">λ</m:t>
            </m:r>
          </m:e>
          <m:sub>
            <m:r>
              <m:rPr>
                <m:sty m:val="i"/>
              </m:rPr>
              <w:rPr>
                <w:rFonts w:ascii="Cambria Math" w:hAnsi="Cambria Math"/>
              </w:rPr>
              <m:t xml:space="preserve">k</m:t>
            </m:r>
          </m:sub>
          <m:sup>
            <m:r>
              <m:rPr>
                <m:sty m:val="i"/>
              </m:rPr>
              <w:rPr>
                <w:rFonts w:ascii="Cambria Math" w:hAnsi="Cambria Math"/>
              </w:rPr>
              <m:t xml:space="preserve">*</m:t>
            </m:r>
          </m:sup>
        </m:sSubSup>
      </m:oMath>
      <w:r>
        <w:t xml:space="preserve">. The threshold is increasing in </w:t>
      </w:r>
      <m:oMath>
        <m:sSub>
          <m:sSubPr/>
          <m:e>
            <m:r>
              <m:rPr>
                <m:sty m:val="i"/>
              </m:rPr>
              <w:rPr>
                <w:rFonts w:ascii="Cambria Math" w:hAnsi="Cambria Math"/>
              </w:rPr>
              <m:t xml:space="preserve">c</m:t>
            </m:r>
          </m:e>
          <m:sub>
            <m:r>
              <m:rPr>
                <m:sty m:val="i"/>
              </m:rPr>
              <w:rPr>
                <w:rFonts w:ascii="Cambria Math" w:hAnsi="Cambria Math"/>
              </w:rPr>
              <m:t xml:space="preserve">k</m:t>
            </m:r>
          </m:sub>
        </m:sSub>
      </m:oMath>
      <w:r>
        <w:t xml:space="preserve"> and decreasing in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Under capacity constraints,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&gt; </m:t>
        </m:r>
        <m:sSub>
          <m:sSubPr/>
          <m:e>
            <m:r>
              <m:rPr>
                <m:sty m:val="i"/>
              </m:rPr>
              <w:rPr>
                <w:rFonts w:ascii="Cambria Math" w:hAnsi="Cambria Math"/>
              </w:rPr>
              <m:t xml:space="preserve">c</m:t>
            </m:r>
          </m:e>
          <m:sub>
            <m:r>
              <m:rPr>
                <m:sty m:val="i"/>
              </m:rPr>
              <w:rPr>
                <w:rFonts w:ascii="Cambria Math" w:hAnsi="Cambria Math"/>
              </w:rPr>
              <m:t xml:space="preserve">(1)</m:t>
            </m:r>
          </m:sub>
        </m:sSub>
      </m:oMath>
      <w:r>
        <w:t>, so the threshold is lower than in the unconstrained model. Capacity constraints reduce the sovereignty premium required for domestic production because they raise world prices, making imports more expensive.</w:t>
      </w:r>
      <w:r>
        <w:rPr>
          <w:rStyle w:val="FootnoteReference"/>
        </w:rPr>
        <w:footnoteReference w:id="22"/>
      </w:r>
    </w:p>
    <w:p>
      <w:pPr>
        <w:spacing w:before="0" w:after="160" w:line="360" w:lineRule="auto"/>
        <w:ind w:firstLine="0"/>
        <w:jc w:val="both"/>
      </w:pPr>
      <w:r>
        <w:rPr>
          <w:b w:val="0"/>
          <w:i/>
        </w:rPr>
        <w:t xml:space="preserve">Corollary. </w:t>
      </w:r>
      <w:r>
        <w:t>Capacity constraints reduce the welfare cost of sovereignty because the higher equilibrium price narrows the gap between domestic and import costs.</w:t>
      </w:r>
    </w:p>
    <w:p>
      <w:pPr>
        <w:spacing w:before="0" w:after="160" w:line="360" w:lineRule="auto"/>
        <w:ind w:firstLine="0"/>
        <w:jc w:val="both"/>
      </w:pPr>
      <w:r>
        <w:rPr>
          <w:b/>
          <w:i/>
        </w:rPr>
        <w:t xml:space="preserve">Proposition 4 (Training Exporters Nest Within Inference Exporters). </w:t>
      </w:r>
      <w:r>
        <w:t>If a country is cheap enough to export training (which can be done from anywhere), it is also cheap enough to export inference to nearby demand centers.</w:t>
      </w:r>
      <w:r>
        <w:rPr>
          <w:rStyle w:val="FootnoteReference"/>
        </w:rPr>
        <w:footnoteReference w:id="23"/>
      </w:r>
      <w:r>
        <w:t xml:space="preserve"> Training exporters therefore also export inference to nearby demand centers, provided that latency remains below the threshold </w:t>
      </w:r>
      <m:oMath>
        <m:bar>
          <m:barPr>
            <m:pos m:val="top"/>
          </m:barPr>
          <m:e>
            <m:r>
              <m:rPr>
                <m:sty m:val="i"/>
              </m:rPr>
              <w:rPr>
                <w:rFonts w:ascii="Cambria Math" w:hAnsi="Cambria Math"/>
              </w:rPr>
              <m:t xml:space="preserve">l</m:t>
            </m:r>
          </m:e>
        </m:bar>
      </m:oMath>
      <w:r>
        <w:t xml:space="preserve">. A training exporter has the globally lowest </w:t>
      </w:r>
      <m:oMath>
        <m:sSub>
          <m:sSubPr/>
          <m:e>
            <m:r>
              <m:rPr>
                <m:sty m:val="i"/>
              </m:rPr>
              <w:rPr>
                <w:rFonts w:ascii="Cambria Math" w:hAnsi="Cambria Math"/>
              </w:rPr>
              <m:t xml:space="preserve">c</m:t>
            </m:r>
          </m:e>
          <m:sub>
            <m:r>
              <m:rPr>
                <m:sty m:val="i"/>
              </m:rPr>
              <w:rPr>
                <w:rFonts w:ascii="Cambria Math" w:hAnsi="Cambria Math"/>
              </w:rPr>
              <m:t xml:space="preserve">j</m:t>
            </m:r>
          </m:sub>
        </m:sSub>
      </m:oMath>
      <w:r>
        <w:t>. For inference to proximate demand centers, this cost advantage dominates the latency markup, so the same country wins the inference competition. Since training has no distance penalty while inference does, every country that exports training is also competitive in inference within its geographic neighborhood, but not vice versa.</w:t>
      </w:r>
    </w:p>
    <w:p>
      <w:pPr>
        <w:pStyle w:val="Heading1"/>
      </w:pPr>
      <w:r>
        <w:rPr>
          <w:rFonts w:ascii="Times New Roman" w:hAnsi="Times New Roman"/>
          <w:color w:val="2F5496"/>
          <w:sz w:val="28"/>
        </w:rPr>
        <w:t>5. Data</w:t>
      </w:r>
    </w:p>
    <w:p>
      <w:pPr>
        <w:spacing w:before="0" w:after="160" w:line="360" w:lineRule="auto"/>
        <w:ind w:firstLine="0"/>
        <w:jc w:val="both"/>
      </w:pPr>
      <w:r>
        <w:t xml:space="preserve">The propositions above generate testable predictions that depend on country-specific costs and bilateral frictions. Calibrating the production-cost and trade-cost parameters in equations (1)–(4) requires data on electricity prices, temperatures, construction costs, bilateral latencies, and bilateral sovereignty frictions (geopolitical alignment, regulatory compatibility, and sanctions). </w:t>
      </w:r>
    </w:p>
    <w:p>
      <w:pPr>
        <w:spacing w:before="0" w:after="160" w:line="360" w:lineRule="auto"/>
        <w:ind w:firstLine="0"/>
        <w:jc w:val="both"/>
      </w:pPr>
      <w:r>
        <w:rPr>
          <w:b w:val="0"/>
          <w:i/>
        </w:rPr>
        <w:t xml:space="preserve">Electricity prices. </w:t>
      </w:r>
      <w:r>
        <w:t xml:space="preserve">For European countries, we use prices from Eurostat (industrial band, 20,000–69,999) (</w:t>
      </w:r>
      <w:bookmarkStart w:id="215" w:name="Eurostat2025txt"/>
      <w:hyperlink w:anchor="Eurostat2025" w:history="1">
        <w:r>
          <w:rPr>
            <w:color w:val="1F3864"/>
            <w:u w:val="single"/>
          </w:rPr>
          <w:t xml:space="preserve">Eurostat 2025</w:t>
        </w:r>
      </w:hyperlink>
      <w:bookmarkEnd w:id="215"/>
      <w:r>
        <w:t xml:space="preserve">). For non-European countries, prices are sourced from national regulatory tariff sheets and secondary sources. These include the U.S. Energy Information Administration (</w:t>
      </w:r>
      <w:bookmarkStart w:id="256" w:name="EIA2025txt"/>
      <w:hyperlink w:anchor="EIA2025" w:history="1">
        <w:r>
          <w:rPr>
            <w:color w:val="1F3864"/>
            <w:u w:val="single"/>
          </w:rPr>
          <w:t xml:space="preserve">EIA 2025</w:t>
        </w:r>
      </w:hyperlink>
      <w:bookmarkEnd w:id="256"/>
      <w:r>
        <w:t xml:space="preserve">) for the United States, KEPCO for South Korea,</w:t>
      </w:r>
      <w:r>
        <w:rPr>
          <w:rStyle w:val="FootnoteReference"/>
        </w:rPr>
        <w:footnoteReference w:id="24"/>
      </w:r>
      <w:r>
        <w:t xml:space="preserve"> national utility tariffs for Central Asian countries, and </w:t>
      </w:r>
      <w:bookmarkStart w:id="216" w:name="GlobalPetrolPrices2025txt"/>
      <w:hyperlink w:anchor="GlobalPetrolPrices2025" w:history="1">
        <w:r>
          <w:rPr>
            <w:color w:val="1F3864"/>
            <w:u w:val="single"/>
          </w:rPr>
          <w:t xml:space="preserve">GlobalPetrolPrices (2025)</w:t>
        </w:r>
      </w:hyperlink>
      <w:bookmarkEnd w:id="216"/>
      <w:r>
        <w:t xml:space="preserve"> for the remaining countries. All prices are converted to $/kWh at 2024 exchange rates.</w:t>
      </w:r>
    </w:p>
    <w:p>
      <w:pPr>
        <w:spacing w:before="0" w:after="160" w:line="360" w:lineRule="auto"/>
        <w:ind w:firstLine="0"/>
        <w:jc w:val="both"/>
      </w:pPr>
      <w:r>
        <w:rPr>
          <w:b w:val="0"/>
          <w:i/>
        </w:rPr>
        <w:t xml:space="preserve">Temperature and construction. </w:t>
      </w:r>
      <w:r>
        <w:t xml:space="preserve">Peak summer temperature is derived from ERA5 data (</w:t>
      </w:r>
      <w:bookmarkStart w:id="217" w:name="Hersbach2020txt"/>
      <w:hyperlink w:anchor="Hersbach2020" w:history="1">
        <w:r>
          <w:rPr>
            <w:color w:val="1F3864"/>
            <w:u w:val="single"/>
          </w:rPr>
          <w:t xml:space="preserve">Hersbach et al. 2020</w:t>
        </w:r>
      </w:hyperlink>
      <w:bookmarkEnd w:id="217"/>
      <w:r>
        <w:t xml:space="preserve">) as the average monthly maximum in the three warmest months, aggregated across populated grid cells. </w:t>
      </w:r>
      <w:r>
        <w:t xml:space="preserve">Construction costs per watt of IT capacity are from the Turner &amp; Townsend Data Center Construction Cost Index 2025 (</w:t>
      </w:r>
      <w:bookmarkStart w:id="218" w:name="TurnerTownsend2025txt"/>
      <w:hyperlink w:anchor="TurnerTownsend2025" w:history="1">
        <w:r>
          <w:rPr>
            <w:color w:val="1F3864"/>
            <w:u w:val="single"/>
          </w:rPr>
          <w:t xml:space="preserve">Turner &amp; Townsend 2025</w:t>
        </w:r>
      </w:hyperlink>
      <w:bookmarkEnd w:id="218"/>
      <w:r>
        <w:t xml:space="preserve">), for 37 countries. For the remaining countries, costs are predicted (Appendix E). Since construction is only 3–6 percent of total per-GPU-hour costs, imputation error has a limited impact on cost rankings.</w:t>
      </w:r>
    </w:p>
    <w:p>
      <w:pPr>
        <w:spacing w:before="0" w:after="160" w:line="360" w:lineRule="auto"/>
        <w:ind w:firstLine="0"/>
        <w:jc w:val="both"/>
      </w:pPr>
      <w:r>
        <w:rPr>
          <w:b w:val="0"/>
          <w:i/>
        </w:rPr>
        <w:t xml:space="preserve">Latency. </w:t>
      </w:r>
      <w:r>
        <w:t xml:space="preserve">Inter-country round-trip latency is measured using WonderNetwork’s global ping dataset (</w:t>
      </w:r>
      <w:bookmarkStart w:id="219" w:name="WonderNetwork2024txt"/>
      <w:hyperlink w:anchor="WonderNetwork2024" w:history="1">
        <w:r>
          <w:rPr>
            <w:color w:val="1F3864"/>
            <w:u w:val="single"/>
          </w:rPr>
          <w:t xml:space="preserve">WonderNetwork 2024</w:t>
        </w:r>
      </w:hyperlink>
      <w:bookmarkEnd w:id="219"/>
      <w:r>
        <w:t xml:space="preserve">). For each country pair, the median round-trip time (RTT) in milliseconds is used. Domestic latency defaults to 5 ms where no intra-country measurement is available.</w:t>
      </w:r>
    </w:p>
    <w:p>
      <w:pPr>
        <w:spacing w:before="0" w:after="160" w:line="360" w:lineRule="auto"/>
        <w:ind w:firstLine="0"/>
        <w:jc w:val="both"/>
      </w:pPr>
      <w:r>
        <w:rPr>
          <w:b w:val="0"/>
          <w:i/>
        </w:rPr>
        <w:t xml:space="preserve">Demand. </w:t>
      </w:r>
      <w:r>
        <w:t xml:space="preserve">Compute demand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is proxied by installed data center capacity in MW (</w:t>
      </w:r>
      <w:bookmarkStart w:id="902" w:name="Eq4txt902"/>
      <w:hyperlink w:anchor="Eq4" w:history="1">
        <w:r>
          <w:rPr>
            <w:color w:val="1F3864"/>
            <w:u w:val="single"/>
          </w:rPr>
          <w:t xml:space="preserve">equation (4)</w:t>
        </w:r>
      </w:hyperlink>
      <w:bookmarkEnd w:id="902"/>
      <w:r>
        <w:t xml:space="preserve">). For the top 15 markets, capacity estimates are based on industry reports (Synergy Research, Cushman &amp; Wakefield, CBRE, Mordor Intelligence).</w:t>
      </w:r>
      <w:r>
        <w:rPr>
          <w:rStyle w:val="FootnoteReference"/>
        </w:rPr>
        <w:footnoteReference w:id="25"/>
      </w:r>
      <w:r>
        <w:t xml:space="preserve"> For smaller markets, capacity is estimated from facility counts (</w:t>
      </w:r>
      <w:bookmarkStart w:id="220" w:name="Cloudscene2025txt"/>
      <w:hyperlink w:anchor="Cloudscene2025" w:history="1">
        <w:r>
          <w:rPr>
            <w:color w:val="1F3864"/>
            <w:u w:val="single"/>
          </w:rPr>
          <w:t xml:space="preserve">Cloudscene 2025</w:t>
        </w:r>
      </w:hyperlink>
      <w:bookmarkEnd w:id="220"/>
      <w:r>
        <w:t xml:space="preserve">) and regional averages.</w:t>
      </w:r>
    </w:p>
    <w:p>
      <w:pPr>
        <w:spacing w:before="0" w:after="160" w:line="360" w:lineRule="auto"/>
        <w:ind w:firstLine="0"/>
        <w:jc w:val="both"/>
      </w:pPr>
      <w:r>
        <w:t>Bilateral compute-trade data are not yet available, so we calibrate the model from hardware prices, electricity tariffs, and facility-cost coefficients rather than estimating it from observed trade flows. The calibration identifies the conditions under which FLOP exporting becomes viable. It also provides a framework that can be taken to gravity-style estimation as transaction-level data emerge.</w:t>
      </w:r>
    </w:p>
    <w:p>
      <w:pPr>
        <w:pStyle w:val="Heading1"/>
      </w:pPr>
      <w:r>
        <w:rPr>
          <w:rFonts w:ascii="Times New Roman" w:hAnsi="Times New Roman"/>
          <w:color w:val="2F5496"/>
          <w:sz w:val="28"/>
        </w:rPr>
        <w:t>6. Calibration and Results</w:t>
      </w:r>
    </w:p>
    <w:p>
      <w:pPr>
        <w:pStyle w:val="Heading2"/>
      </w:pPr>
      <w:r>
        <w:rPr>
          <w:rFonts w:ascii="Times New Roman" w:hAnsi="Times New Roman"/>
          <w:b w:val="0"/>
          <w:i/>
          <w:color w:val="2F5496"/>
          <w:sz w:val="24"/>
        </w:rPr>
        <w:t>6.1 Parameter calibration</w:t>
      </w:r>
    </w:p>
    <w:p>
      <w:pPr>
        <w:spacing w:before="0" w:after="160" w:line="360" w:lineRule="auto"/>
        <w:ind w:firstLine="0"/>
        <w:jc w:val="both"/>
      </w:pPr>
      <w:r>
        <w:rPr>
          <w:b w:val="0"/>
          <w:i/>
        </w:rPr>
        <w:t xml:space="preserve">PUE. </w:t>
      </w:r>
      <w:r>
        <w:t xml:space="preserve">The baseline </w:t>
      </w:r>
      <m:oMath>
        <m:r>
          <m:rPr>
            <m:sty m:val="i"/>
          </m:rPr>
          <w:rPr>
            <w:rFonts w:ascii="Cambria Math" w:hAnsi="Cambria Math"/>
          </w:rPr>
          <m:t xml:space="preserve">φ</m:t>
        </m:r>
        <m:r>
          <m:rPr>
            <m:sty m:val="p"/>
          </m:rPr>
          <w:rPr>
            <w:rFonts w:ascii="Cambria Math" w:hAnsi="Cambria Math"/>
          </w:rPr>
          <m:t xml:space="preserve"> = 1.08</m:t>
        </m:r>
      </m:oMath>
      <w:r>
        <w:t xml:space="preserve"> matches Google’s reported PUE for facilities with free-air cooling in cold climates (</w:t>
      </w:r>
      <w:bookmarkStart w:id="221" w:name="Google2024txt"/>
      <w:hyperlink w:anchor="Google2024" w:history="1">
        <w:r>
          <w:rPr>
            <w:color w:val="1F3864"/>
            <w:u w:val="single"/>
          </w:rPr>
          <w:t xml:space="preserve">Google 2024</w:t>
        </w:r>
      </w:hyperlink>
      <w:bookmarkEnd w:id="221"/>
      <w:r>
        <w:t xml:space="preserve">). The sensitivity coefficient </w:t>
      </w:r>
      <m:oMath>
        <m:r>
          <m:rPr>
            <m:sty m:val="i"/>
          </m:rPr>
          <w:rPr>
            <w:rFonts w:ascii="Cambria Math" w:hAnsi="Cambria Math"/>
          </w:rPr>
          <m:t xml:space="preserve">δ</m:t>
        </m:r>
        <m:r>
          <m:rPr>
            <m:sty m:val="p"/>
          </m:rPr>
          <w:rPr>
            <w:rFonts w:ascii="Cambria Math" w:hAnsi="Cambria Math"/>
          </w:rPr>
          <m:t xml:space="preserve"> = 0.015</m:t>
        </m:r>
      </m:oMath>
      <w:r>
        <w:t xml:space="preserve"> per °C is estimated from cross-sectional variation in PUE across data center locations with different cooling loads (</w:t>
      </w:r>
      <w:bookmarkStart w:id="222" w:name="Liu2023txt"/>
      <w:hyperlink w:anchor="Liu2023" w:history="1">
        <w:r>
          <w:rPr>
            <w:color w:val="1F3864"/>
            <w:u w:val="single"/>
          </w:rPr>
          <w:t xml:space="preserve">Liu et al. 2023</w:t>
        </w:r>
      </w:hyperlink>
      <w:bookmarkEnd w:id="222"/>
      <w:r>
        <w:t xml:space="preserve">). The threshold </w:t>
      </w:r>
      <m:oMath>
        <m:bar>
          <m:barPr>
            <m:pos m:val="top"/>
          </m:barPr>
          <m:e>
            <m:r>
              <m:rPr>
                <m:sty m:val="i"/>
              </m:rPr>
              <w:rPr>
                <w:rFonts w:ascii="Cambria Math" w:hAnsi="Cambria Math"/>
              </w:rPr>
              <m:t xml:space="preserve">θ</m:t>
            </m:r>
          </m:e>
        </m:bar>
        <m:r>
          <m:rPr>
            <m:sty m:val="p"/>
          </m:rPr>
          <w:rPr>
            <w:rFonts w:ascii="Cambria Math" w:hAnsi="Cambria Math"/>
          </w:rPr>
          <m:t xml:space="preserve"> = 15°C</m:t>
        </m:r>
      </m:oMath>
      <w:r>
        <w:t xml:space="preserve"> is the outdoor temperature above which mechanical cooling is needed, below which free-air cooling suffices. These assumptions yield PUE values from 1.08 (Iceland, Scandinavia) to 1.41 (UAE), consistent with the industry average of 1.56 (</w:t>
      </w:r>
      <w:bookmarkStart w:id="223" w:name="UptimeInstitute2024txt"/>
      <w:hyperlink w:anchor="UptimeInstitute2024" w:history="1">
        <w:r>
          <w:rPr>
            <w:color w:val="1F3864"/>
            <w:u w:val="single"/>
          </w:rPr>
          <w:t xml:space="preserve">Uptime Institute 2024</w:t>
        </w:r>
      </w:hyperlink>
      <w:bookmarkEnd w:id="223"/>
      <w:r>
        <w:t xml:space="preserve">).</w:t>
      </w:r>
      <w:r>
        <w:rPr>
          <w:rStyle w:val="FootnoteReference"/>
        </w:rPr>
        <w:footnoteReference w:id="13"/>
      </w:r>
    </w:p>
    <w:p>
      <w:pPr>
        <w:spacing w:before="0" w:after="160" w:line="360" w:lineRule="auto"/>
        <w:ind w:firstLine="0"/>
        <w:jc w:val="both"/>
      </w:pPr>
      <w:r>
        <w:rPr>
          <w:b w:val="0"/>
          <w:i/>
        </w:rPr>
        <w:t xml:space="preserve">Hardware. </w:t>
      </w:r>
      <w:r>
        <w:t xml:space="preserve">The calibration uses the NVIDIA H100 SXM GPU as the reference hardware platform, with a list price of $25,000, a power of 700W, an economic lifetime of 3 years, and a utilization rate of 70 percent (</w:t>
      </w:r>
      <w:bookmarkStart w:id="224" w:name="Barroso2018txt"/>
      <w:hyperlink w:anchor="Barroso2018" w:history="1">
        <w:r>
          <w:rPr>
            <w:color w:val="1F3864"/>
            <w:u w:val="single"/>
          </w:rPr>
          <w:t xml:space="preserve">Barroso et al. 2018</w:t>
        </w:r>
      </w:hyperlink>
      <w:bookmarkEnd w:id="224"/>
      <w:r>
        <w:t xml:space="preserve">). The calibration implies an amortized hardware cost </w:t>
      </w:r>
      <m:oMath>
        <m:r>
          <m:rPr>
            <m:sty m:val="i"/>
          </m:rPr>
          <w:rPr>
            <w:rFonts w:ascii="Cambria Math" w:hAnsi="Cambria Math"/>
          </w:rPr>
          <m:t xml:space="preserve">ρ</m:t>
        </m:r>
        <m:r>
          <m:rPr>
            <m:sty m:val="p"/>
          </m:rPr>
          <w:rPr>
            <w:rFonts w:ascii="Cambria Math" w:hAnsi="Cambria Math"/>
          </w:rPr>
          <m:t xml:space="preserve"> = $1.358</m:t>
        </m:r>
      </m:oMath>
      <w:r>
        <w:t xml:space="preserve">/hr. This amortization is straight-line and includes no cost of capital. Columns (1)–(3) of Table 3 therefore hold financing costs at zero, so the cross-country spread reflects only electricity, climate, and construction; column (4) adds country-specific financing through the WACC adjustment of Section 7.2. Networking costs are calibrated at </w:t>
      </w:r>
      <m:oMath>
        <m:r>
          <m:rPr>
            <m:sty m:val="i"/>
          </m:rPr>
          <w:rPr>
            <w:rFonts w:ascii="Cambria Math" w:hAnsi="Cambria Math"/>
          </w:rPr>
          <m:t xml:space="preserve">η</m:t>
        </m:r>
        <m:r>
          <m:rPr>
            <m:sty m:val="p"/>
          </m:rPr>
          <w:rPr>
            <w:rFonts w:ascii="Cambria Math" w:hAnsi="Cambria Math"/>
          </w:rPr>
          <m:t xml:space="preserve"> = $0.15</m:t>
        </m:r>
      </m:oMath>
      <w:r>
        <w:t xml:space="preserve">/hr, based on the same three-year horizon (</w:t>
      </w:r>
      <w:hyperlink w:anchor="Barroso2018" w:history="1">
        <w:r>
          <w:rPr>
            <w:color w:val="1F3864"/>
            <w:u w:val="single"/>
          </w:rPr>
          <w:t xml:space="preserve">Barroso et al. 2018</w:t>
        </w:r>
      </w:hyperlink>
      <w:r>
        <w:t xml:space="preserve">). GPU and networking equipment prices are assumed to be uniform across countries.</w:t>
      </w:r>
    </w:p>
    <w:p>
      <w:pPr>
        <w:spacing w:before="0" w:after="160" w:line="360" w:lineRule="auto"/>
        <w:ind w:firstLine="0"/>
        <w:jc w:val="both"/>
      </w:pPr>
      <w:r>
        <w:rPr>
          <w:b w:val="0"/>
          <w:i/>
        </w:rPr>
        <w:t xml:space="preserve">Latency degradation. </w:t>
      </w:r>
      <w:r>
        <w:t xml:space="preserve">The parameter </w:t>
      </w:r>
      <m:oMath>
        <m:r>
          <m:rPr>
            <m:sty m:val="i"/>
          </m:rPr>
          <w:rPr>
            <w:rFonts w:ascii="Cambria Math" w:hAnsi="Cambria Math"/>
          </w:rPr>
          <m:t xml:space="preserve">τ</m:t>
        </m:r>
      </m:oMath>
      <w:r>
        <w:t xml:space="preserve"> is set at </w:t>
      </w:r>
      <m:oMath>
        <m:r>
          <m:rPr>
            <m:sty m:val="i"/>
          </m:rPr>
          <w:rPr>
            <w:rFonts w:ascii="Cambria Math" w:hAnsi="Cambria Math"/>
          </w:rPr>
          <m:t xml:space="preserve">τ</m:t>
        </m:r>
        <m:r>
          <m:rPr>
            <m:sty m:val="p"/>
          </m:rPr>
          <w:rPr>
            <w:rFonts w:ascii="Cambria Math" w:hAnsi="Cambria Math"/>
          </w:rPr>
          <m:t xml:space="preserve"> = 0.0008</m:t>
        </m:r>
        <m:r>
          <m:rPr>
            <m:sty m:val="p"/>
          </m:rPr>
          <w:rPr>
            <w:rFonts w:ascii="Cambria Math" w:hAnsi="Cambria Math"/>
          </w:rPr>
          <m:t xml:space="preserve"> per ms</m:t>
        </m:r>
      </m:oMath>
      <w:r>
        <w:t xml:space="preserve">, implying that 100 ms of round-trip latency (roughly the intercontinental round-trip between Europe and East Asia) inflates inference cost by 8 percent, consistent with the finding in </w:t>
      </w:r>
      <w:bookmarkStart w:id="226" w:name="Deloitte2020txt"/>
      <w:hyperlink w:anchor="Deloitte2020" w:history="1">
        <w:r>
          <w:rPr>
            <w:color w:val="1F3864"/>
            <w:u w:val="single"/>
          </w:rPr>
          <w:t xml:space="preserve">Deloitte and Google (2020)</w:t>
        </w:r>
      </w:hyperlink>
      <w:bookmarkEnd w:id="226"/>
      <w:r>
        <w:t xml:space="preserve"> for e-commerce. </w:t>
      </w:r>
    </w:p>
    <w:p>
      <w:pPr>
        <w:spacing w:before="0" w:after="160" w:line="360" w:lineRule="auto"/>
        <w:ind w:firstLine="0"/>
        <w:jc w:val="both"/>
      </w:pPr>
      <w:r>
        <w:rPr>
          <w:b w:val="0"/>
          <w:i/>
        </w:rPr>
        <w:t xml:space="preserve">Sovereignty premium. </w:t>
      </w: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is constructed from geopolitical distance and regulatory compatibility (</w:t>
      </w:r>
      <w:bookmarkStart w:id="903" w:name="Eq2txt903"/>
      <w:hyperlink w:anchor="Eq2" w:history="1">
        <w:r>
          <w:rPr>
            <w:color w:val="1F3864"/>
            <w:u w:val="single"/>
          </w:rPr>
          <w:t xml:space="preserve">eq. (2)</w:t>
        </w:r>
      </w:hyperlink>
      <w:bookmarkEnd w:id="903"/>
      <w:r>
        <w:t xml:space="preserve">), with coefficient weights </w:t>
      </w:r>
      <m:oMath>
        <m:sSub>
          <m:sSubPr/>
          <m:e>
            <m:r>
              <m:rPr>
                <m:sty m:val="i"/>
              </m:rPr>
              <w:rPr>
                <w:rFonts w:ascii="Cambria Math" w:hAnsi="Cambria Math"/>
              </w:rPr>
              <m:t xml:space="preserve">w</m:t>
            </m:r>
          </m:e>
          <m:sub>
            <m:r>
              <m:rPr>
                <m:sty m:val="i"/>
              </m:rPr>
              <w:rPr>
                <w:rFonts w:ascii="Cambria Math" w:hAnsi="Cambria Math"/>
              </w:rPr>
              <m:t xml:space="preserve">1</m:t>
            </m:r>
          </m:sub>
        </m:sSub>
        <m:r>
          <m:rPr>
            <m:sty m:val="p"/>
          </m:rPr>
          <w:rPr>
            <w:rFonts w:ascii="Cambria Math" w:hAnsi="Cambria Math"/>
          </w:rPr>
          <m:t xml:space="preserve"> = 0.05</m:t>
        </m:r>
      </m:oMath>
      <w:r>
        <w:t xml:space="preserve"> (geopolitical distance) and </w:t>
      </w:r>
      <m:oMath>
        <m:sSub>
          <m:sSubPr/>
          <m:e>
            <m:r>
              <m:rPr>
                <m:sty m:val="i"/>
              </m:rPr>
              <w:rPr>
                <w:rFonts w:ascii="Cambria Math" w:hAnsi="Cambria Math"/>
              </w:rPr>
              <m:t xml:space="preserve">w</m:t>
            </m:r>
          </m:e>
          <m:sub>
            <m:r>
              <m:rPr>
                <m:sty m:val="i"/>
              </m:rPr>
              <w:rPr>
                <w:rFonts w:ascii="Cambria Math" w:hAnsi="Cambria Math"/>
              </w:rPr>
              <m:t xml:space="preserve">2</m:t>
            </m:r>
          </m:sub>
        </m:sSub>
        <m:r>
          <m:rPr>
            <m:sty m:val="p"/>
          </m:rPr>
          <w:rPr>
            <w:rFonts w:ascii="Cambria Math" w:hAnsi="Cambria Math"/>
          </w:rPr>
          <m:t xml:space="preserve"> = 0.025</m:t>
        </m:r>
      </m:oMath>
      <w:r>
        <w:t xml:space="preserve"> (regulatory incompatibility). Sanctioned pairs are excluded by assumption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oMath>
      <w:r>
        <w:t xml:space="preserve">) rather than being assigned a finite weight. The continuous weights are calibrated so that an intra-bloc pair with data adequacy (for example, two EU member states) faces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m:t>
        </m:r>
      </m:oMath>
      <w:r>
        <w:t xml:space="preserve">, and a typical cross-bloc pair without a regulatory agreement faces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0.04–0.07</m:t>
        </m:r>
      </m:oMath>
      <w:r>
        <w:t xml:space="preserve">. The implied premium for non-adversarial services trade remains below </w:t>
      </w:r>
      <w:hyperlink w:anchor="BenzJaax2020" w:history="1">
        <w:r>
          <w:rPr>
            <w:color w:val="1F3864"/>
            <w:u w:val="single"/>
          </w:rPr>
          <w:t xml:space="preserve">Benz and Jaax (2020)</w:t>
        </w:r>
      </w:hyperlink>
      <w:r>
        <w:t xml:space="preserve"> 16 percent upper bound for regulatory barriers in communication services.</w:t>
      </w:r>
      <w:r>
        <w:rPr>
          <w:rStyle w:val="FootnoteReference"/>
        </w:rPr>
        <w:footnoteReference w:id="15"/>
      </w:r>
      <w:r>
        <w:t xml:space="preserve"> Table 3 also reports results under a uniform premium </w:t>
      </w:r>
      <m:oMath>
        <m:r>
          <m:rPr>
            <m:sty m:val="i"/>
          </m:rPr>
          <w:rPr>
            <w:rFonts w:ascii="Cambria Math" w:hAnsi="Cambria Math"/>
          </w:rPr>
          <m:t xml:space="preserve">λ</m:t>
        </m:r>
        <m:r>
          <m:rPr>
            <m:sty m:val="p"/>
          </m:rPr>
          <w:rPr>
            <w:rFonts w:ascii="Cambria Math" w:hAnsi="Cambria Math"/>
          </w:rPr>
          <m:t xml:space="preserve"> = 10 percent</m:t>
        </m:r>
      </m:oMath>
      <w:r>
        <w:t xml:space="preserve">. The training share of compute demand is </w:t>
      </w:r>
      <m:oMath>
        <m:r>
          <m:rPr>
            <m:sty m:val="i"/>
          </m:rPr>
          <w:rPr>
            <w:rFonts w:ascii="Cambria Math" w:hAnsi="Cambria Math"/>
          </w:rPr>
          <m:t xml:space="preserve">α</m:t>
        </m:r>
        <m:r>
          <m:rPr>
            <m:sty m:val="p"/>
          </m:rPr>
          <w:rPr>
            <w:rFonts w:ascii="Cambria Math" w:hAnsi="Cambria Math"/>
          </w:rPr>
          <m:t xml:space="preserve"> = 0.50</m:t>
        </m:r>
      </m:oMath>
      <w:r>
        <w:t xml:space="preserve">, within the industry range of 0.4–0.6 (</w:t>
      </w:r>
      <w:bookmarkStart w:id="228" w:name="Deloitte2025txt"/>
      <w:hyperlink w:anchor="Deloitte2025" w:history="1">
        <w:r>
          <w:rPr>
            <w:color w:val="1F3864"/>
            <w:u w:val="single"/>
          </w:rPr>
          <w:t xml:space="preserve">Deloitte 2025</w:t>
        </w:r>
      </w:hyperlink>
      <w:bookmarkEnd w:id="228"/>
      <w:r>
        <w:t xml:space="preserve">). Construction costs are amortized over 15 years.</w:t>
      </w:r>
    </w:p>
    <w:p>
      <w:pPr>
        <w:spacing w:before="0" w:after="160" w:line="360" w:lineRule="auto"/>
        <w:ind w:firstLine="0"/>
        <w:jc w:val="both"/>
      </w:pPr>
      <w:bookmarkStart w:id="103" w:name="Table2txt"/>
      <w:hyperlink w:anchor="Table2" w:history="1">
        <w:r>
          <w:rPr>
            <w:color w:val="1F3864"/>
            <w:u w:val="single"/>
          </w:rPr>
          <w:t xml:space="preserve">Table 2</w:t>
        </w:r>
      </w:hyperlink>
      <w:bookmarkEnd w:id="103"/>
      <w:r>
        <w:t xml:space="preserve"> reports all model parameters. Country-specific values, including electricity prices, temperatures, construction costs, and resulting unit costs, are reported in </w:t>
      </w:r>
      <w:bookmarkStart w:id="100" w:name="TableA1txt"/>
      <w:hyperlink w:anchor="TableA1" w:history="1">
        <w:r>
          <w:rPr>
            <w:color w:val="1F3864"/>
            <w:u w:val="single"/>
          </w:rPr>
          <w:t xml:space="preserve">Table A1</w:t>
        </w:r>
      </w:hyperlink>
      <w:bookmarkEnd w:id="100"/>
      <w:r>
        <w:t xml:space="preserve"> (Appendix A).</w:t>
      </w:r>
    </w:p>
    <w:p>
      <w:pPr>
        <w:pStyle w:val="Heading2"/>
      </w:pPr>
      <w:r>
        <w:rPr>
          <w:rFonts w:ascii="Times New Roman" w:hAnsi="Times New Roman"/>
          <w:b w:val="0"/>
          <w:i/>
          <w:color w:val="2F5496"/>
          <w:sz w:val="24"/>
        </w:rPr>
        <w:t>6.2 Cost Rankings and Trade Patterns</w:t>
      </w:r>
    </w:p>
    <w:p>
      <w:pPr>
        <w:spacing w:before="0" w:after="160" w:line="360" w:lineRule="auto"/>
        <w:ind w:firstLine="0"/>
        <w:jc w:val="both"/>
      </w:pPr>
      <w:bookmarkStart w:id="150" w:name="Figure1calstxt"/>
      <w:hyperlink w:anchor="Figure1cals" w:history="1">
        <w:r>
          <w:rPr>
            <w:color w:val="1F3864"/>
            <w:u w:val="single"/>
          </w:rPr>
          <w:t xml:space="preserve">Figure 1</w:t>
        </w:r>
      </w:hyperlink>
      <w:bookmarkEnd w:id="150"/>
      <w:r>
        <w:t xml:space="preserve"> summarizes the model structure, from country endowments through production costs and prices to equilibrium regimes. We first correct electricity prices for subsidies, then add bilateral trade frictions.</w:t>
      </w:r>
    </w:p>
    <w:p>
      <w:pPr>
        <w:spacing w:before="0" w:after="160" w:line="360" w:lineRule="auto"/>
        <w:ind w:firstLine="0"/>
        <w:jc w:val="both"/>
      </w:pPr>
      <w:r>
        <w:t xml:space="preserve">Under observed electricity tariffs, the cheapest producer in our sample of 85 countries is Iran, followed by Turkmenistan and Ethiopia (Column (1) of </w:t>
      </w:r>
      <w:bookmarkStart w:id="112" w:name="Table3txt"/>
      <w:hyperlink w:anchor="Table3" w:history="1">
        <w:r>
          <w:rPr>
            <w:color w:val="1F3864"/>
            <w:u w:val="single"/>
          </w:rPr>
          <w:t xml:space="preserve">Table 3</w:t>
        </w:r>
      </w:hyperlink>
      <w:bookmarkEnd w:id="112"/>
      <w:r>
        <w:t xml:space="preserve">). This ranking, however, overstates the role of production-cost advantage. Iran’s headline electricity cost reflects one of the world’s largest fossil fuel subsidies. Turkmenistan, Algeria, Qatar, and several other low-cost producers face similar distortions. </w:t>
      </w:r>
    </w:p>
    <w:p>
      <w:pPr>
        <w:spacing w:before="0" w:after="160" w:line="360" w:lineRule="auto"/>
        <w:ind w:firstLine="0"/>
        <w:jc w:val="both"/>
      </w:pPr>
      <w:r>
        <w:t xml:space="preserve">We replace subsidized tariffs with cost-recovery prices to distinguish real comparative advantage from subsidy-driven advantage. The cost-recovery prices are defined as the long-run marginal cost (LRMC) of the dominant generation technology at opportunity-cost fuel prices (</w:t>
      </w:r>
      <w:hyperlink w:anchor="IMF2025" w:history="1">
        <w:r>
          <w:rPr>
            <w:color w:val="1F3864"/>
            <w:u w:val="single"/>
          </w:rPr>
          <w:t xml:space="preserve">IMF 2025</w:t>
        </w:r>
      </w:hyperlink>
      <w:r>
        <w:t xml:space="preserve">, </w:t>
      </w:r>
      <w:bookmarkStart w:id="229" w:name="Lazard2025txt"/>
      <w:hyperlink w:anchor="Lazard2025" w:history="1">
        <w:r>
          <w:rPr>
            <w:color w:val="1F3864"/>
            <w:u w:val="single"/>
          </w:rPr>
          <w:t xml:space="preserve">Lazard 2025</w:t>
        </w:r>
      </w:hyperlink>
      <w:bookmarkEnd w:id="229"/>
      <w:r>
        <w:t xml:space="preserve">). We apply this adjustment to 13 countries whose retail electricity prices fall below the estimated LRMC.</w:t>
      </w:r>
      <w:r>
        <w:rPr>
          <w:rStyle w:val="FootnoteReference"/>
        </w:rPr>
        <w:footnoteReference w:id="16"/>
      </w:r>
      <w:r>
        <w:t xml:space="preserve"> Appendix G develops a symmetric specification that additionally corrects OECD and high-income tariff distortions—carbon externalities and industrial cross-subsidies—and confirms that the qualitative ranking is reinforced rather than overturned. The subsidy gap ranges from $0.000 to $0.080/kWh. For Iran, a 100 MW IT-load data center would receive $93 million in implicit transfers per year. At hyperscale, such subsidies are fiscally unsustainable. The resulting cost-recovery ranking (column (2) of </w:t>
      </w:r>
      <w:hyperlink w:anchor="Table3" w:history="1">
        <w:r>
          <w:rPr>
            <w:color w:val="1F3864"/>
            <w:u w:val="single"/>
          </w:rPr>
          <w:t xml:space="preserve">Table 3</w:t>
        </w:r>
      </w:hyperlink>
      <w:r>
        <w:t xml:space="preserve">) shifts the top of the ranking toward hydropower-rich countries: Kyrgyzstan, Ethiopia, Kosovo, Canada, and Tajikistan. Iran drops from first to 24th, and Turkmenistan falls 16 places. 35 countries change their trade regimes, but </w:t>
      </w:r>
      <w:r>
        <w:t>the remaining cross-country variation is narrow (</w:t>
      </w:r>
      <w:bookmarkStart w:id="141" w:name="TableA2txt"/>
      <w:hyperlink w:anchor="TableA2" w:history="1">
        <w:r>
          <w:rPr>
            <w:color w:val="1F3864"/>
            <w:u w:val="single"/>
          </w:rPr>
          <w:t xml:space="preserve">Table A2</w:t>
        </w:r>
      </w:hyperlink>
      <w:bookmarkEnd w:id="141"/>
      <w:r>
        <w:t xml:space="preserve"> extends the ranking to all countries).</w:t>
      </w:r>
    </w:p>
    <w:p>
      <w:pPr>
        <w:spacing w:before="0" w:after="160" w:line="360" w:lineRule="auto"/>
        <w:ind w:firstLine="0"/>
        <w:jc w:val="both"/>
      </w:pPr>
      <w:r>
        <w:t>The cost ranking diverges sharply from observed investment patterns, indicating that low production cost alone is not sufficient to attract investment. Eight of the twenty cheapest producers have under 100 MW of installed capacity (e.g., Kyrgyzstan: rank 1, 5 MW), while countries outside the top twenty host large clusters (Netherlands: rank 67, 1,800 MW; Ireland: rank 83, 1,260 MW). Thus, the cost ranking should be interpreted as the set of feasible exporters, not as a prediction of realized investment.</w:t>
      </w:r>
    </w:p>
    <w:p>
      <w:pPr>
        <w:spacing w:before="0" w:after="160" w:line="360" w:lineRule="auto"/>
        <w:ind w:firstLine="0"/>
        <w:jc w:val="both"/>
      </w:pPr>
      <w:r>
        <w:t xml:space="preserve">Data-center FDI patterns support this interpretation. Among EMDEs, the largest recipients of data-center investment are Malaysia, India, and Brazil, countries with moderate electricity costs but strong regulatory frameworks and credible grid infrastructure. In contrast, the cheapest producers (Kyrgyzstan, Tajikistan, Ethiopia) received virtually no data-center FDI (</w:t>
      </w:r>
      <w:hyperlink w:anchor="AykutEtAl2026" w:history="1">
        <w:r>
          <w:rPr>
            <w:color w:val="1F3864"/>
            <w:u w:val="single"/>
          </w:rPr>
          <w:t xml:space="preserve">Aykut et al. 2026</w:t>
        </w:r>
      </w:hyperlink>
      <w:r>
        <w:t xml:space="preserve">). Most investment flows occur between geopolitical allies. This pattern is consistent with the bilateral sovereignty premium and suggests that cost alone does not determine where capacity is built (</w:t>
      </w:r>
      <w:hyperlink w:anchor="StraubEtAl2026" w:history="1">
        <w:r>
          <w:rPr>
            <w:color w:val="1F3864"/>
            <w:u w:val="single"/>
          </w:rPr>
          <w:t xml:space="preserve">Straub et al. 2026</w:t>
        </w:r>
      </w:hyperlink>
      <w:r>
        <w:t xml:space="preserve">). Econometric evidence shows that electricity costs do not predict data-center location once market size and the regulatory environment are controlled for (</w:t>
      </w:r>
      <w:bookmarkStart w:id="230" w:name="CaouiSteck2025txt"/>
      <w:hyperlink w:anchor="CaouiSteck2025" w:history="1">
        <w:r>
          <w:rPr>
            <w:color w:val="1F3864"/>
            <w:u w:val="single"/>
          </w:rPr>
          <w:t xml:space="preserve">Caoui and Steck 2025</w:t>
        </w:r>
      </w:hyperlink>
      <w:bookmarkEnd w:id="230"/>
      <w:r>
        <w:t xml:space="preserve">).</w:t>
      </w:r>
    </w:p>
    <w:p>
      <w:pPr>
        <w:spacing w:before="0" w:after="160" w:line="360" w:lineRule="auto"/>
        <w:ind w:firstLine="0"/>
        <w:jc w:val="both"/>
      </w:pPr>
      <w:r>
        <w:t xml:space="preserve">Policy-readiness indicators reinforce this interpretation. Economies with advanced AI and cloud strategies—such as Singapore, Australia, Japan, and South Korea—record estimated economic impacts from AI and cloud investment of 3–4 percent of GDP, compared with less than 1 percent in Indonesia and Viet Nam (</w:t>
      </w:r>
      <w:bookmarkStart w:id="259" w:name="KatzEtAl2025txt"/>
      <w:hyperlink w:anchor="KatzEtAl2025" w:history="1">
        <w:r>
          <w:rPr>
            <w:color w:val="1F3864"/>
            <w:u w:val="single"/>
          </w:rPr>
          <w:t xml:space="preserve">Katz et al. 2025</w:t>
        </w:r>
      </w:hyperlink>
      <w:bookmarkEnd w:id="259"/>
      <w:r>
        <w:t xml:space="preserve">). In the model, institutional quality stands in for the complementary investments that separate these groups: digital skills, regulatory predictability, and grid modernization. Countries that align digital strategies with energy-sector planning are becoming preferred destinations for hyperscalers. Examples include Malaysia’s National Energy Transition Roadmap, Brazil’s electricity mix of more than 80 percent renewables, and the UAE’s nuclear- and solar-powered AI hubs. These cases are consistent with the model’s prediction that moderate costs can attract investment when paired with credible institutions (</w:t>
      </w:r>
      <w:hyperlink w:anchor="AykutEtAl2026" w:history="1">
        <w:r>
          <w:rPr>
            <w:color w:val="1F3864"/>
            <w:u w:val="single"/>
          </w:rPr>
          <w:t xml:space="preserve">Aykut et al. 2026</w:t>
        </w:r>
      </w:hyperlink>
      <w:r>
        <w:t xml:space="preserve">).</w:t>
      </w:r>
    </w:p>
    <w:p>
      <w:pPr>
        <w:spacing w:before="0" w:after="160" w:line="360" w:lineRule="auto"/>
        <w:ind w:firstLine="0"/>
        <w:jc w:val="both"/>
      </w:pPr>
      <w:r>
        <w:t xml:space="preserve">The bilateral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reshapes trade patterns along geopolitical lines. Between allies with mutual data adequacy agreements (e.g., EU member states), the effective premium is near zero. For geopolitical adversaries, it is effectively infinite—the United States would not source training from Iran regardless of cost, and current sanctions make such transactions illegal. Column (3) of </w:t>
      </w:r>
      <w:hyperlink w:anchor="Table3" w:history="1">
        <w:r>
          <w:rPr>
            <w:color w:val="1F3864"/>
            <w:u w:val="single"/>
          </w:rPr>
          <w:t xml:space="preserve">Table 3</w:t>
        </w:r>
      </w:hyperlink>
      <w:r>
        <w:t xml:space="preserve"> reports the bilateral specification. The bilateral sovereignty premium has the strongest effect on inference. Within Europe, latency raises costs by 1–3 percent, so a small sovereignty premium can shift sourcing from foreign suppliers to domestic production.</w:t>
      </w:r>
    </w:p>
    <w:p>
      <w:pPr>
        <w:spacing w:before="0" w:after="160" w:line="360" w:lineRule="auto"/>
        <w:ind w:firstLine="0"/>
        <w:jc w:val="both"/>
      </w:pPr>
      <w:r>
        <w:rPr>
          <w:b w:val="0"/>
          <w:i/>
        </w:rPr>
        <w:t xml:space="preserve">Trade flows under capacity constraints. </w:t>
      </w:r>
      <w:r>
        <w:t xml:space="preserve">Weighting the sourcing patterns by demand shares from </w:t>
      </w:r>
      <w:bookmarkStart w:id="904" w:name="Eq4txt904"/>
      <w:hyperlink w:anchor="Eq4" w:history="1">
        <w:r>
          <w:rPr>
            <w:color w:val="1F3864"/>
            <w:u w:val="single"/>
          </w:rPr>
          <w:t xml:space="preserve">equation (4)</w:t>
        </w:r>
      </w:hyperlink>
      <w:bookmarkEnd w:id="904"/>
      <w:r>
        <w:t xml:space="preserve"> and applying capacity constraints, 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$1.60</m:t>
        </m:r>
      </m:oMath>
      <w:r>
        <w:t xml:space="preserve">/hr, set by the marginal exporter’s cost. Training demand is served by a dominant exporter (HHI = 0.984, with 3 other producers at the margin), leaving the training market close to the unconstrained benchmark of Proposition 2. </w:t>
      </w:r>
      <w:r>
        <w:t xml:space="preserve">The largest shadow values of grid capacity are in Kyrgyzstan ($0.019/hr), Ethiopia ($0.003/hr), and Kosovo ($0.001/hr), indicating modest returns to capacity expansion. </w:t>
      </w:r>
      <w:r>
        <w:t>When bilateral sovereignty premia are added, most countries switch to domestic training. The remaining export market is served by a single exporter at $1.58 per GPU-hour.</w:t>
      </w:r>
    </w:p>
    <w:p>
      <w:pPr>
        <w:spacing w:before="0" w:after="160" w:line="360" w:lineRule="auto"/>
        <w:ind w:firstLine="0"/>
        <w:jc w:val="both"/>
      </w:pPr>
      <w:r>
        <w:t xml:space="preserve">Inference exports are more dispersed, with the top five exporters being Canada (43 percent), Kyrgyzstan (26 percent), Kosovo (10 percent), Indonesia (0.9 percent), and Ukraine (0.5 percent), collectively accounting for 80 percent of cross-border inference demand (HHI = 0.265). </w:t>
      </w:r>
    </w:p>
    <w:p>
      <w:pPr>
        <w:spacing w:before="0" w:after="160" w:line="360" w:lineRule="auto"/>
        <w:ind w:firstLine="0"/>
        <w:jc w:val="both"/>
      </w:pPr>
      <w:r>
        <w:t xml:space="preserve">Among developing countries, Kyrgyzstan captures 26 percent of global inference demand by serving China, Kazakhstan, and Uzbekistan, a large share for a country with a GDP of under $15 billion. </w:t>
      </w:r>
      <w:r>
        <w:t xml:space="preserve">Kosovo serves as an inference hub for 21 countries, accounting for 10 percent of global inference demand. </w:t>
      </w:r>
    </w:p>
    <w:p>
      <w:pPr>
        <w:spacing w:before="0" w:after="160" w:line="360" w:lineRule="auto"/>
        <w:ind w:firstLine="0"/>
        <w:jc w:val="both"/>
      </w:pPr>
      <w:r>
        <w:rPr>
          <w:b w:val="0"/>
          <w:i/>
        </w:rPr>
        <w:t xml:space="preserve">Major demand centers. </w:t>
      </w:r>
      <w:r>
        <w:t xml:space="preserve">The model’s predictions differ across major AI demand centers because each faces a distinct latency geography. For the United States, the cost-recovery equilibrium sources training from the lowest-cost available producer and inference from Canada. </w:t>
      </w:r>
      <w:r>
        <w:t xml:space="preserve">For Germany, France, and the United Kingdom, inference is sourced from Kosovo. </w:t>
      </w:r>
      <w:r>
        <w:t>For China, the lowest-cost foreign inference supplier is Kyrgyzstan. Inference supply therefore clusters around latency-constrained regional hubs, with each major market served by a nearby low-cost producer.</w:t>
      </w:r>
    </w:p>
    <w:p>
      <w:pPr>
        <w:spacing w:before="0" w:after="160" w:line="360" w:lineRule="auto"/>
        <w:ind w:firstLine="0"/>
        <w:jc w:val="both"/>
      </w:pPr>
      <w:r>
        <w:t xml:space="preserve">Among these demand centers, China illustrates the DD regime. China hosts one of the world’s largest data-center markets. Yet almost all capacity is built and financed by domestic technology firms and state-owned operators, including Alibaba Cloud, Tencent, Baidu, and China Telecom (</w:t>
      </w:r>
      <w:hyperlink w:anchor="AykutEtAl2026" w:history="1">
        <w:r>
          <w:rPr>
            <w:color w:val="1F3864"/>
            <w:u w:val="single"/>
          </w:rPr>
          <w:t xml:space="preserve">Aykut et al. 2026</w:t>
        </w:r>
      </w:hyperlink>
      <w:r>
        <w:t xml:space="preserve">). This outcome fits the mechanism above: China’s sovereignty premium is effectively infinite for most Western buyers, yet its large domestic demand and moderate production costs make domestic production of both training and inference the equilibrium strategy. Government initiatives such as the Eastern Data, Western Computing project further support domestic sourcing by shifting energy-intensive computing to western provinces with cheaper power.</w:t>
      </w:r>
    </w:p>
    <w:p>
      <w:pPr>
        <w:spacing w:before="0" w:after="160" w:line="360" w:lineRule="auto"/>
        <w:ind w:firstLine="0"/>
        <w:jc w:val="both"/>
      </w:pPr>
      <w:r>
        <w:t>Raising the uniform premium to 20 percent shifts five additional countries (including Croatia, Cyprus, and Germany) to domestic training, reducing the share of global training demand available to foreign producers from 3 percent to 0 percent. Inference exports respond less to sovereignty premia because nearby suppliers retain a latency advantage.</w:t>
      </w:r>
    </w:p>
    <w:p>
      <w:pPr>
        <w:spacing w:before="0" w:after="160" w:line="360" w:lineRule="auto"/>
        <w:ind w:firstLine="0"/>
        <w:jc w:val="both"/>
      </w:pPr>
      <w:r>
        <w:rPr>
          <w:b w:val="0"/>
          <w:i/>
        </w:rPr>
        <w:t xml:space="preserve">Welfare cost of sovereignty. </w:t>
      </w:r>
      <w:r>
        <w:t xml:space="preserve">The bilateral sovereignty premium imposes a welfare cost with two components, an import markup (importers pay </w:t>
      </w:r>
      <m:oMath>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per unit above the competitive price) and an allocative inefficiency (countries with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 + </m:t>
        </m:r>
        <m:sSub>
          <m:sSubPr/>
          <m:e>
            <m:r>
              <m:rPr>
                <m:sty m:val="i"/>
              </m:rPr>
              <w:rPr>
                <w:rFonts w:ascii="Cambria Math" w:hAnsi="Cambria Math"/>
              </w:rPr>
              <m:t xml:space="preserve">λ</m:t>
            </m:r>
          </m:e>
          <m:sub>
            <m:r>
              <m:rPr>
                <m:sty m:val="i"/>
              </m:rPr>
              <w:rPr>
                <w:rFonts w:ascii="Cambria Math" w:hAnsi="Cambria Math"/>
              </w:rPr>
              <m:t xml:space="preserve">ij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produce domestically at above-world-price costs). Under capacity constraints, both components are smaller than in the unconstrained model because the higher world price narrows the gap between domestic and import costs. The demand-weighted welfare cost is 1.6 percent of total compute spending, in the range of the welfare gains from trade in goods estimated in the quantitative trade literature, which range from roughly 0.2 percent to 10 percent depending on country size and specification (</w:t>
      </w:r>
      <w:bookmarkStart w:id="233" w:name="EatonKortum2002txt"/>
      <w:hyperlink w:anchor="EatonKortum2002" w:history="1">
        <w:r>
          <w:rPr>
            <w:color w:val="1F3864"/>
            <w:u w:val="single"/>
          </w:rPr>
          <w:t xml:space="preserve">Eaton and Kortum 2002</w:t>
        </w:r>
      </w:hyperlink>
      <w:bookmarkEnd w:id="233"/>
      <w:r>
        <w:t xml:space="preserve">, </w:t>
      </w:r>
      <w:bookmarkStart w:id="260" w:name="ACR2012txt"/>
      <w:hyperlink w:anchor="ACR2012" w:history="1">
        <w:r>
          <w:rPr>
            <w:color w:val="1F3864"/>
            <w:u w:val="single"/>
          </w:rPr>
          <w:t xml:space="preserve">Arkolakis et al. 2012</w:t>
        </w:r>
      </w:hyperlink>
      <w:bookmarkEnd w:id="260"/>
      <w:r>
        <w:t xml:space="preserve">). At current demand levels (approximately 6 × 10¹⁰ GPU-hours at $1.50/hr), this amounts to roughly $1.44 billion per year. At this scale, governments can rationally choose domestic production for sensitive workloads. Examples include military applications, health records, and national statistical systems.</w:t>
      </w:r>
    </w:p>
    <w:p>
      <w:pPr>
        <w:spacing w:before="0" w:after="160" w:line="360" w:lineRule="auto"/>
        <w:ind w:firstLine="0"/>
        <w:jc w:val="both"/>
      </w:pPr>
      <w:r>
        <w:t>The welfare implications depend on whether the sovereignty premium reflects genuine security concerns or overly broad regulation. Domestic processing may be justified for confidential data, but current policy often extends the logic of sovereignty to routine commercial computation. In the model, the bilateral premium shifts most countries toward domestic production, reducing the gains from specialization. The welfare cost is large in dollar terms but modest relative to total compute spending. Because part of the premium reflects weak international data governance, enforceable data-protection agreements, such as those within the EU, reduce it. In their absence, even commercial buyers have reason to choose domestic processing over cheaper foreign supply.</w:t>
      </w:r>
    </w:p>
    <w:p>
      <w:pPr>
        <w:spacing w:before="0" w:after="160" w:line="360" w:lineRule="auto"/>
        <w:ind w:firstLine="0"/>
        <w:jc w:val="both"/>
      </w:pPr>
      <w:r>
        <w:t xml:space="preserve">Sovereignty preferences are not limited to developing countries: France’s SecNumCloud certification mandates EU-only data hosting and staffing, effectively excluding U.S. hyperscalers from sovereign workloads. Developing countries that adopt broad data localization requirements risk foreclosing both import savings and regional export opportunities, the specialization gains that the model predicts. The </w:t>
      </w:r>
      <w:bookmarkStart w:id="234" w:name="WorldBank2025txt"/>
      <w:hyperlink w:anchor="WorldBank2025" w:history="1">
        <w:r>
          <w:rPr>
            <w:color w:val="1F3864"/>
            <w:u w:val="single"/>
          </w:rPr>
          <w:t xml:space="preserve">World Bank (2025)</w:t>
        </w:r>
      </w:hyperlink>
      <w:bookmarkEnd w:id="234"/>
      <w:r>
        <w:t xml:space="preserve"> frames this as a core policy trade-off: building domestic capacity versus securing affordable access to international cloud services.</w:t>
      </w:r>
    </w:p>
    <w:p>
      <w:pPr>
        <w:pStyle w:val="Heading1"/>
      </w:pPr>
      <w:r>
        <w:rPr>
          <w:rFonts w:ascii="Times New Roman" w:hAnsi="Times New Roman"/>
          <w:color w:val="2F5496"/>
          <w:sz w:val="28"/>
        </w:rPr>
        <w:t>7. Robustness, Caveats, and Extensions</w:t>
      </w:r>
    </w:p>
    <w:p>
      <w:pPr>
        <w:pStyle w:val="Heading2"/>
      </w:pPr>
      <w:r>
        <w:rPr>
          <w:rFonts w:ascii="Times New Roman" w:hAnsi="Times New Roman"/>
          <w:b w:val="0"/>
          <w:i/>
          <w:color w:val="2F5496"/>
          <w:sz w:val="24"/>
        </w:rPr>
        <w:t>7.1 Robustness to parameter variation</w:t>
      </w:r>
    </w:p>
    <w:p>
      <w:pPr>
        <w:spacing w:before="0" w:after="160" w:line="360" w:lineRule="auto"/>
        <w:ind w:firstLine="0"/>
        <w:jc w:val="both"/>
      </w:pPr>
      <w:r>
        <w:rPr>
          <w:b w:val="0"/>
          <w:i/>
        </w:rPr>
        <w:t xml:space="preserve">Sensitivity analysis. </w:t>
      </w:r>
      <w:r>
        <w:t xml:space="preserve">Cost rankings are robust to substantial variations in parameters. </w:t>
      </w:r>
      <w:bookmarkStart w:id="143" w:name="TableA3txt"/>
      <w:hyperlink w:anchor="TableA3" w:history="1">
        <w:r>
          <w:rPr>
            <w:color w:val="1F3864"/>
            <w:u w:val="single"/>
          </w:rPr>
          <w:t xml:space="preserve">Table A3</w:t>
        </w:r>
      </w:hyperlink>
      <w:bookmarkEnd w:id="143"/>
      <w:r>
        <w:t xml:space="preserve"> (Appendix C) reports results across three robustness specifications that vary the share of hardware costs. A rise in global hardware costs increases the globally priced cost share, compressing the locally penalized component and muting governance penalties for developing-country exporters. On the other hand, improved cooling technology that flattens the PUE–temperature curve narrows the advantage of cold-climate countries but leaves energy-price differences intact. A reduction in sovereignty frictions shifts countries from domestic production to importing. This expands trade volumes but reduces exporter rents.</w:t>
      </w:r>
    </w:p>
    <w:p>
      <w:pPr>
        <w:spacing w:before="0" w:after="160" w:line="360" w:lineRule="auto"/>
        <w:ind w:firstLine="0"/>
        <w:jc w:val="both"/>
      </w:pPr>
      <w:r>
        <w:rPr>
          <w:b w:val="0"/>
          <w:i/>
        </w:rPr>
        <w:t xml:space="preserve">Hardware cost share. </w:t>
      </w:r>
      <w:r>
        <w:t xml:space="preserve">Varying </w:t>
      </w:r>
      <m:oMath>
        <m:r>
          <m:rPr>
            <m:sty m:val="i"/>
          </m:rPr>
          <w:rPr>
            <w:rFonts w:ascii="Cambria Math" w:hAnsi="Cambria Math"/>
          </w:rPr>
          <m:t xml:space="preserve">ρ</m:t>
        </m:r>
      </m:oMath>
      <w:r>
        <w:t xml:space="preserve"> by ±4 percent changes the composition of the top fifteen countries, but the qualitative result is stable across all specifications. Because hardware is globally priced and dominates unit cost, a higher </w:t>
      </w:r>
      <m:oMath>
        <m:r>
          <m:rPr>
            <m:sty m:val="i"/>
          </m:rPr>
          <w:rPr>
            <w:rFonts w:ascii="Cambria Math" w:hAnsi="Cambria Math"/>
          </w:rPr>
          <m:t xml:space="preserve">ρ</m:t>
        </m:r>
      </m:oMath>
      <w:r>
        <w:t xml:space="preserve"> compresses the cross-country cost spread, making electricity price differences less decisive and facilitating entry by developing countries. Countries that combine cheap energy with adequate governance retain their cost advantage regardless of the chosen parameter.</w:t>
      </w:r>
    </w:p>
    <w:p>
      <w:pPr>
        <w:spacing w:before="0" w:after="160" w:line="360" w:lineRule="auto"/>
        <w:ind w:firstLine="0"/>
        <w:jc w:val="both"/>
      </w:pPr>
      <w:r>
        <w:rPr>
          <w:b w:val="0"/>
          <w:i/>
        </w:rPr>
        <w:t xml:space="preserve">Uniform sovereignty premium. </w:t>
      </w:r>
      <w:r>
        <w:t xml:space="preserve">As a robustness check, we compute the equilibrium under a uniform premium </w:t>
      </w:r>
      <m:oMath>
        <m:r>
          <m:rPr>
            <m:sty m:val="i"/>
          </m:rPr>
          <w:rPr>
            <w:rFonts w:ascii="Cambria Math" w:hAnsi="Cambria Math"/>
          </w:rPr>
          <m:t xml:space="preserve">λ</m:t>
        </m:r>
        <m:r>
          <m:rPr>
            <m:sty m:val="p"/>
          </m:rPr>
          <w:rPr>
            <w:rFonts w:ascii="Cambria Math" w:hAnsi="Cambria Math"/>
          </w:rPr>
          <m:t xml:space="preserve"> = 0.10</m:t>
        </m:r>
      </m:oMath>
      <w:r>
        <w:t>. The uniform premium produces similar regime assignments: most countries produce domestically under either specification. The main difference is that the bilateral premium excludes sanctioned countries from serving any demand center, while the uniform premium treats all pairs identically. The bilateral specification is preferred because it captures observed cross-country heterogeneity.</w:t>
      </w:r>
    </w:p>
    <w:p>
      <w:pPr>
        <w:spacing w:before="0" w:after="160" w:line="360" w:lineRule="auto"/>
        <w:ind w:firstLine="0"/>
        <w:jc w:val="both"/>
      </w:pPr>
      <w:r>
        <w:rPr>
          <w:b w:val="0"/>
          <w:i/>
        </w:rPr>
        <w:t xml:space="preserve">Sovereignty tiers. </w:t>
      </w:r>
      <w:r>
        <w:t xml:space="preserve">Each country’s demand is divided into three tiers: sovereign workloads (10 percent, domestic only), regulated workloads (20 percent, higher regulatory compatibility weight), and commercial workloads (70 percent, geopolitical alignment only). Under calibrated parameters, tiering leaves regime assignments unchanged for all countries, so </w:t>
      </w:r>
      <w:hyperlink w:anchor="Table3" w:history="1">
        <w:r>
          <w:rPr>
            <w:color w:val="1F3864"/>
            <w:u w:val="single"/>
          </w:rPr>
          <w:t xml:space="preserve">Table 3</w:t>
        </w:r>
      </w:hyperlink>
      <w:r>
        <w:t xml:space="preserve"> omits a separate tiered column. Tiering primarily affects inference sourcing: regulated workloads shift toward suppliers with strong data governance, favoring EU and APEC CBPR participants over closer but less regulated alternatives.</w:t>
      </w:r>
      <w:r>
        <w:rPr>
          <w:rStyle w:val="FootnoteReference"/>
        </w:rPr>
        <w:footnoteReference w:id="17"/>
      </w:r>
    </w:p>
    <w:p>
      <w:pPr>
        <w:pStyle w:val="Heading2"/>
      </w:pPr>
      <w:r>
        <w:rPr>
          <w:rFonts w:ascii="Times New Roman" w:hAnsi="Times New Roman"/>
          <w:b w:val="0"/>
          <w:i/>
          <w:color w:val="2F5496"/>
          <w:sz w:val="24"/>
        </w:rPr>
        <w:t>7.2 Caveats and omitted frictions</w:t>
      </w:r>
    </w:p>
    <w:p>
      <w:pPr>
        <w:spacing w:before="0" w:after="160" w:line="360" w:lineRule="auto"/>
        <w:ind w:firstLine="0"/>
        <w:jc w:val="both"/>
      </w:pPr>
      <w:r>
        <w:t>The calibration adjusts for energy subsidies and institutional quality, but several constraints remain outside the model and would further narrow the set of viable exporters. GPU export controls bar Iran, Russia, and Belarus from acquiring current-generation hardware. Water scarcity constrains cooling in the Middle East and North Africa; hyperscale data centers can consume billions of liters of water annually, and next-generation high-density GPU clusters increasingly rely on liquid-cooling technologies, intensifying this pressure in water-stressed economies. Regulated tariffs in many developing countries cover operating expenses but not the full capital cost, raising concerns about financial sustainability. Exporting compute at scale while the domestic energy sector cannot maintain its capital stock may prove politically unsustainable. Finally, logistics costs and local distribution markups can raise effective GPU prices by 5–15 percent in developing countries that are not subject to export bans, eroding the thin cost advantages. These omitted constraints all work against developing-country competitiveness. The calibration results should therefore be read as upper bounds.</w:t>
      </w:r>
    </w:p>
    <w:p>
      <w:pPr>
        <w:spacing w:before="0" w:after="160" w:line="360" w:lineRule="auto"/>
        <w:ind w:firstLine="0"/>
        <w:jc w:val="both"/>
      </w:pPr>
      <w:r>
        <w:rPr>
          <w:b w:val="0"/>
          <w:i/>
        </w:rPr>
        <w:t xml:space="preserve">Endogenous electricity prices. </w:t>
      </w:r>
      <w:r>
        <w:t xml:space="preserve">The model treats electricity prices as fixed. In small countries with low-cost power, a hyperscale facility can be large relative to the host grid — a 100 MW data center would consume roughly 3 percent of Kyrgyzstan’s 3,800 MW national output. At the multi-facility scale, data centers would compete with residential and industrial electricity demand, making regulatory intervention likely. The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partially addresses this, but the fixed-price assumption implies that the cost advantages in </w:t>
      </w:r>
      <w:hyperlink w:anchor="TableA1" w:history="1">
        <w:r>
          <w:rPr>
            <w:color w:val="1F3864"/>
            <w:u w:val="single"/>
          </w:rPr>
          <w:t xml:space="preserve">Table A1</w:t>
        </w:r>
      </w:hyperlink>
      <w:r>
        <w:t xml:space="preserve"> are upper bounds. Allowing electricity supply curves to slope upward would narrow these apparent advantages. Evidence from the US suggests the AI workloads, combined with broader electrification, could raise wholesale electricity prices by roughly 19 percent between 2025 and 2028 (</w:t>
      </w:r>
      <w:bookmarkStart w:id="235" w:name="Chandramowli2024txt"/>
      <w:hyperlink w:anchor="Chandramowli2024" w:history="1">
        <w:r>
          <w:rPr>
            <w:color w:val="1F3864"/>
            <w:u w:val="single"/>
          </w:rPr>
          <w:t xml:space="preserve">Chandramowli et al. 2024</w:t>
        </w:r>
      </w:hyperlink>
      <w:bookmarkEnd w:id="235"/>
      <w:r>
        <w:t xml:space="preserve">), and AI data-center expansion alone could increase retail prices by 8–9 percent by 2030 (</w:t>
      </w:r>
      <w:hyperlink w:anchor="IMF2025" w:history="1">
        <w:r>
          <w:rPr>
            <w:color w:val="1F3864"/>
            <w:u w:val="single"/>
          </w:rPr>
          <w:t xml:space="preserve">IMF 2025</w:t>
        </w:r>
      </w:hyperlink>
      <w:r>
        <w:t xml:space="preserve">). </w:t>
      </w:r>
      <w:bookmarkStart w:id="261" w:name="AlvarezEtAl2026txt"/>
      <w:hyperlink w:anchor="AlvarezEtAl2026" w:history="1">
        <w:r>
          <w:rPr>
            <w:color w:val="1F3864"/>
            <w:u w:val="single"/>
          </w:rPr>
          <w:t xml:space="preserve">Alvarez et al. (2026)</w:t>
        </w:r>
      </w:hyperlink>
      <w:bookmarkEnd w:id="261"/>
      <w:r>
        <w:t xml:space="preserve"> find that in the US, a one-unit increase in log cumulative data-center revenue raises local electricity prices by roughly 0.9 percent. Counties that have ever hosted a data center have retail prices about 3.9 percent higher. For small grids such as Kyrgyzstan’s, the proportional impact would likely be larger, further eroding the cost advantages documented above.</w:t>
      </w:r>
    </w:p>
    <w:p>
      <w:pPr>
        <w:spacing w:before="0" w:after="160" w:line="360" w:lineRule="auto"/>
        <w:ind w:firstLine="0"/>
        <w:jc w:val="both"/>
      </w:pPr>
      <w:r>
        <w:t>Newer GPUs, such as NVIDIA’s B200, increase training throughput substantially but also raise power draw to roughly 1 kW. Higher power draw makes electricity prices more important, which modestly strengthens the advantage of low-cost power producers. Because higher capital costs lead developing economies to refresh GPUs less frequently, they are more likely to operate older, less efficient hardware, raising their cost per effective FLOP and partly offsetting their electricity-cost advantage. The qualitative ranking is not driven by the choice of GPU generation.</w:t>
      </w:r>
    </w:p>
    <w:p>
      <w:pPr>
        <w:spacing w:before="0" w:after="160" w:line="360" w:lineRule="auto"/>
        <w:ind w:firstLine="0"/>
        <w:jc w:val="both"/>
      </w:pPr>
      <w:r>
        <w:rPr>
          <w:b w:val="0"/>
          <w:i/>
        </w:rPr>
        <w:t xml:space="preserve">Form of the sovereignty wedge.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modeled as an ad valorem markup on the cost of compute. This specification is standard in the services trade, but it simplifies how sovereignty frictions operate. Many sovereignty frictions are closer to fixed entry costs than to variable markups. Cloud security certifications, sanctions screening, export control compliance, and bilateral digital services agreements all raise the cost of entering a market. Our model also treats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as fixed, but in practice, sanctions, export-control revisions, and regulatory reversals arrive as exogenous shocks. The impact of these two assumptions on the stability of our results could be assessed through a Monte Carlo simulation using stochastic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and fixed costs. Both extensions would likely make entry harder for developing-country exporters, so they should strengthen rather than weaken the main result.</w:t>
      </w:r>
    </w:p>
    <w:p>
      <w:pPr>
        <w:spacing w:before="0" w:after="160" w:line="360" w:lineRule="auto"/>
        <w:ind w:firstLine="0"/>
        <w:jc w:val="both"/>
      </w:pPr>
      <w:r>
        <w:rPr>
          <w:b w:val="0"/>
          <w:i/>
        </w:rPr>
        <w:t xml:space="preserve">Cost of capital. </w:t>
      </w:r>
      <w:r>
        <w:t xml:space="preserve">Because hardware dominates the cost stack, financing terms can determine the ranking. At an 8 percent WACC, an OECD hyperscaler pays about $1.58 per GPU-hour in hardware costs. At an 18 percent WACC, a locally financed developing-country operator pays $1.87, a $0.29 gap on hardware alone (</w:t>
      </w:r>
      <w:hyperlink w:anchor="Calcaterra2024" w:history="1">
        <w:r>
          <w:rPr>
            <w:color w:val="1F3864"/>
            <w:u w:val="single"/>
          </w:rPr>
          <w:t xml:space="preserve">Calcaterra et al. 2024</w:t>
        </w:r>
      </w:hyperlink>
      <w:r>
        <w:t xml:space="preserve">). Column (4) of </w:t>
      </w:r>
      <w:hyperlink w:anchor="Table3" w:history="1">
        <w:r>
          <w:rPr>
            <w:color w:val="1F3864"/>
            <w:u w:val="single"/>
          </w:rPr>
          <w:t xml:space="preserve">Table 3</w:t>
        </w:r>
      </w:hyperlink>
      <w:r>
        <w:t xml:space="preserve"> reports the cost-recovery ranking with hardware amortized at each country’s income-group WACC, using 8 percent for HICs, 12 percent for UMICs, 15 percent for LMICs, and 18 percent for LICs. Once financing costs enter, cheap electricity explains less of the ranking, and several regime classifications shift.</w:t>
      </w:r>
    </w:p>
    <w:p>
      <w:pPr>
        <w:spacing w:before="0" w:after="160" w:line="360" w:lineRule="auto"/>
        <w:ind w:firstLine="0"/>
        <w:jc w:val="both"/>
      </w:pPr>
      <w:r>
        <w:t xml:space="preserve">Institutional credibility enters the compute trade through two channels: the sovereignty premium </w:t>
      </w:r>
      <m:oMath>
        <m:sSub>
          <m:sSubPr/>
          <m:e>
            <m:r>
              <m:rPr>
                <m:sty m:val="i"/>
              </m:rPr>
              <w:rPr>
                <w:rFonts w:ascii="Cambria Math" w:hAnsi="Cambria Math"/>
              </w:rPr>
              <m:t xml:space="preserve">λ</m:t>
            </m:r>
          </m:e>
          <m:sub>
            <m:r>
              <m:rPr>
                <m:sty m:val="i"/>
              </m:rPr>
              <w:rPr>
                <w:rFonts w:ascii="Cambria Math" w:hAnsi="Cambria Math"/>
              </w:rPr>
              <m:t xml:space="preserve">ij</m:t>
            </m:r>
          </m:sub>
        </m:sSub>
      </m:oMath>
      <w:r>
        <w:t xml:space="preserve"> and the cost of capital facing any locally financed operator. Hyperscaler-led foreign direct investment partially bypasses the financial channel. If a multinational owns, finances, and operates the facility outright, it may fund at its home WACC — but partial ownership, local debt, sovereign guarantees, and the pass-through of country risk to operating agreements reintroduce the channel in proportion to the host country’s financial exposure. A fully hyperscaler-financed project is therefore best treated as a limiting case rather than the baseline. For this reason, Column (4) is the more realistic benchmark for assessing whether developing countries can capture compute-export rents with domestic capital.</w:t>
      </w:r>
    </w:p>
    <w:p>
      <w:pPr>
        <w:pStyle w:val="Heading2"/>
      </w:pPr>
      <w:r>
        <w:rPr>
          <w:rFonts w:ascii="Times New Roman" w:hAnsi="Times New Roman"/>
          <w:b w:val="0"/>
          <w:i/>
          <w:color w:val="2F5496"/>
          <w:sz w:val="24"/>
        </w:rPr>
        <w:t>7.3 Extensions</w:t>
      </w:r>
    </w:p>
    <w:p>
      <w:pPr>
        <w:spacing w:before="0" w:after="160" w:line="360" w:lineRule="auto"/>
        <w:ind w:firstLine="0"/>
        <w:jc w:val="both"/>
      </w:pPr>
      <w:r>
        <w:rPr>
          <w:b w:val="0"/>
          <w:i/>
        </w:rPr>
        <w:t xml:space="preserve">Edge computing. </w:t>
      </w:r>
      <w:r>
        <w:t xml:space="preserve">Edge computing could relax one of the model’s central constraints. As more AI demand comes from real-time inference on lightweight models deployed on local devices, the capacity constraint for inference becomes less binding: inference need not be concentrated in large data centers but can be distributed across many small nodes connected via existing mobile networks. If this trend accelerates, inference exports may become less concentrated, and more countries could serve regional demand. For EMDEs with weak grid infrastructure but adequate mobile connectivity, edge computing may offer a leapfrogging path that bypasses the grid bottlenecks central to the model (</w:t>
      </w:r>
      <w:hyperlink w:anchor="AykutEtAl2026" w:history="1">
        <w:r>
          <w:rPr>
            <w:color w:val="1F3864"/>
            <w:u w:val="single"/>
          </w:rPr>
          <w:t xml:space="preserve">Aykut et al. 2026</w:t>
        </w:r>
      </w:hyperlink>
      <w:r>
        <w:t xml:space="preserve">). A fuller trade model could distinguish centralized GPU clusters for training from distributed edge nodes for inference.</w:t>
      </w:r>
    </w:p>
    <w:p>
      <w:pPr>
        <w:pStyle w:val="Heading1"/>
      </w:pPr>
      <w:r>
        <w:rPr>
          <w:rFonts w:ascii="Times New Roman" w:hAnsi="Times New Roman"/>
          <w:color w:val="2F5496"/>
          <w:sz w:val="28"/>
        </w:rPr>
        <w:t>8. Conclusion</w:t>
      </w:r>
    </w:p>
    <w:p>
      <w:pPr>
        <w:spacing w:before="0" w:after="160" w:line="360" w:lineRule="auto"/>
        <w:ind w:firstLine="0"/>
        <w:jc w:val="both"/>
      </w:pPr>
      <w:r>
        <w:t>Energy-rich developing countries can produce compute at low cost, but low cost alone does not make them exporters. Training can be traded globally, inference is constrained by latency, and both are affected by bilateral sovereignty frictions. Because hardware is globally priced, electricity and cooling create only a thin cost advantage, while the institutional frictions facing developing-country suppliers are often wider than that advantage.</w:t>
      </w:r>
    </w:p>
    <w:p>
      <w:pPr>
        <w:spacing w:before="0" w:after="160" w:line="360" w:lineRule="auto"/>
        <w:ind w:firstLine="0"/>
        <w:jc w:val="both"/>
      </w:pPr>
      <w:r>
        <w:t>The 85-country calibration shows that hardware dominance compresses cross-country differences in production costs. Cheap electricity and favorable cooling can make countries cost-competitive quickly, but modest frictions, including a sovereignty premium, weak governance, or a higher cost of capital, can erase that advantage. Compute may therefore be unusually accessible on engineering grounds, yet unusually exposed to policy and financing frictions because the production-cost spread is narrow.</w:t>
      </w:r>
    </w:p>
    <w:p>
      <w:pPr>
        <w:spacing w:before="0" w:after="160" w:line="360" w:lineRule="auto"/>
        <w:ind w:firstLine="0"/>
        <w:jc w:val="both"/>
      </w:pPr>
      <w:r>
        <w:t xml:space="preserve">Under the bilateral sovereignty specification, weak institutional credibility eliminates much of the cost advantage that developing countries hold under pure cost-recovery pricing. The binding constraint is often not the electricity price itself but rather non-sanctioned status, credible long-term power contracts, stable network connectivity, enforceable data governance rules, and a regulatory environment that supports capital-intensive investment. Where those conditions are absent, buyers shift toward domestic production despite higher production costs. The resulting welfare loss is large in dollars but modest relative to total compute spending, at about 1.6 percent, so governments with legitimate data-sovereignty objectives may rationally choose domestic supply. </w:t>
      </w:r>
    </w:p>
    <w:p>
      <w:pPr>
        <w:spacing w:before="0" w:after="160" w:line="360" w:lineRule="auto"/>
        <w:ind w:firstLine="0"/>
        <w:jc w:val="both"/>
      </w:pPr>
      <w:r>
        <w:t>For developing countries pursuing compute exports, the binding policy levers lie mostly outside the electricity tariffs. The first is financing. Because hardware dominates the cost stack, differences in the weighted average cost of capital can exceed the energy-cost advantage by several times. Sovereign guarantees, blended finance, multilateral risk insurance, and hyperscaler co-investment can therefore narrow the competitiveness gap more than any feasible reduction in electricity tariffs. The second lever is regulatory credibility. Data-adequacy status, mutual recognition agreements, and recognized cloud security certifications reduce the trust premium applied by foreign buyers. Broad data-localization mandates raise that premium and can foreclose export opportunities.</w:t>
      </w:r>
    </w:p>
    <w:p>
      <w:pPr>
        <w:spacing w:before="0" w:after="160" w:line="360" w:lineRule="auto"/>
        <w:ind w:firstLine="0"/>
        <w:jc w:val="both"/>
      </w:pPr>
      <w:r>
        <w:t>The final policy question is how much surplus the host country captures. The Kyrgyzstan facility in Appendix D is NPV-positive, but under full foreign-hyperscaler ownership, the host country retains little beyond electricity payments and construction-phase jobs. The domestic share of operating surplus depends on taxation, equity participation, and royalty terms. Cheap energy can make a country cost-competitive, but rent capture depends on financing, governance, and ownership.</w:t>
      </w:r>
    </w:p>
    <w:p>
      <w:pPr>
        <w:spacing w:before="0" w:after="160" w:line="360" w:lineRule="auto"/>
        <w:ind w:firstLine="0"/>
        <w:jc w:val="both"/>
      </w:pPr>
      <w:r>
        <w:t>The policy implications differ for training and inference. Restricting training imports raises costs without improving service quality, because training has no meaningful proximity advantage. Domestic inference production is easier to justify, since low latency can provide a genuine quality-of-service benefit, although that rationale weakens for countries located near low-cost regional hubs.</w:t>
      </w:r>
    </w:p>
    <w:p>
      <w:pPr>
        <w:spacing w:before="0" w:after="160" w:line="360" w:lineRule="auto"/>
        <w:ind w:firstLine="0"/>
        <w:jc w:val="both"/>
      </w:pPr>
      <w:r>
        <w:t>FLOP exporting is best understood as capital-intensive resource processing: imported equipment converts local energy into an exportable digital service with minimal domestic labor input. Unlike extractive commodities, the energy input can be renewable, and demand for compute is growing faster than demand for most physical commodities. Still, the resource-curse literature remains relevant because concentrated compute-export revenues can generate exchange-rate pressure, institutional risks, and exposure to demand cycles. Whether these risks materialize depends on ownership structures, fiscal arrangements, and domestic rent capture. As bilateral compute-trade data become available, this framework can be estimated using gravity-style methods.</w:t>
      </w:r>
    </w:p>
    <w:p>
      <w:pPr>
        <w:pStyle w:val="Heading1"/>
        <w:pageBreakBefore/>
      </w:pPr>
      <w:r>
        <w:rPr>
          <w:rFonts w:ascii="Times New Roman" w:hAnsi="Times New Roman"/>
          <w:color w:val="2F5496"/>
          <w:sz w:val="28"/>
        </w:rPr>
        <w:t>References</w:t>
      </w:r>
    </w:p>
    <w:p>
      <w:pPr>
        <w:spacing w:before="0" w:after="80" w:line="240" w:lineRule="exact"/>
        <w:ind w:hanging="720" w:left="720"/>
        <w:jc w:val="both"/>
      </w:pPr>
      <w:bookmarkStart w:id="500" w:name="AlvarezEtAl2026"/>
      <w:hyperlink w:anchor="AlvarezEtAl2026txt" w:history="1">
        <w:r>
          <w:rPr>
            <w:color w:val="1F3864"/>
            <w:u w:val="single"/>
          </w:rPr>
          <w:t xml:space="preserve">Alvarez, F., Argente, D., Chow, J., and D. Van Patten. (2026). </w:t>
        </w:r>
      </w:hyperlink>
      <w:r>
        <w:t xml:space="preserve">“Data Centers and Local Economies in the Age of AI: A Shift-Share Approach.” </w:t>
      </w:r>
      <w:r>
        <w:rPr>
          <w:i/>
        </w:rPr>
        <w:t>NBER Working Paper</w:t>
      </w:r>
      <w:r>
        <w:t xml:space="preserve"> No. 35194.</w:t>
      </w:r>
      <w:bookmarkEnd w:id="500"/>
    </w:p>
    <w:p>
      <w:pPr>
        <w:spacing w:before="0" w:after="80" w:line="240" w:lineRule="exact"/>
        <w:ind w:hanging="720" w:left="720"/>
        <w:jc w:val="both"/>
      </w:pPr>
      <w:bookmarkStart w:id="501" w:name="AndersonMarcouiller2002"/>
      <w:hyperlink w:anchor="AndersonMarcouiller2002txt" w:history="1">
        <w:r>
          <w:rPr>
            <w:color w:val="1F3864"/>
            <w:u w:val="single"/>
          </w:rPr>
          <w:t xml:space="preserve">Anderson, J. and D. Marcouiller. (2002). </w:t>
        </w:r>
      </w:hyperlink>
      <w:r>
        <w:t xml:space="preserve">“Insecure Trade: Reduced-Form Evidence.” </w:t>
      </w:r>
      <w:r>
        <w:rPr>
          <w:i/>
        </w:rPr>
        <w:t>Review of Economics and Statistics</w:t>
      </w:r>
      <w:r>
        <w:t>, 84(2): 342–352.</w:t>
      </w:r>
      <w:bookmarkEnd w:id="501"/>
    </w:p>
    <w:p>
      <w:pPr>
        <w:spacing w:before="0" w:after="80" w:line="240" w:lineRule="exact"/>
        <w:ind w:hanging="720" w:left="720"/>
        <w:jc w:val="both"/>
      </w:pPr>
      <w:bookmarkStart w:id="502" w:name="AndersonVanWincoop2003"/>
      <w:hyperlink w:anchor="AndersonVanWincoop2003txt" w:history="1">
        <w:r>
          <w:rPr>
            <w:color w:val="1F3864"/>
            <w:u w:val="single"/>
          </w:rPr>
          <w:t xml:space="preserve">Anderson, J. and E. van Wincoop. (2003). </w:t>
        </w:r>
      </w:hyperlink>
      <w:r>
        <w:t xml:space="preserve">“Gravity with Gravitas: A Solution to the Border Puzzle.” </w:t>
      </w:r>
      <w:r>
        <w:rPr>
          <w:i/>
        </w:rPr>
        <w:t>American Economic Review</w:t>
      </w:r>
      <w:r>
        <w:t>, 93(1): 170–192.</w:t>
      </w:r>
      <w:bookmarkEnd w:id="502"/>
    </w:p>
    <w:p>
      <w:pPr>
        <w:spacing w:before="0" w:after="80" w:line="240" w:lineRule="exact"/>
        <w:ind w:hanging="720" w:left="720"/>
        <w:jc w:val="both"/>
      </w:pPr>
      <w:bookmarkStart w:id="503" w:name="Antras2003"/>
      <w:hyperlink w:anchor="Antras2003txt" w:history="1">
        <w:r>
          <w:rPr>
            <w:color w:val="1F3864"/>
            <w:u w:val="single"/>
          </w:rPr>
          <w:t xml:space="preserve">Antràs, P. (2003). </w:t>
        </w:r>
      </w:hyperlink>
      <w:r>
        <w:t xml:space="preserve">“Firms, Contracts, and Trade Structure.” </w:t>
      </w:r>
      <w:r>
        <w:rPr>
          <w:i/>
        </w:rPr>
        <w:t>Quarterly Journal of Economics</w:t>
      </w:r>
      <w:r>
        <w:t>, 118(4): 1375–1418.</w:t>
      </w:r>
      <w:bookmarkEnd w:id="503"/>
    </w:p>
    <w:p>
      <w:pPr>
        <w:spacing w:before="0" w:after="80" w:line="240" w:lineRule="exact"/>
        <w:ind w:hanging="720" w:left="720"/>
        <w:jc w:val="both"/>
      </w:pPr>
      <w:bookmarkStart w:id="504" w:name="ACR2012"/>
      <w:hyperlink w:anchor="ACR2012txt" w:history="1">
        <w:r>
          <w:rPr>
            <w:color w:val="1F3864"/>
            <w:u w:val="single"/>
          </w:rPr>
          <w:t xml:space="preserve">Arkolakis, C., Costinot, A., and A. Rodríguez-Clare. (2012). </w:t>
        </w:r>
      </w:hyperlink>
      <w:r>
        <w:t xml:space="preserve">“New Trade Models, Same Old Gains?” </w:t>
      </w:r>
      <w:r>
        <w:rPr>
          <w:i/>
        </w:rPr>
        <w:t>American Economic Review</w:t>
      </w:r>
      <w:r>
        <w:t>, 102(1): 94–130.</w:t>
      </w:r>
      <w:bookmarkEnd w:id="504"/>
    </w:p>
    <w:p>
      <w:pPr>
        <w:spacing w:before="0" w:after="80" w:line="240" w:lineRule="exact"/>
        <w:ind w:hanging="720" w:left="720"/>
        <w:jc w:val="both"/>
      </w:pPr>
      <w:bookmarkStart w:id="505" w:name="ADB2020"/>
      <w:hyperlink w:anchor="ADB2020txt" w:history="1">
        <w:r>
          <w:rPr>
            <w:color w:val="1F3864"/>
            <w:u w:val="single"/>
          </w:rPr>
          <w:t xml:space="preserve">Asian Development Bank. (2020). </w:t>
        </w:r>
      </w:hyperlink>
      <w:r>
        <w:t>“Toktogul Rehabilitation Project Phase 3: Sector Assessment.” Asian Development Bank. Report No. 49013-002.</w:t>
      </w:r>
      <w:bookmarkEnd w:id="505"/>
    </w:p>
    <w:p>
      <w:pPr>
        <w:spacing w:before="0" w:after="80" w:line="240" w:lineRule="exact"/>
        <w:ind w:hanging="720" w:left="720"/>
        <w:jc w:val="both"/>
      </w:pPr>
      <w:bookmarkStart w:id="506" w:name="AykutEtAl2026"/>
      <w:hyperlink w:anchor="AykutEtAl2026txt" w:history="1">
        <w:r>
          <w:rPr>
            <w:color w:val="1F3864"/>
            <w:u w:val="single"/>
          </w:rPr>
          <w:t xml:space="preserve">Aykut, D., Ozyurt, S., Jung, K., and E. Vergara Cobos. (2026). </w:t>
        </w:r>
      </w:hyperlink>
      <w:r>
        <w:t xml:space="preserve">“Data Center and AI Investment in EMDEs: Risks and Opportunities.” </w:t>
      </w:r>
      <w:r>
        <w:rPr>
          <w:i/>
        </w:rPr>
        <w:t>Watch This Space</w:t>
      </w:r>
      <w:r>
        <w:t xml:space="preserve">. Washington, DC: </w:t>
      </w:r>
      <w:bookmarkStart w:id="238" w:name="WorldBank2024txt"/>
      <w:hyperlink w:anchor="WorldBank2024" w:history="1">
        <w:r>
          <w:rPr>
            <w:color w:val="1F3864"/>
            <w:u w:val="single"/>
          </w:rPr>
          <w:t xml:space="preserve">World Bank</w:t>
        </w:r>
      </w:hyperlink>
      <w:bookmarkEnd w:id="238"/>
      <w:r>
        <w:t xml:space="preserve"> Group.</w:t>
      </w:r>
      <w:bookmarkEnd w:id="506"/>
    </w:p>
    <w:p>
      <w:pPr>
        <w:spacing w:before="0" w:after="80" w:line="240" w:lineRule="exact"/>
        <w:ind w:hanging="720" w:left="720"/>
        <w:jc w:val="both"/>
      </w:pPr>
      <w:bookmarkStart w:id="507" w:name="BaileyEtAl2017"/>
      <w:hyperlink w:anchor="BaileyEtAl2017txt" w:history="1">
        <w:r>
          <w:rPr>
            <w:color w:val="1F3864"/>
            <w:u w:val="single"/>
          </w:rPr>
          <w:t xml:space="preserve">Bailey, M., Strezhnev, A., and E. Voeten. (2017). </w:t>
        </w:r>
      </w:hyperlink>
      <w:r>
        <w:t xml:space="preserve">“Estimating Dynamic State Preferences from United Nations Voting Data.” </w:t>
      </w:r>
      <w:r>
        <w:rPr>
          <w:i/>
        </w:rPr>
        <w:t>Journal of Conflict Resolution</w:t>
      </w:r>
      <w:r>
        <w:t>, 61(2): 430–456.</w:t>
      </w:r>
      <w:bookmarkEnd w:id="507"/>
    </w:p>
    <w:p>
      <w:pPr>
        <w:spacing w:before="0" w:after="80" w:line="240" w:lineRule="exact"/>
        <w:ind w:hanging="720" w:left="720"/>
        <w:jc w:val="both"/>
      </w:pPr>
      <w:bookmarkStart w:id="508" w:name="Barroso2018"/>
      <w:hyperlink w:anchor="Barroso2018txt" w:history="1">
        <w:r>
          <w:rPr>
            <w:color w:val="1F3864"/>
            <w:u w:val="single"/>
          </w:rPr>
          <w:t xml:space="preserve">Barroso, L., Hölzle, U., and P. Ranganathan. </w:t>
        </w:r>
      </w:hyperlink>
      <w:r>
        <w:t xml:space="preserve">(2018). </w:t>
      </w:r>
      <w:r>
        <w:rPr>
          <w:i/>
        </w:rPr>
        <w:t>The Datacenter as a Computer: Designing Warehouse-Scale Machines</w:t>
      </w:r>
      <w:r>
        <w:t>, 3rd ed. San Rafael, CA: Morgan &amp; Claypool.</w:t>
      </w:r>
      <w:bookmarkEnd w:id="508"/>
    </w:p>
    <w:p>
      <w:pPr>
        <w:spacing w:before="0" w:after="80" w:line="240" w:lineRule="exact"/>
        <w:ind w:hanging="720" w:left="720"/>
        <w:jc w:val="both"/>
      </w:pPr>
      <w:bookmarkStart w:id="509" w:name="BenzJaax2020"/>
      <w:hyperlink w:anchor="BenzJaax2020txt" w:history="1">
        <w:r>
          <w:rPr>
            <w:color w:val="1F3864"/>
            <w:u w:val="single"/>
          </w:rPr>
          <w:t xml:space="preserve">Benz, S. and A. Jaax. (2020). </w:t>
        </w:r>
      </w:hyperlink>
      <w:r>
        <w:t xml:space="preserve">“The Costs of Regulatory Barriers to Trade in Services: New Estimates of Ad Valorem Tariff Equivalents.” </w:t>
      </w:r>
      <w:r>
        <w:rPr>
          <w:i/>
        </w:rPr>
        <w:t>OECD Trade Policy Papers</w:t>
      </w:r>
      <w:r>
        <w:t>, No. 238. Paris: OECD Publishing.</w:t>
      </w:r>
      <w:bookmarkEnd w:id="509"/>
    </w:p>
    <w:p>
      <w:pPr>
        <w:spacing w:before="0" w:after="80" w:line="240" w:lineRule="exact"/>
        <w:ind w:hanging="720" w:left="720"/>
        <w:jc w:val="both"/>
      </w:pPr>
      <w:bookmarkStart w:id="510" w:name="Biglaiser2024"/>
      <w:hyperlink w:anchor="Biglaiser2024txt" w:history="1">
        <w:r>
          <w:rPr>
            <w:color w:val="1F3864"/>
            <w:u w:val="single"/>
          </w:rPr>
          <w:t xml:space="preserve">Biglaiser, G., Crémer, J., and A. Mantovani. (2024). </w:t>
        </w:r>
      </w:hyperlink>
      <w:r>
        <w:t xml:space="preserve">“The Economics of the Cloud.” </w:t>
      </w:r>
      <w:r>
        <w:rPr>
          <w:i/>
        </w:rPr>
        <w:t>Toulouse School of Economics Working Paper</w:t>
      </w:r>
      <w:r>
        <w:t xml:space="preserve"> No. 24-1520.</w:t>
      </w:r>
      <w:bookmarkEnd w:id="510"/>
    </w:p>
    <w:p>
      <w:pPr>
        <w:spacing w:before="0" w:after="80" w:line="240" w:lineRule="exact"/>
        <w:ind w:hanging="720" w:left="720"/>
        <w:jc w:val="both"/>
      </w:pPr>
      <w:bookmarkStart w:id="511" w:name="Blinder2006"/>
      <w:hyperlink w:anchor="Blinder2006txt" w:history="1">
        <w:r>
          <w:rPr>
            <w:color w:val="1F3864"/>
            <w:u w:val="single"/>
          </w:rPr>
          <w:t xml:space="preserve">Blinder, A. (2006). </w:t>
        </w:r>
      </w:hyperlink>
      <w:r>
        <w:t xml:space="preserve">“Offshoring: The Next Industrial Revolution?” </w:t>
      </w:r>
      <w:r>
        <w:rPr>
          <w:i/>
        </w:rPr>
        <w:t>Foreign Affairs</w:t>
      </w:r>
      <w:r>
        <w:t>, 85(2): 113–128.</w:t>
      </w:r>
      <w:bookmarkEnd w:id="511"/>
    </w:p>
    <w:p>
      <w:pPr>
        <w:spacing w:before="0" w:after="80" w:line="240" w:lineRule="exact"/>
        <w:ind w:hanging="720" w:left="720"/>
        <w:jc w:val="both"/>
      </w:pPr>
      <w:bookmarkStart w:id="512" w:name="Borenstein2012"/>
      <w:hyperlink w:anchor="Borenstein2012txt" w:history="1">
        <w:r>
          <w:rPr>
            <w:color w:val="1F3864"/>
            <w:u w:val="single"/>
          </w:rPr>
          <w:t xml:space="preserve">Borenstein, S. (2012). </w:t>
        </w:r>
      </w:hyperlink>
      <w:r>
        <w:t xml:space="preserve">“The Redistributional Impact of Nonlinear Electricity Pricing.” </w:t>
      </w:r>
      <w:r>
        <w:rPr>
          <w:i/>
        </w:rPr>
        <w:t>American Economic Journal: Economic Policy</w:t>
      </w:r>
      <w:r>
        <w:t>, 4(3): 56–90.</w:t>
      </w:r>
      <w:bookmarkEnd w:id="512"/>
    </w:p>
    <w:p>
      <w:pPr>
        <w:spacing w:before="0" w:after="80" w:line="240" w:lineRule="exact"/>
        <w:ind w:hanging="720" w:left="720"/>
        <w:jc w:val="both"/>
      </w:pPr>
      <w:bookmarkStart w:id="513" w:name="Brainard1997"/>
      <w:hyperlink w:anchor="Brainard1997txt" w:history="1">
        <w:r>
          <w:rPr>
            <w:color w:val="1F3864"/>
            <w:u w:val="single"/>
          </w:rPr>
          <w:t xml:space="preserve">Brainard, S. (1997). </w:t>
        </w:r>
      </w:hyperlink>
      <w:r>
        <w:t xml:space="preserve">“An Empirical Assessment of the Proximity-Concentration Trade-off.” </w:t>
      </w:r>
      <w:r>
        <w:rPr>
          <w:i/>
        </w:rPr>
        <w:t>American Economic Review</w:t>
      </w:r>
      <w:r>
        <w:t>, 87(4): 520–544.</w:t>
      </w:r>
      <w:bookmarkEnd w:id="513"/>
    </w:p>
    <w:p>
      <w:pPr>
        <w:spacing w:before="0" w:after="80" w:line="240" w:lineRule="exact"/>
        <w:ind w:hanging="720" w:left="720"/>
        <w:jc w:val="both"/>
      </w:pPr>
      <w:bookmarkStart w:id="514" w:name="Calcaterra2024"/>
      <w:hyperlink w:anchor="Calcaterra2024txt" w:history="1">
        <w:r>
          <w:rPr>
            <w:color w:val="1F3864"/>
            <w:u w:val="single"/>
          </w:rPr>
          <w:t xml:space="preserve">Calcaterra, M., Reis, L., Fragkos, P., Briera, T., Boer, H., Egli, F., et al. (2024). </w:t>
        </w:r>
      </w:hyperlink>
      <w:r>
        <w:t xml:space="preserve">“Reducing the Cost of Capital to Finance the Energy Transition in Developing Countries.” </w:t>
      </w:r>
      <w:r>
        <w:rPr>
          <w:i/>
        </w:rPr>
        <w:t>Nature Energy</w:t>
      </w:r>
      <w:r>
        <w:t>, 9(10): 1241–1251.</w:t>
      </w:r>
      <w:bookmarkEnd w:id="514"/>
    </w:p>
    <w:p>
      <w:pPr>
        <w:spacing w:before="0" w:after="80" w:line="240" w:lineRule="exact"/>
        <w:ind w:hanging="720" w:left="720"/>
        <w:jc w:val="both"/>
      </w:pPr>
      <w:bookmarkStart w:id="515" w:name="CaouiSteck2025"/>
      <w:hyperlink w:anchor="CaouiSteck2025txt" w:history="1">
        <w:r>
          <w:rPr>
            <w:color w:val="1F3864"/>
            <w:u w:val="single"/>
          </w:rPr>
          <w:t xml:space="preserve">Caoui, E., and A. Steck. (2025). </w:t>
        </w:r>
      </w:hyperlink>
      <w:r>
        <w:t xml:space="preserve">“Content Providers and the Deployment of Internet Infrastructure.” </w:t>
      </w:r>
      <w:r>
        <w:rPr>
          <w:i/>
        </w:rPr>
        <w:t>Information Economics and Policy</w:t>
      </w:r>
      <w:r>
        <w:t>. doi:10.1016/j.infoecopol.2025.101134.</w:t>
      </w:r>
      <w:bookmarkEnd w:id="515"/>
    </w:p>
    <w:p>
      <w:pPr>
        <w:spacing w:before="0" w:after="80" w:line="240" w:lineRule="exact"/>
        <w:ind w:hanging="720" w:left="720"/>
        <w:jc w:val="both"/>
      </w:pPr>
      <w:bookmarkStart w:id="516" w:name="Chandramowli2024"/>
      <w:hyperlink w:anchor="Chandramowli2024txt" w:history="1">
        <w:r>
          <w:rPr>
            <w:color w:val="1F3864"/>
            <w:u w:val="single"/>
          </w:rPr>
          <w:t xml:space="preserve">Chandramowli, S., Cook, P., Mackovyak, J., Parmar, H., and M. Scheller. </w:t>
        </w:r>
      </w:hyperlink>
      <w:r>
        <w:t xml:space="preserve">(2024). </w:t>
      </w:r>
      <w:r>
        <w:rPr>
          <w:i/>
        </w:rPr>
        <w:t>Power Surge: Navigating US Electricity Demand Growth</w:t>
      </w:r>
      <w:r>
        <w:t>. ICF.</w:t>
      </w:r>
      <w:bookmarkEnd w:id="516"/>
    </w:p>
    <w:p>
      <w:pPr>
        <w:spacing w:before="0" w:after="80" w:line="240" w:lineRule="exact"/>
        <w:ind w:hanging="720" w:left="720"/>
        <w:jc w:val="both"/>
      </w:pPr>
      <w:bookmarkStart w:id="517" w:name="Cloudscene2025"/>
      <w:hyperlink w:anchor="Cloudscene2025txt" w:history="1">
        <w:r>
          <w:rPr>
            <w:color w:val="1F3864"/>
            <w:u w:val="single"/>
          </w:rPr>
          <w:t xml:space="preserve">Cloudscene. </w:t>
        </w:r>
      </w:hyperlink>
      <w:r>
        <w:t xml:space="preserve">(2025). </w:t>
      </w:r>
      <w:r>
        <w:rPr>
          <w:i/>
        </w:rPr>
        <w:t>Global Data Center Directory</w:t>
      </w:r>
      <w:r>
        <w:t>. cloudscene.com.</w:t>
      </w:r>
      <w:bookmarkEnd w:id="517"/>
    </w:p>
    <w:p>
      <w:pPr>
        <w:spacing w:before="0" w:after="80" w:line="240" w:lineRule="exact"/>
        <w:ind w:hanging="720" w:left="720"/>
        <w:jc w:val="both"/>
      </w:pPr>
      <w:bookmarkStart w:id="518" w:name="DavisHausman2016"/>
      <w:hyperlink w:anchor="DavisHausman2016txt" w:history="1">
        <w:r>
          <w:rPr>
            <w:color w:val="1F3864"/>
            <w:u w:val="single"/>
          </w:rPr>
          <w:t xml:space="preserve">Davis, L., and C. Hausman. (2016). </w:t>
        </w:r>
      </w:hyperlink>
      <w:r>
        <w:t xml:space="preserve">“Market Impacts of a Nuclear Power Plant Closure.” </w:t>
      </w:r>
      <w:r>
        <w:rPr>
          <w:i/>
        </w:rPr>
        <w:t>American Economic Journal: Applied Economics</w:t>
      </w:r>
      <w:r>
        <w:t>, 8(2): 92–122.</w:t>
      </w:r>
      <w:bookmarkEnd w:id="518"/>
    </w:p>
    <w:p>
      <w:pPr>
        <w:spacing w:before="0" w:after="80" w:line="240" w:lineRule="exact"/>
        <w:ind w:hanging="720" w:left="720"/>
        <w:jc w:val="both"/>
      </w:pPr>
      <w:bookmarkStart w:id="519" w:name="Deloitte2025"/>
      <w:hyperlink w:anchor="Deloitte2025txt" w:history="1">
        <w:r>
          <w:rPr>
            <w:color w:val="1F3864"/>
            <w:u w:val="single"/>
          </w:rPr>
          <w:t xml:space="preserve">Deloitte. (2025). </w:t>
        </w:r>
      </w:hyperlink>
      <w:r>
        <w:t xml:space="preserve">“Technology, Media, and Telecommunications Predictions 2026.” </w:t>
      </w:r>
      <w:r>
        <w:rPr>
          <w:i/>
        </w:rPr>
        <w:t>Deloitte Insights</w:t>
      </w:r>
      <w:r>
        <w:t>.</w:t>
      </w:r>
      <w:bookmarkEnd w:id="519"/>
    </w:p>
    <w:p>
      <w:pPr>
        <w:spacing w:before="0" w:after="80" w:line="240" w:lineRule="exact"/>
        <w:ind w:hanging="720" w:left="720"/>
        <w:jc w:val="both"/>
      </w:pPr>
      <w:bookmarkStart w:id="520" w:name="Deloitte2020"/>
      <w:hyperlink w:anchor="Deloitte2020txt" w:history="1">
        <w:r>
          <w:rPr>
            <w:color w:val="1F3864"/>
            <w:u w:val="single"/>
          </w:rPr>
          <w:t xml:space="preserve">Deloitte and Google. (2020). </w:t>
        </w:r>
      </w:hyperlink>
      <w:r>
        <w:t>“Milliseconds Make Millions.” Deloitte Digital and Google.</w:t>
      </w:r>
      <w:bookmarkEnd w:id="520"/>
    </w:p>
    <w:p>
      <w:pPr>
        <w:spacing w:before="0" w:after="80" w:line="240" w:lineRule="exact"/>
        <w:ind w:hanging="720" w:left="720"/>
        <w:jc w:val="both"/>
      </w:pPr>
      <w:bookmarkStart w:id="521" w:name="EatonKortum2002"/>
      <w:hyperlink w:anchor="EatonKortum2002txt" w:history="1">
        <w:r>
          <w:rPr>
            <w:color w:val="1F3864"/>
            <w:u w:val="single"/>
          </w:rPr>
          <w:t xml:space="preserve">Eaton, J., and S. Kortum. (2002). </w:t>
        </w:r>
      </w:hyperlink>
      <w:r>
        <w:t xml:space="preserve">“Technology, Geography, and Trade.” </w:t>
      </w:r>
      <w:r>
        <w:rPr>
          <w:i/>
        </w:rPr>
        <w:t>Econometrica</w:t>
      </w:r>
      <w:r>
        <w:t>, 70(5): 1741–1779.</w:t>
      </w:r>
      <w:bookmarkEnd w:id="521"/>
    </w:p>
    <w:p>
      <w:pPr>
        <w:spacing w:before="0" w:after="80" w:line="240" w:lineRule="exact"/>
        <w:ind w:hanging="720" w:left="720"/>
        <w:jc w:val="both"/>
      </w:pPr>
      <w:bookmarkStart w:id="522" w:name="EIA2025"/>
      <w:hyperlink w:anchor="EIA2025txt" w:history="1">
        <w:r>
          <w:rPr>
            <w:color w:val="1F3864"/>
            <w:u w:val="single"/>
          </w:rPr>
          <w:t xml:space="preserve">EIA. </w:t>
        </w:r>
      </w:hyperlink>
      <w:r>
        <w:t xml:space="preserve">(2025). </w:t>
      </w:r>
      <w:r>
        <w:rPr>
          <w:i/>
        </w:rPr>
        <w:t>Electric Power Monthly</w:t>
      </w:r>
      <w:r>
        <w:t>. U.S. Energy Information Administration.</w:t>
      </w:r>
      <w:bookmarkEnd w:id="522"/>
    </w:p>
    <w:p>
      <w:pPr>
        <w:spacing w:before="0" w:after="80" w:line="240" w:lineRule="exact"/>
        <w:ind w:hanging="720" w:left="720"/>
        <w:jc w:val="both"/>
      </w:pPr>
      <w:bookmarkStart w:id="523" w:name="EpochAI2024"/>
      <w:r>
        <w:rPr>
          <w:color w:val="1F3864"/>
          <w:u w:val="single"/>
        </w:rPr>
        <w:t xml:space="preserve">Epoch AI. (2024). </w:t>
      </w:r>
      <w:r>
        <w:t>“The Training Compute of Notable AI Models.” epochai.org.</w:t>
      </w:r>
      <w:bookmarkEnd w:id="523"/>
    </w:p>
    <w:p>
      <w:pPr>
        <w:spacing w:before="0" w:after="80" w:line="240" w:lineRule="exact"/>
        <w:ind w:hanging="720" w:left="720"/>
        <w:jc w:val="both"/>
      </w:pPr>
      <w:bookmarkStart w:id="524" w:name="Eurostat2025"/>
      <w:hyperlink w:anchor="Eurostat2025txt" w:history="1">
        <w:r>
          <w:rPr>
            <w:color w:val="1F3864"/>
            <w:u w:val="single"/>
          </w:rPr>
          <w:t xml:space="preserve">Eurostat. </w:t>
        </w:r>
      </w:hyperlink>
      <w:r>
        <w:t xml:space="preserve">(2025). </w:t>
      </w:r>
      <w:r>
        <w:rPr>
          <w:i/>
        </w:rPr>
        <w:t>Electricity Prices for Non-Household Consumers (nrg_pc_205)</w:t>
      </w:r>
      <w:r>
        <w:t>. Luxembourg: Eurostat.</w:t>
      </w:r>
      <w:bookmarkEnd w:id="524"/>
    </w:p>
    <w:p>
      <w:pPr>
        <w:spacing w:before="0" w:after="80" w:line="240" w:lineRule="exact"/>
        <w:ind w:hanging="720" w:left="720"/>
        <w:jc w:val="both"/>
      </w:pPr>
      <w:bookmarkStart w:id="525" w:name="Firebird2026"/>
      <w:hyperlink w:anchor="Firebird2026txt" w:history="1">
        <w:r>
          <w:rPr>
            <w:color w:val="1F3864"/>
            <w:u w:val="single"/>
          </w:rPr>
          <w:t xml:space="preserve">Firebird. (2026). </w:t>
        </w:r>
      </w:hyperlink>
      <w:r>
        <w:t>“Phase 2 of Armenia AI Megaproject, Scaling to $4 Billion and 50,000 GPUs.” Press release, January 2026.</w:t>
      </w:r>
      <w:bookmarkEnd w:id="525"/>
    </w:p>
    <w:p>
      <w:pPr>
        <w:spacing w:before="0" w:after="80" w:line="240" w:lineRule="exact"/>
        <w:ind w:hanging="720" w:left="720"/>
        <w:jc w:val="both"/>
      </w:pPr>
      <w:bookmarkStart w:id="526" w:name="Flucker2013"/>
      <w:hyperlink w:anchor="Flucker2013txt" w:history="1">
        <w:r>
          <w:rPr>
            <w:color w:val="1F3864"/>
            <w:u w:val="single"/>
          </w:rPr>
          <w:t xml:space="preserve">Flucker, S., Tozer, R., and R. Whitehead. (2013). </w:t>
        </w:r>
      </w:hyperlink>
      <w:r>
        <w:t xml:space="preserve">“Data Centre Energy Efficiency Analysis to Minimize Total Cost of Ownership.” </w:t>
      </w:r>
      <w:r>
        <w:rPr>
          <w:i/>
        </w:rPr>
        <w:t>Building Services Engineering Research and Technology</w:t>
      </w:r>
      <w:r>
        <w:t>, 34(1): 103–117.</w:t>
      </w:r>
      <w:bookmarkEnd w:id="526"/>
    </w:p>
    <w:p>
      <w:pPr>
        <w:spacing w:before="0" w:after="80" w:line="240" w:lineRule="exact"/>
        <w:ind w:hanging="720" w:left="720"/>
        <w:jc w:val="both"/>
      </w:pPr>
      <w:bookmarkStart w:id="527" w:name="GlobalPetrolPrices2025"/>
      <w:hyperlink w:anchor="GlobalPetrolPrices2025txt" w:history="1">
        <w:r>
          <w:rPr>
            <w:color w:val="1F3864"/>
            <w:u w:val="single"/>
          </w:rPr>
          <w:t xml:space="preserve">GlobalPetrolPrices. </w:t>
        </w:r>
      </w:hyperlink>
      <w:r>
        <w:t xml:space="preserve">(2025). </w:t>
      </w:r>
      <w:r>
        <w:rPr>
          <w:i/>
        </w:rPr>
        <w:t>Electricity Prices Around the World</w:t>
      </w:r>
      <w:r>
        <w:t>. globalpetrolprices.com.</w:t>
      </w:r>
      <w:bookmarkEnd w:id="527"/>
    </w:p>
    <w:p>
      <w:pPr>
        <w:spacing w:before="0" w:after="80" w:line="240" w:lineRule="exact"/>
        <w:ind w:hanging="720" w:left="720"/>
        <w:jc w:val="both"/>
      </w:pPr>
      <w:bookmarkStart w:id="528" w:name="Goldfarb2018"/>
      <w:hyperlink w:anchor="Goldfarb2018txt" w:history="1">
        <w:r>
          <w:rPr>
            <w:color w:val="1F3864"/>
            <w:u w:val="single"/>
          </w:rPr>
          <w:t xml:space="preserve">Goldfarb, A., and D. Trefler. (2018). </w:t>
        </w:r>
      </w:hyperlink>
      <w:r>
        <w:t xml:space="preserve">“AI and International Trade.” In </w:t>
      </w:r>
      <w:r>
        <w:rPr>
          <w:i/>
        </w:rPr>
        <w:t>The Economics of Artificial Intelligence</w:t>
      </w:r>
      <w:r>
        <w:t>. Chicago: Univ. of Chicago Press, pp. 463–492.</w:t>
      </w:r>
      <w:bookmarkEnd w:id="528"/>
    </w:p>
    <w:p>
      <w:pPr>
        <w:spacing w:before="0" w:after="80" w:line="240" w:lineRule="exact"/>
        <w:ind w:hanging="720" w:left="720"/>
        <w:jc w:val="both"/>
      </w:pPr>
      <w:bookmarkStart w:id="529" w:name="Google2024"/>
      <w:hyperlink w:anchor="Google2024txt" w:history="1">
        <w:r>
          <w:rPr>
            <w:color w:val="1F3864"/>
            <w:u w:val="single"/>
          </w:rPr>
          <w:t xml:space="preserve">Google. </w:t>
        </w:r>
      </w:hyperlink>
      <w:r>
        <w:t xml:space="preserve">(2024). </w:t>
      </w:r>
      <w:r>
        <w:rPr>
          <w:i/>
        </w:rPr>
        <w:t>2024 Environmental Report</w:t>
      </w:r>
      <w:r>
        <w:t>. sustainability.google.</w:t>
      </w:r>
      <w:bookmarkEnd w:id="529"/>
    </w:p>
    <w:p>
      <w:pPr>
        <w:spacing w:before="0" w:after="80" w:line="240" w:lineRule="exact"/>
        <w:ind w:hanging="720" w:left="720"/>
        <w:jc w:val="both"/>
      </w:pPr>
      <w:bookmarkStart w:id="530" w:name="Hausmann2007"/>
      <w:hyperlink w:anchor="Hausmann2007txt" w:history="1">
        <w:r>
          <w:rPr>
            <w:color w:val="1F3864"/>
            <w:u w:val="single"/>
          </w:rPr>
          <w:t xml:space="preserve">Hausmann, R., Hwang, J., and D. Rodrik. (2007). </w:t>
        </w:r>
      </w:hyperlink>
      <w:r>
        <w:t xml:space="preserve">“What You Export Matters.” </w:t>
      </w:r>
      <w:r>
        <w:rPr>
          <w:i/>
        </w:rPr>
        <w:t>Journal of Economic Growth</w:t>
      </w:r>
      <w:r>
        <w:t>, 12(1): 1–25.</w:t>
      </w:r>
      <w:bookmarkEnd w:id="530"/>
    </w:p>
    <w:p>
      <w:pPr>
        <w:spacing w:before="0" w:after="80" w:line="240" w:lineRule="exact"/>
        <w:ind w:hanging="720" w:left="720"/>
        <w:jc w:val="both"/>
      </w:pPr>
      <w:bookmarkStart w:id="531" w:name="Heckscher1919"/>
      <w:hyperlink w:anchor="Heckscher1919txt" w:history="1">
        <w:r>
          <w:rPr>
            <w:color w:val="1F3864"/>
            <w:u w:val="single"/>
          </w:rPr>
          <w:t xml:space="preserve">Heckscher, E. (1919). </w:t>
        </w:r>
      </w:hyperlink>
      <w:r>
        <w:t xml:space="preserve">“The Effect of Foreign Trade on the Distribution of Income.” </w:t>
      </w:r>
      <w:r>
        <w:rPr>
          <w:i/>
        </w:rPr>
        <w:t>Ekonomisk Tidskrift</w:t>
      </w:r>
      <w:r>
        <w:t>, 21: 497–512.</w:t>
      </w:r>
      <w:bookmarkEnd w:id="531"/>
    </w:p>
    <w:p>
      <w:pPr>
        <w:spacing w:before="0" w:after="80" w:line="240" w:lineRule="exact"/>
        <w:ind w:hanging="720" w:left="720"/>
        <w:jc w:val="both"/>
      </w:pPr>
      <w:bookmarkStart w:id="532" w:name="HMY2004"/>
      <w:hyperlink w:anchor="HMY2004txt" w:history="1">
        <w:r>
          <w:rPr>
            <w:color w:val="1F3864"/>
            <w:u w:val="single"/>
          </w:rPr>
          <w:t xml:space="preserve">Helpman, E., Melitz, M., and S. Yeaple. (2004). </w:t>
        </w:r>
      </w:hyperlink>
      <w:r>
        <w:t xml:space="preserve">“Export Versus FDI with Heterogeneous Firms.” </w:t>
      </w:r>
      <w:r>
        <w:rPr>
          <w:i/>
        </w:rPr>
        <w:t>American Economic Review</w:t>
      </w:r>
      <w:r>
        <w:t>, 94(1): 300–316.</w:t>
      </w:r>
      <w:bookmarkEnd w:id="532"/>
    </w:p>
    <w:p>
      <w:pPr>
        <w:spacing w:before="0" w:after="80" w:line="240" w:lineRule="exact"/>
        <w:ind w:hanging="720" w:left="720"/>
        <w:jc w:val="both"/>
      </w:pPr>
      <w:bookmarkStart w:id="533" w:name="Hersbach2020"/>
      <w:hyperlink w:anchor="Hersbach2020txt" w:history="1">
        <w:r>
          <w:rPr>
            <w:color w:val="1F3864"/>
            <w:u w:val="single"/>
          </w:rPr>
          <w:t xml:space="preserve">Hersbach, H., et al. (2020). </w:t>
        </w:r>
      </w:hyperlink>
      <w:r>
        <w:t xml:space="preserve">“The ERA5 Global Reanalysis.” </w:t>
      </w:r>
      <w:r>
        <w:rPr>
          <w:i/>
        </w:rPr>
        <w:t>Quarterly Journal of the Royal Meteorological Society</w:t>
      </w:r>
      <w:r>
        <w:t>, 146(730): 1999–2049.</w:t>
      </w:r>
      <w:bookmarkEnd w:id="533"/>
    </w:p>
    <w:p>
      <w:pPr>
        <w:spacing w:before="0" w:after="80" w:line="240" w:lineRule="exact"/>
        <w:ind w:hanging="720" w:left="720"/>
        <w:jc w:val="both"/>
      </w:pPr>
      <w:bookmarkStart w:id="534" w:name="IEA2025"/>
      <w:hyperlink w:anchor="IEA2025txt" w:history="1">
        <w:r>
          <w:rPr>
            <w:color w:val="1F3864"/>
            <w:u w:val="single"/>
          </w:rPr>
          <w:t xml:space="preserve">IEA. (2025). </w:t>
        </w:r>
      </w:hyperlink>
      <w:r>
        <w:t>“Energy Demand from AI.” Published online at iea.org.</w:t>
      </w:r>
      <w:bookmarkEnd w:id="534"/>
    </w:p>
    <w:p>
      <w:pPr>
        <w:spacing w:before="0" w:after="80" w:line="240" w:lineRule="exact"/>
        <w:ind w:hanging="720" w:left="720"/>
        <w:jc w:val="both"/>
      </w:pPr>
      <w:bookmarkStart w:id="535" w:name="IMF2025"/>
      <w:hyperlink w:anchor="IMF2025txt" w:history="1">
        <w:r>
          <w:rPr>
            <w:color w:val="1F3864"/>
            <w:u w:val="single"/>
          </w:rPr>
          <w:t xml:space="preserve">IMF. (2025). </w:t>
        </w:r>
      </w:hyperlink>
      <w:r>
        <w:t xml:space="preserve">“Fossil Fuel Subsidies Data: 2025 Update.” </w:t>
      </w:r>
      <w:r>
        <w:rPr>
          <w:i/>
        </w:rPr>
        <w:t>IMF Working Paper</w:t>
      </w:r>
      <w:r>
        <w:t xml:space="preserve"> WP/25/270.</w:t>
      </w:r>
      <w:bookmarkEnd w:id="535"/>
    </w:p>
    <w:p>
      <w:pPr>
        <w:spacing w:before="0" w:after="80" w:line="240" w:lineRule="exact"/>
        <w:ind w:hanging="720" w:left="720"/>
        <w:jc w:val="both"/>
      </w:pPr>
      <w:bookmarkStart w:id="536" w:name="KatzEtAl2025"/>
      <w:hyperlink w:anchor="KatzEtAl2025txt" w:history="1">
        <w:r>
          <w:rPr>
            <w:color w:val="1F3864"/>
            <w:u w:val="single"/>
          </w:rPr>
          <w:t xml:space="preserve">Katz, R., Jung, K., and F. Callorda. (2025). </w:t>
        </w:r>
      </w:hyperlink>
      <w:r>
        <w:t>“The Economic Impact of AI and Cloud Investment in Asia-Pacific.” Report prepared for the Asian Development Bank.</w:t>
      </w:r>
      <w:bookmarkEnd w:id="536"/>
    </w:p>
    <w:p>
      <w:pPr>
        <w:spacing w:before="0" w:after="80" w:line="240" w:lineRule="exact"/>
        <w:ind w:hanging="720" w:left="720"/>
        <w:jc w:val="both"/>
      </w:pPr>
      <w:bookmarkStart w:id="537" w:name="Korinek2021"/>
      <w:hyperlink w:anchor="Korinek2021txt" w:history="1">
        <w:r>
          <w:rPr>
            <w:color w:val="1F3864"/>
            <w:u w:val="single"/>
          </w:rPr>
          <w:t xml:space="preserve">Korinek, A., and J. Stiglitz. (2021). </w:t>
        </w:r>
      </w:hyperlink>
      <w:r>
        <w:t xml:space="preserve">“Artificial Intelligence, Globalization, and Strategies for Economic Development.” </w:t>
      </w:r>
      <w:r>
        <w:rPr>
          <w:i/>
        </w:rPr>
        <w:t>NBER Working Paper</w:t>
      </w:r>
      <w:r>
        <w:t xml:space="preserve"> No. 28453.</w:t>
      </w:r>
      <w:bookmarkEnd w:id="537"/>
    </w:p>
    <w:p>
      <w:pPr>
        <w:spacing w:before="0" w:after="80" w:line="240" w:lineRule="exact"/>
        <w:ind w:hanging="720" w:left="720"/>
        <w:jc w:val="both"/>
      </w:pPr>
      <w:bookmarkStart w:id="538" w:name="Krugman1991"/>
      <w:hyperlink w:anchor="Krugman1991txt" w:history="1">
        <w:r>
          <w:rPr>
            <w:color w:val="1F3864"/>
            <w:u w:val="single"/>
          </w:rPr>
          <w:t xml:space="preserve">Krugman, P. (1991). </w:t>
        </w:r>
      </w:hyperlink>
      <w:r>
        <w:t xml:space="preserve">“Increasing Returns and Economic Geography.” </w:t>
      </w:r>
      <w:r>
        <w:rPr>
          <w:i/>
        </w:rPr>
        <w:t>Journal of Political Economy</w:t>
      </w:r>
      <w:r>
        <w:t>, 99(3): 483–499.</w:t>
      </w:r>
      <w:bookmarkEnd w:id="538"/>
    </w:p>
    <w:p>
      <w:pPr>
        <w:spacing w:before="0" w:after="80" w:line="240" w:lineRule="exact"/>
        <w:ind w:hanging="720" w:left="720"/>
        <w:jc w:val="both"/>
      </w:pPr>
      <w:bookmarkStart w:id="539" w:name="Lazard2025"/>
      <w:hyperlink w:anchor="Lazard2025txt" w:history="1">
        <w:r>
          <w:rPr>
            <w:color w:val="1F3864"/>
            <w:u w:val="single"/>
          </w:rPr>
          <w:t xml:space="preserve">Lazard. </w:t>
        </w:r>
      </w:hyperlink>
      <w:r>
        <w:t xml:space="preserve">(2025). </w:t>
      </w:r>
      <w:r>
        <w:rPr>
          <w:i/>
        </w:rPr>
        <w:t>Lazard’s Levelized Cost of Energy Analysis, Version 17.0</w:t>
      </w:r>
      <w:r>
        <w:t>. lazard.com.</w:t>
      </w:r>
      <w:bookmarkEnd w:id="539"/>
    </w:p>
    <w:p>
      <w:pPr>
        <w:spacing w:before="0" w:after="80" w:line="240" w:lineRule="exact"/>
        <w:ind w:hanging="720" w:left="720"/>
        <w:jc w:val="both"/>
      </w:pPr>
      <w:bookmarkStart w:id="540" w:name="Lehdonvirta2024"/>
      <w:hyperlink w:anchor="Lehdonvirta2024txt" w:history="1">
        <w:r>
          <w:rPr>
            <w:color w:val="1F3864"/>
            <w:u w:val="single"/>
          </w:rPr>
          <w:t xml:space="preserve">Lehdonvirta, V., Wu, B., and Z. Hawkins. (2024). </w:t>
        </w:r>
      </w:hyperlink>
      <w:r>
        <w:t xml:space="preserve">“Compute North vs. Compute South: The Uneven Possibilities of Compute-Based AI Governance Around the Globe.” </w:t>
      </w:r>
      <w:r>
        <w:rPr>
          <w:i/>
        </w:rPr>
        <w:t>Proceedings of the AAAI/ACM Conference on AI, Ethics, and Society</w:t>
      </w:r>
      <w:r>
        <w:t>, 7(1): 828–838.</w:t>
      </w:r>
      <w:bookmarkEnd w:id="540"/>
    </w:p>
    <w:p>
      <w:pPr>
        <w:spacing w:before="0" w:after="80" w:line="240" w:lineRule="exact"/>
        <w:ind w:hanging="720" w:left="720"/>
        <w:jc w:val="both"/>
      </w:pPr>
      <w:bookmarkStart w:id="541" w:name="Limao2001"/>
      <w:hyperlink w:anchor="Limao2001txt" w:history="1">
        <w:r>
          <w:rPr>
            <w:color w:val="1F3864"/>
            <w:u w:val="single"/>
          </w:rPr>
          <w:t xml:space="preserve">Limão, N., and A. Venables. (2001). </w:t>
        </w:r>
      </w:hyperlink>
      <w:r>
        <w:t xml:space="preserve">“Infrastructure, Geographical Disadvantage, Transport Costs, and Trade.” </w:t>
      </w:r>
      <w:r>
        <w:rPr>
          <w:i/>
        </w:rPr>
        <w:t xml:space="preserve"/>
      </w:r>
      <w:hyperlink w:anchor="WorldBank2024" w:history="1">
        <w:r>
          <w:rPr>
            <w:i/>
            <w:color w:val="1F3864"/>
            <w:u w:val="single"/>
          </w:rPr>
          <w:t xml:space="preserve">World Bank</w:t>
        </w:r>
      </w:hyperlink>
      <w:r>
        <w:rPr>
          <w:i/>
        </w:rPr>
        <w:t xml:space="preserve"> Economic Review</w:t>
      </w:r>
      <w:r>
        <w:t>, 15(3): 451–479.</w:t>
      </w:r>
      <w:bookmarkEnd w:id="541"/>
    </w:p>
    <w:p>
      <w:pPr>
        <w:spacing w:before="0" w:after="80" w:line="240" w:lineRule="exact"/>
        <w:ind w:hanging="720" w:left="720"/>
        <w:jc w:val="both"/>
      </w:pPr>
      <w:bookmarkStart w:id="542" w:name="Liu2023"/>
      <w:hyperlink w:anchor="Liu2023txt" w:history="1">
        <w:r>
          <w:rPr>
            <w:color w:val="1F3864"/>
            <w:u w:val="single"/>
          </w:rPr>
          <w:t xml:space="preserve">Liu, Z., Wierman, A., Chen, Y., Raber, B., and J. Moriarty. (2023). </w:t>
        </w:r>
      </w:hyperlink>
      <w:r>
        <w:t xml:space="preserve">“Sustainability of Data Center Digital Twins.” </w:t>
      </w:r>
      <w:r>
        <w:rPr>
          <w:i/>
        </w:rPr>
        <w:t>Proceedings of ACM e-Energy</w:t>
      </w:r>
      <w:r>
        <w:t>, pp. 178–189.</w:t>
      </w:r>
      <w:bookmarkEnd w:id="542"/>
    </w:p>
    <w:p>
      <w:pPr>
        <w:spacing w:before="0" w:after="80" w:line="240" w:lineRule="exact"/>
        <w:ind w:hanging="720" w:left="720"/>
        <w:jc w:val="both"/>
      </w:pPr>
      <w:bookmarkStart w:id="543" w:name="NVIDIA2024"/>
      <w:r>
        <w:rPr>
          <w:color w:val="1F3864"/>
          <w:u w:val="single"/>
        </w:rPr>
        <w:t xml:space="preserve">NVIDIA. </w:t>
      </w:r>
      <w:r>
        <w:t xml:space="preserve">(2024). </w:t>
      </w:r>
      <w:r>
        <w:rPr>
          <w:i/>
        </w:rPr>
        <w:t>NVIDIA H100 Tensor Core GPU Datasheet</w:t>
      </w:r>
      <w:r>
        <w:t>. nvidia.com.</w:t>
      </w:r>
      <w:bookmarkEnd w:id="543"/>
    </w:p>
    <w:p>
      <w:pPr>
        <w:spacing w:before="0" w:after="80" w:line="240" w:lineRule="exact"/>
        <w:ind w:hanging="720" w:left="720"/>
        <w:jc w:val="both"/>
      </w:pPr>
      <w:bookmarkStart w:id="544" w:name="Ohlin1933"/>
      <w:hyperlink w:anchor="Ohlin1933txt" w:history="1">
        <w:r>
          <w:rPr>
            <w:color w:val="1F3864"/>
            <w:u w:val="single"/>
          </w:rPr>
          <w:t xml:space="preserve">Ohlin, B. </w:t>
        </w:r>
      </w:hyperlink>
      <w:r>
        <w:t xml:space="preserve">(1933). </w:t>
      </w:r>
      <w:r>
        <w:rPr>
          <w:i/>
        </w:rPr>
        <w:t>Interregional and International Trade</w:t>
      </w:r>
      <w:r>
        <w:t>. Cambridge, MA: Harvard University Press.</w:t>
      </w:r>
      <w:bookmarkEnd w:id="544"/>
    </w:p>
    <w:p>
      <w:pPr>
        <w:spacing w:before="0" w:after="80" w:line="240" w:lineRule="exact"/>
        <w:ind w:hanging="720" w:left="720"/>
        <w:jc w:val="both"/>
      </w:pPr>
      <w:bookmarkStart w:id="545" w:name="Pilz2025"/>
      <w:hyperlink w:anchor="Pilz2025txt" w:history="1">
        <w:r>
          <w:rPr>
            <w:color w:val="1F3864"/>
            <w:u w:val="single"/>
          </w:rPr>
          <w:t xml:space="preserve">Pilz, K., Mahmood, Y., and L. Heim. </w:t>
        </w:r>
      </w:hyperlink>
      <w:r>
        <w:t xml:space="preserve">(2025). </w:t>
      </w:r>
      <w:r>
        <w:rPr>
          <w:i/>
        </w:rPr>
        <w:t>AI’s Power Requirements Under Exponential Growth</w:t>
      </w:r>
      <w:r>
        <w:t>. Santa Monica, CA: RAND Corporation, RR-A3572-1.</w:t>
      </w:r>
      <w:bookmarkEnd w:id="545"/>
    </w:p>
    <w:p>
      <w:pPr>
        <w:spacing w:before="0" w:after="80" w:line="240" w:lineRule="exact"/>
        <w:ind w:hanging="720" w:left="720"/>
        <w:jc w:val="both"/>
      </w:pPr>
      <w:bookmarkStart w:id="546" w:name="Sastry2024"/>
      <w:hyperlink w:anchor="Sastry2024txt" w:history="1">
        <w:r>
          <w:rPr>
            <w:color w:val="1F3864"/>
            <w:u w:val="single"/>
          </w:rPr>
          <w:t xml:space="preserve">Sastry, G., Heim, L., Belfield, H., Anderljung, M., Brundage, M., Hazell, J., et al. (2024). </w:t>
        </w:r>
      </w:hyperlink>
      <w:r>
        <w:t>“Computing Power and the Governance of Artificial Intelligence.” arXiv:2402.08797.</w:t>
      </w:r>
      <w:bookmarkEnd w:id="546"/>
    </w:p>
    <w:p>
      <w:pPr>
        <w:spacing w:before="0" w:after="80" w:line="240" w:lineRule="exact"/>
        <w:ind w:hanging="720" w:left="720"/>
        <w:jc w:val="both"/>
      </w:pPr>
      <w:bookmarkStart w:id="547" w:name="SevillaEtAl2022"/>
      <w:hyperlink w:anchor="SevillaEtAl2022txt" w:history="1">
        <w:r>
          <w:rPr>
            <w:color w:val="1F3864"/>
            <w:u w:val="single"/>
          </w:rPr>
          <w:t xml:space="preserve">Sevilla, J., Heim, L., Ho, A., Besiroglu, T., Hobbhahn, M., and P. Villalobos. (2022). </w:t>
        </w:r>
      </w:hyperlink>
      <w:r>
        <w:t>“Compute Trends across Three Eras of Machine Learning.” arXiv Working Paper No. 2202.05924. https://doi.org/10.48550/arXiv.2202.05924.</w:t>
      </w:r>
      <w:bookmarkEnd w:id="547"/>
    </w:p>
    <w:p>
      <w:pPr>
        <w:spacing w:before="0" w:after="80" w:line="240" w:lineRule="exact"/>
        <w:ind w:hanging="720" w:left="720"/>
        <w:jc w:val="both"/>
      </w:pPr>
      <w:bookmarkStart w:id="548" w:name="Stojkoski2024"/>
      <w:hyperlink w:anchor="Stojkoski2024txt" w:history="1">
        <w:r>
          <w:rPr>
            <w:color w:val="1F3864"/>
            <w:u w:val="single"/>
          </w:rPr>
          <w:t xml:space="preserve">Stojkoski, V., Koch, P., Coll, E., and C. Hidalgo. (2024). </w:t>
        </w:r>
      </w:hyperlink>
      <w:r>
        <w:t xml:space="preserve">“Estimating Digital Product Trade through Corporate Revenue Data.” </w:t>
      </w:r>
      <w:r>
        <w:rPr>
          <w:i/>
        </w:rPr>
        <w:t>Nature Communications</w:t>
      </w:r>
      <w:r>
        <w:t>, 15: 5262.</w:t>
      </w:r>
      <w:bookmarkEnd w:id="548"/>
    </w:p>
    <w:p>
      <w:pPr>
        <w:spacing w:before="0" w:after="80" w:line="240" w:lineRule="exact"/>
        <w:ind w:hanging="720" w:left="720"/>
        <w:jc w:val="both"/>
      </w:pPr>
      <w:bookmarkStart w:id="549" w:name="StraubEtAl2026"/>
      <w:hyperlink w:anchor="StraubEtAl2026txt" w:history="1">
        <w:r>
          <w:rPr>
            <w:color w:val="1F3864"/>
            <w:u w:val="single"/>
          </w:rPr>
          <w:t xml:space="preserve">Straub, S., He, H., Li, Y., Lyu, X., Steinbuks, J., Vergara Cobos, E., et al. </w:t>
        </w:r>
      </w:hyperlink>
      <w:r>
        <w:t xml:space="preserve">(2026). </w:t>
      </w:r>
      <w:r>
        <w:rPr>
          <w:i/>
        </w:rPr>
        <w:t>Infrastructure Foundations: From Current Assets to Future Growth</w:t>
      </w:r>
      <w:r>
        <w:t xml:space="preserve">. Sustainable Infrastructure Series. Washington, DC: </w:t>
      </w:r>
      <w:hyperlink w:anchor="WorldBank2024" w:history="1">
        <w:r>
          <w:rPr>
            <w:color w:val="1F3864"/>
            <w:u w:val="single"/>
          </w:rPr>
          <w:t xml:space="preserve">World Bank</w:t>
        </w:r>
      </w:hyperlink>
      <w:r>
        <w:t xml:space="preserve">.</w:t>
      </w:r>
      <w:bookmarkEnd w:id="549"/>
    </w:p>
    <w:p>
      <w:pPr>
        <w:spacing w:before="0" w:after="80" w:line="240" w:lineRule="exact"/>
        <w:ind w:hanging="720" w:left="720"/>
        <w:jc w:val="both"/>
      </w:pPr>
      <w:bookmarkStart w:id="550" w:name="TurnerTownsend2025"/>
      <w:hyperlink w:anchor="TurnerTownsend2025txt" w:history="1">
        <w:r>
          <w:rPr>
            <w:color w:val="1F3864"/>
            <w:u w:val="single"/>
          </w:rPr>
          <w:t xml:space="preserve">Turner &amp; Townsend. </w:t>
        </w:r>
      </w:hyperlink>
      <w:r>
        <w:t xml:space="preserve">(2025). </w:t>
      </w:r>
      <w:r>
        <w:rPr>
          <w:i/>
        </w:rPr>
        <w:t>Data Centre Construction Cost Index 2025</w:t>
      </w:r>
      <w:r>
        <w:t>. turnerandtownsend.com.</w:t>
      </w:r>
      <w:bookmarkEnd w:id="550"/>
    </w:p>
    <w:p>
      <w:pPr>
        <w:spacing w:before="0" w:after="80" w:line="240" w:lineRule="exact"/>
        <w:ind w:hanging="720" w:left="720"/>
        <w:jc w:val="both"/>
      </w:pPr>
      <w:bookmarkStart w:id="551" w:name="UptimeInstitute2024"/>
      <w:hyperlink w:anchor="UptimeInstitute2024txt" w:history="1">
        <w:r>
          <w:rPr>
            <w:color w:val="1F3864"/>
            <w:u w:val="single"/>
          </w:rPr>
          <w:t xml:space="preserve">Uptime Institute. </w:t>
        </w:r>
      </w:hyperlink>
      <w:r>
        <w:t xml:space="preserve">(2024). </w:t>
      </w:r>
      <w:r>
        <w:rPr>
          <w:i/>
        </w:rPr>
        <w:t>Global Data Center Survey Results 2024</w:t>
      </w:r>
      <w:r>
        <w:t>. uptimeinstitute.com.</w:t>
      </w:r>
      <w:bookmarkEnd w:id="551"/>
    </w:p>
    <w:p>
      <w:pPr>
        <w:spacing w:before="0" w:after="80" w:line="240" w:lineRule="exact"/>
        <w:ind w:hanging="720" w:left="720"/>
        <w:jc w:val="both"/>
      </w:pPr>
      <w:bookmarkStart w:id="552" w:name="WonderNetwork2024"/>
      <w:hyperlink w:anchor="WonderNetwork2024txt" w:history="1">
        <w:r>
          <w:rPr>
            <w:color w:val="1F3864"/>
            <w:u w:val="single"/>
          </w:rPr>
          <w:t xml:space="preserve">WonderNetwork. </w:t>
        </w:r>
      </w:hyperlink>
      <w:r>
        <w:t xml:space="preserve">(2024). </w:t>
      </w:r>
      <w:r>
        <w:rPr>
          <w:i/>
        </w:rPr>
        <w:t>Global Ping Statistics</w:t>
      </w:r>
      <w:r>
        <w:t>. wondernetwork.com.</w:t>
      </w:r>
      <w:bookmarkEnd w:id="552"/>
    </w:p>
    <w:p>
      <w:pPr>
        <w:spacing w:before="0" w:after="80" w:line="240" w:lineRule="exact"/>
        <w:ind w:hanging="720" w:left="720"/>
        <w:jc w:val="both"/>
      </w:pPr>
      <w:bookmarkStart w:id="553" w:name="WorldBank2024"/>
      <w:hyperlink w:anchor="WorldBank2024txt" w:history="1">
        <w:r>
          <w:rPr>
            <w:color w:val="1F3864"/>
            <w:u w:val="single"/>
          </w:rPr>
          <w:t xml:space="preserve">World Bank. </w:t>
        </w:r>
      </w:hyperlink>
      <w:r>
        <w:t xml:space="preserve">(2024). </w:t>
      </w:r>
      <w:r>
        <w:rPr>
          <w:i/>
        </w:rPr>
        <w:t>World Development Indicators</w:t>
      </w:r>
      <w:r>
        <w:t>. Washington, DC.</w:t>
      </w:r>
      <w:bookmarkEnd w:id="553"/>
    </w:p>
    <w:p>
      <w:pPr>
        <w:spacing w:before="0" w:after="80" w:line="240" w:lineRule="exact"/>
        <w:ind w:hanging="720" w:left="720"/>
        <w:jc w:val="both"/>
      </w:pPr>
      <w:bookmarkStart w:id="554" w:name="WorldBank2025"/>
      <w:hyperlink w:anchor="WorldBank2025txt" w:history="1">
        <w:r>
          <w:rPr>
            <w:color w:val="1F3864"/>
            <w:u w:val="single"/>
          </w:rPr>
          <w:t xml:space="preserve">World Bank. </w:t>
        </w:r>
      </w:hyperlink>
      <w:r>
        <w:t xml:space="preserve">(2025). </w:t>
      </w:r>
      <w:r>
        <w:rPr>
          <w:i/>
        </w:rPr>
        <w:t>Digital Progress and Trends Report 2025: Strengthening AI Foundations</w:t>
      </w:r>
      <w:r>
        <w:t xml:space="preserve">. Washington, DC: </w:t>
      </w:r>
      <w:hyperlink w:anchor="WorldBank2024" w:history="1">
        <w:r>
          <w:rPr>
            <w:color w:val="1F3864"/>
            <w:u w:val="single"/>
          </w:rPr>
          <w:t xml:space="preserve">World Bank</w:t>
        </w:r>
      </w:hyperlink>
      <w:r>
        <w:t xml:space="preserve">.</w:t>
      </w:r>
      <w:bookmarkEnd w:id="554"/>
    </w:p>
    <w:p>
      <w:pPr>
        <w:spacing w:before="0" w:after="0"/>
      </w:pPr>
      <w:r>
        <w:br w:type="page"/>
      </w:r>
    </w:p>
    <w:p>
      <w:pPr>
        <w:spacing w:before="120" w:after="80"/>
        <w:ind w:firstLine="0"/>
        <w:jc w:val="both"/>
      </w:pPr>
      <w:bookmarkStart w:id="152" w:name="Figure1cals"/>
      <w:hyperlink w:anchor="Figure1calstxt" w:history="1">
        <w:r>
          <w:rPr>
            <w:b/>
            <w:sz w:val="20"/>
            <w:color w:val="1F3864"/>
            <w:u w:val="single"/>
          </w:rPr>
          <w:t>Figure 1</w:t>
        </w:r>
      </w:hyperlink>
      <w:bookmarkEnd w:id="152"/>
      <w:r>
        <w:rPr>
          <w:b/>
          <w:sz w:val="20"/>
        </w:rPr>
        <w:t>. Model structure</w:t>
      </w:r>
    </w:p>
    <w:p>
      <w:pPr>
        <w:spacing w:before="80" w:after="80"/>
        <w:jc w:val="center"/>
      </w:pPr>
      <w:r>
        <w:drawing>
          <wp:inline xmlns:a="http://schemas.openxmlformats.org/drawingml/2006/main" xmlns:pic="http://schemas.openxmlformats.org/drawingml/2006/picture">
            <wp:extent cx="5943600" cy="4911511"/>
            <wp:docPr id="1" name="Picture 1"/>
            <wp:cNvGraphicFramePr>
              <a:graphicFrameLocks noChangeAspect="1"/>
            </wp:cNvGraphicFramePr>
            <a:graphic>
              <a:graphicData uri="http://schemas.openxmlformats.org/drawingml/2006/picture">
                <pic:pic>
                  <pic:nvPicPr>
                    <pic:cNvPr id="0" name="figure1_model_structure.png"/>
                    <pic:cNvPicPr/>
                  </pic:nvPicPr>
                  <pic:blipFill>
                    <a:blip r:embed="rId10"/>
                    <a:stretch>
                      <a:fillRect/>
                    </a:stretch>
                  </pic:blipFill>
                  <pic:spPr>
                    <a:xfrm>
                      <a:off x="0" y="0"/>
                      <a:ext cx="5943600" cy="4911511"/>
                    </a:xfrm>
                    <a:prstGeom prst="rect"/>
                  </pic:spPr>
                </pic:pic>
              </a:graphicData>
            </a:graphic>
          </wp:inline>
        </w:drawing>
      </w:r>
    </w:p>
    <w:p>
      <w:pPr>
        <w:spacing w:before="80" w:after="120" w:line="240" w:lineRule="auto"/>
        <w:ind w:firstLine="0" w:left="720" w:right="720"/>
        <w:jc w:val="left"/>
      </w:pPr>
      <w:r>
        <w:rPr>
          <w:b/>
          <w:sz w:val="20"/>
        </w:rPr>
        <w:t xml:space="preserve">Notes: </w:t>
      </w:r>
      <w:r>
        <w:rPr>
          <w:sz w:val="20"/>
        </w:rPr>
        <w:t>Country endowments (gray) determine production cost cⱼ, which together with capacity Kⱼ (purple) sets the world training price pₜ* and regional inference price pᵢ*(k). Regime conditions sort countries into five equilibrium regimes (coral) from Proposition 1.</w:t>
      </w:r>
    </w:p>
    <w:p>
      <w:pPr>
        <w:spacing w:before="0" w:after="0"/>
      </w:pPr>
      <w:r>
        <w:br w:type="page"/>
      </w:r>
    </w:p>
    <w:p>
      <w:pPr>
        <w:spacing w:before="200" w:after="80"/>
        <w:ind w:firstLine="0"/>
        <w:jc w:val="both"/>
      </w:pPr>
      <w:bookmarkStart w:id="131" w:name="Table1"/>
      <w:hyperlink w:anchor="Table1txt" w:history="1">
        <w:r>
          <w:rPr>
            <w:b/>
            <w:sz w:val="20"/>
            <w:color w:val="1F3864"/>
            <w:u w:val="single"/>
          </w:rPr>
          <w:t>Table 1</w:t>
        </w:r>
      </w:hyperlink>
      <w:bookmarkEnd w:id="131"/>
      <w:r>
        <w:rPr>
          <w:b/>
          <w:sz w:val="20"/>
        </w:rPr>
        <w:t>. Country regime taxonomy (Proposition 1)</w:t>
      </w:r>
    </w:p>
    <w:tbl>
      <w:tblPr>
        <w:tblStyle w:val="TableGrid"/>
        <w:tblW w:type="pct" w:w="4800"/>
        <w:jc w:val="center"/>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28"/>
        <w:gridCol w:w="1728"/>
        <w:gridCol w:w="1728"/>
        <w:gridCol w:w="1728"/>
        <w:gridCol w:w="1728"/>
      </w:tblGrid>
      <w:tr>
        <w:tc>
          <w:tcPr>
            <w:tcW w:type="dxa" w:w="1728"/>
            <w:vMerge w:val="restart"/>
          </w:tcPr>
          <w:p>
            <w:pPr>
              <w:jc w:val="center"/>
              <w:spacing w:before="20" w:after="20"/>
            </w:pPr>
            <w:r/>
            <w:r>
              <w:rPr>
                <w:b w:val="0"/>
                <w:i w:val="0"/>
                <w:sz w:val="14"/>
              </w:rPr>
            </w:r>
          </w:p>
          <w:p>
            <w:pPr>
              <w:jc w:val="center"/>
              <w:spacing w:before="20" w:after="20"/>
            </w:pPr>
            <w:r/>
            <w:r>
              <w:rPr>
                <w:b w:val="0"/>
                <w:i w:val="0"/>
                <w:sz w:val="14"/>
              </w:rPr>
            </w:r>
          </w:p>
        </w:tc>
        <w:tc>
          <w:tcPr>
            <w:tcW w:type="dxa" w:w="1728"/>
            <w:vMerge w:val="restart"/>
          </w:tcPr>
          <w:p>
            <w:pPr>
              <w:jc w:val="center"/>
              <w:spacing w:before="20" w:after="20"/>
            </w:pPr>
            <w:r/>
            <w:r>
              <w:rPr>
                <w:b w:val="0"/>
                <w:i w:val="0"/>
                <w:sz w:val="14"/>
              </w:rPr>
            </w:r>
          </w:p>
          <w:p>
            <w:pPr>
              <w:jc w:val="center"/>
              <w:spacing w:before="20" w:after="20"/>
            </w:pPr>
            <w:r/>
            <w:r>
              <w:rPr>
                <w:b w:val="0"/>
                <w:i w:val="0"/>
                <w:sz w:val="14"/>
              </w:rPr>
            </w:r>
          </w:p>
        </w:tc>
        <w:tc>
          <w:tcPr>
            <w:tcW w:type="dxa" w:w="5184"/>
            <w:gridSpan w:val="3"/>
          </w:tcPr>
          <w:p>
            <w:pPr>
              <w:jc w:val="center"/>
              <w:spacing w:before="20" w:after="20"/>
            </w:pPr>
            <w:r/>
            <w:r>
              <w:rPr>
                <w:b/>
                <w:sz w:val="18"/>
              </w:rPr>
              <w:t>Training</w:t>
            </w:r>
            <w:r>
              <w:br/>
            </w:r>
            <w:r>
              <w:rPr>
                <w:i/>
                <w:sz w:val="14"/>
              </w:rPr>
              <w:t>domestic production cost →</w:t>
            </w:r>
          </w:p>
        </w:tc>
      </w:tr>
      <w:tr>
        <w:tc>
          <w:tcPr>
            <w:tcW w:type="dxa" w:w="1728"/>
            <w:vMerge/>
          </w:tcPr>
          <w:p/>
        </w:tc>
        <w:tc>
          <w:tcPr>
            <w:tcW w:type="dxa" w:w="1728"/>
            <w:vMerge/>
          </w:tcPr>
          <w:p/>
        </w:tc>
        <w:tc>
          <w:tcPr>
            <w:tcW w:type="dxa" w:w="1728"/>
          </w:tcPr>
          <w:p>
            <w:pPr>
              <w:jc w:val="center"/>
              <w:spacing w:before="20" w:after="20"/>
            </w:pPr>
            <w:r/>
            <w:r>
              <w:rPr>
                <w:b/>
                <w:i w:val="0"/>
                <w:sz w:val="16"/>
              </w:rPr>
              <w:t>Export</w:t>
            </w:r>
          </w:p>
        </w:tc>
        <w:tc>
          <w:tcPr>
            <w:tcW w:type="dxa" w:w="1728"/>
          </w:tcPr>
          <w:p>
            <w:pPr>
              <w:jc w:val="center"/>
              <w:spacing w:before="20" w:after="20"/>
            </w:pPr>
            <w:r/>
            <w:r>
              <w:rPr>
                <w:b/>
                <w:i w:val="0"/>
                <w:sz w:val="16"/>
              </w:rPr>
              <w:t>Domestic</w:t>
            </w:r>
          </w:p>
        </w:tc>
        <w:tc>
          <w:tcPr>
            <w:tcW w:type="dxa" w:w="1728"/>
          </w:tcPr>
          <w:p>
            <w:pPr>
              <w:jc w:val="center"/>
              <w:spacing w:before="20" w:after="20"/>
            </w:pPr>
            <w:r/>
            <w:r>
              <w:rPr>
                <w:b/>
                <w:i w:val="0"/>
                <w:sz w:val="16"/>
              </w:rPr>
              <w:t>Import</w:t>
            </w:r>
          </w:p>
        </w:tc>
      </w:tr>
      <w:tr>
        <w:tc>
          <w:tcPr>
            <w:tcW w:type="dxa" w:w="1728"/>
            <w:vMerge w:val="restart"/>
            <w:textDirection w:val="btLr"/>
            <w:vAlign w:val="center"/>
          </w:tcPr>
          <w:p>
            <w:pPr>
              <w:jc w:val="center"/>
              <w:spacing w:before="20" w:after="20"/>
            </w:pPr>
            <w:r/>
            <w:r>
              <w:rPr>
                <w:b/>
                <w:sz w:val="18"/>
              </w:rPr>
              <w:t>Inference</w:t>
            </w:r>
            <w:r>
              <w:br/>
            </w:r>
            <w:r>
              <w:rPr>
                <w:i/>
                <w:sz w:val="14"/>
              </w:rPr>
              <w:t>← domestic production cost</w:t>
            </w:r>
          </w:p>
        </w:tc>
        <w:tc>
          <w:tcPr>
            <w:tcW w:type="dxa" w:w="1728"/>
          </w:tcPr>
          <w:p>
            <w:pPr>
              <w:jc w:val="center"/>
              <w:spacing w:before="20" w:after="20"/>
            </w:pPr>
            <w:r/>
            <w:r>
              <w:rPr>
                <w:b/>
                <w:i w:val="0"/>
                <w:sz w:val="16"/>
              </w:rPr>
              <w:t>Export</w:t>
            </w:r>
          </w:p>
        </w:tc>
        <w:tc>
          <w:tcPr>
            <w:tcW w:type="dxa" w:w="1728"/>
          </w:tcPr>
          <w:p>
            <w:pPr>
              <w:jc w:val="center"/>
              <w:spacing w:before="20" w:after="20"/>
            </w:pPr>
            <w:r/>
            <w:r>
              <w:rPr>
                <w:b w:val="0"/>
                <w:i w:val="0"/>
                <w:sz w:val="15"/>
              </w:rPr>
              <w:t>✓  (i) EE</w:t>
            </w:r>
            <w:r>
              <w:br/>
            </w:r>
            <w:r>
              <w:rPr>
                <w:b w:val="0"/>
                <w:i w:val="0"/>
                <w:sz w:val="15"/>
              </w:rPr>
              <w:t>T+I exporter</w:t>
            </w:r>
            <w:r>
              <w:br/>
            </w:r>
            <w:r>
              <w:rPr>
                <w:b w:val="0"/>
                <w:i w:val="0"/>
                <w:sz w:val="15"/>
              </w:rPr>
              <w:t>Cheapest producers</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(ii) IE</w:t>
            </w:r>
            <w:r>
              <w:br/>
            </w:r>
            <w:r>
              <w:rPr>
                <w:b w:val="0"/>
                <w:i w:val="0"/>
                <w:sz w:val="15"/>
              </w:rPr>
              <w:t>Inference hub</w:t>
            </w:r>
            <w:r>
              <w:br/>
            </w:r>
            <w:r>
              <w:rPr>
                <w:b w:val="0"/>
                <w:i w:val="0"/>
                <w:sz w:val="15"/>
              </w:rPr>
              <w:t>Regional low-cost hubs</w:t>
            </w:r>
          </w:p>
        </w:tc>
      </w:tr>
      <w:tr>
        <w:tc>
          <w:tcPr>
            <w:tcW w:type="dxa" w:w="1728"/>
            <w:vMerge/>
          </w:tcPr>
          <w:p/>
        </w:tc>
        <w:tc>
          <w:tcPr>
            <w:tcW w:type="dxa" w:w="1728"/>
          </w:tcPr>
          <w:p>
            <w:pPr>
              <w:jc w:val="center"/>
              <w:spacing w:before="20" w:after="20"/>
            </w:pPr>
            <w:r/>
            <w:r>
              <w:rPr>
                <w:b/>
                <w:i w:val="0"/>
                <w:sz w:val="16"/>
              </w:rPr>
              <w:t>Domestic</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tcPr>
          <w:p>
            <w:pPr>
              <w:jc w:val="center"/>
              <w:spacing w:before="20" w:after="20"/>
            </w:pPr>
            <w:r/>
            <w:r>
              <w:rPr>
                <w:b w:val="0"/>
                <w:i w:val="0"/>
                <w:sz w:val="15"/>
              </w:rPr>
              <w:t>✓  (iv) DD</w:t>
            </w:r>
            <w:r>
              <w:br/>
            </w:r>
            <w:r>
              <w:rPr>
                <w:b w:val="0"/>
                <w:i w:val="0"/>
                <w:sz w:val="15"/>
              </w:rPr>
              <w:t>Domestic</w:t>
            </w:r>
            <w:r>
              <w:br/>
            </w:r>
            <w:r>
              <w:rPr>
                <w:b w:val="0"/>
                <w:i w:val="0"/>
                <w:sz w:val="15"/>
              </w:rPr>
              <w:t>High sovereignty</w:t>
            </w:r>
          </w:p>
        </w:tc>
        <w:tc>
          <w:tcPr>
            <w:tcW w:type="dxa" w:w="1728"/>
          </w:tcPr>
          <w:p>
            <w:pPr>
              <w:jc w:val="center"/>
              <w:spacing w:before="20" w:after="20"/>
            </w:pPr>
            <w:r/>
            <w:r>
              <w:rPr>
                <w:b w:val="0"/>
                <w:i w:val="0"/>
                <w:sz w:val="15"/>
              </w:rPr>
              <w:t>✓  (iii) ID</w:t>
            </w:r>
            <w:r>
              <w:br/>
            </w:r>
            <w:r>
              <w:rPr>
                <w:b w:val="0"/>
                <w:i w:val="0"/>
                <w:sz w:val="15"/>
              </w:rPr>
              <w:t>Hybrid</w:t>
            </w:r>
            <w:r>
              <w:br/>
            </w:r>
            <w:r>
              <w:rPr>
                <w:b w:val="0"/>
                <w:i w:val="0"/>
                <w:sz w:val="15"/>
              </w:rPr>
              <w:t>Isolated / moderate cost</w:t>
            </w:r>
          </w:p>
        </w:tc>
      </w:tr>
      <w:tr>
        <w:tc>
          <w:tcPr>
            <w:tcW w:type="dxa" w:w="1728"/>
            <w:vMerge/>
          </w:tcPr>
          <w:p/>
        </w:tc>
        <w:tc>
          <w:tcPr>
            <w:tcW w:type="dxa" w:w="1728"/>
          </w:tcPr>
          <w:p>
            <w:pPr>
              <w:jc w:val="center"/>
              <w:spacing w:before="20" w:after="20"/>
            </w:pPr>
            <w:r/>
            <w:r>
              <w:rPr>
                <w:b/>
                <w:i w:val="0"/>
                <w:sz w:val="16"/>
              </w:rPr>
              <w:t>Import</w:t>
            </w:r>
          </w:p>
        </w:tc>
        <w:tc>
          <w:tcPr>
            <w:tcW w:type="dxa" w:w="1728"/>
            <w:shd w:val="clear" w:color="auto" w:fill="E0E0E0"/>
          </w:tcPr>
          <w:p>
            <w:pPr>
              <w:jc w:val="center"/>
              <w:spacing w:before="20" w:after="20"/>
            </w:pPr>
            <w:r/>
            <w:r>
              <w:rPr>
                <w:b w:val="0"/>
                <w:i w:val="0"/>
                <w:sz w:val="15"/>
              </w:rPr>
              <w:t>✗</w:t>
            </w:r>
            <w:r>
              <w:br/>
            </w:r>
            <w:r>
              <w:rPr>
                <w:b w:val="0"/>
                <w:i w:val="0"/>
                <w:sz w:val="15"/>
              </w:rPr>
              <w:t>Prop. 4</w:t>
            </w:r>
          </w:p>
        </w:tc>
        <w:tc>
          <w:tcPr>
            <w:tcW w:type="dxa" w:w="1728"/>
            <w:shd w:val="clear" w:color="auto" w:fill="E0E0E0"/>
          </w:tcPr>
          <w:p>
            <w:pPr>
              <w:jc w:val="center"/>
              <w:spacing w:before="20" w:after="20"/>
            </w:pPr>
            <w:r/>
            <w:r>
              <w:rPr>
                <w:b w:val="0"/>
                <w:i w:val="0"/>
                <w:sz w:val="15"/>
              </w:rPr>
              <w:t>✗</w:t>
            </w:r>
            <w:r>
              <w:br/>
            </w:r>
            <w:r>
              <w:rPr>
                <w:b w:val="0"/>
                <w:i w:val="0"/>
                <w:sz w:val="15"/>
              </w:rPr>
              <w:t>Sovereignty</w:t>
            </w:r>
            <w:r>
              <w:br/>
            </w:r>
            <w:r>
              <w:rPr>
                <w:b w:val="0"/>
                <w:i w:val="0"/>
                <w:sz w:val="15"/>
              </w:rPr>
              <w:t>dominates</w:t>
            </w:r>
          </w:p>
        </w:tc>
        <w:tc>
          <w:tcPr>
            <w:tcW w:type="dxa" w:w="1728"/>
          </w:tcPr>
          <w:p>
            <w:pPr>
              <w:jc w:val="center"/>
              <w:spacing w:before="20" w:after="20"/>
            </w:pPr>
            <w:r/>
            <w:r>
              <w:rPr>
                <w:b w:val="0"/>
                <w:i w:val="0"/>
                <w:sz w:val="15"/>
              </w:rPr>
              <w:t>✓  (v) II</w:t>
            </w:r>
            <w:r>
              <w:br/>
            </w:r>
            <w:r>
              <w:rPr>
                <w:b w:val="0"/>
                <w:i w:val="0"/>
                <w:sz w:val="15"/>
              </w:rPr>
              <w:t>Full importer</w:t>
            </w:r>
            <w:r>
              <w:br/>
            </w:r>
            <w:r>
              <w:rPr>
                <w:b w:val="0"/>
                <w:i w:val="0"/>
                <w:sz w:val="15"/>
              </w:rPr>
              <w:t>High-cost countries</w:t>
            </w:r>
          </w:p>
        </w:tc>
      </w:tr>
    </w:tbl>
    <w:p>
      <w:pPr>
        <w:spacing w:before="40" w:after="0" w:line="240" w:lineRule="auto"/>
        <w:ind w:firstLine="0"/>
        <w:jc w:val="left"/>
      </w:pPr>
      <w:r>
        <w:rPr>
          <w:sz w:val="20"/>
        </w:rPr>
        <w:t xml:space="preserve">Notes: ✓ = feasible in equilibrium. ✗ = ruled out. Grey cells cannot arise. Roman numerals correspond to regime labels in Proposition 1. Letter codes (EE, IE, ID, DD, II) denote training status (first letter: E = export, I = import, D = domestic) and inference status (second letter), used in </w:t>
      </w:r>
      <w:hyperlink w:anchor="Table3" w:history="1">
        <w:r>
          <w:rPr>
            <w:sz w:val="20"/>
            <w:color w:val="1F3864"/>
            <w:u w:val="single"/>
          </w:rPr>
          <w:t xml:space="preserve">Table 3</w:t>
        </w:r>
      </w:hyperlink>
      <w:r>
        <w:rPr>
          <w:sz w:val="20"/>
        </w:rPr>
        <w:t>.</w:t>
      </w:r>
    </w:p>
    <w:p>
      <w:pPr>
        <w:spacing w:before="0" w:after="0"/>
      </w:pPr>
      <w:r>
        <w:br w:type="page"/>
      </w:r>
    </w:p>
    <w:p>
      <w:pPr>
        <w:spacing w:before="120" w:after="60"/>
        <w:ind w:firstLine="0"/>
        <w:jc w:val="both"/>
      </w:pPr>
      <w:bookmarkStart w:id="110" w:name="Table2"/>
      <w:hyperlink w:anchor="Table2txt" w:history="1">
        <w:r>
          <w:rPr>
            <w:b/>
            <w:sz w:val="20"/>
            <w:color w:val="1F3864"/>
            <w:u w:val="single"/>
          </w:rPr>
          <w:t>Table 2</w:t>
        </w:r>
      </w:hyperlink>
      <w:bookmarkEnd w:id="110"/>
      <w:r>
        <w:rPr>
          <w:b/>
          <w:sz w:val="20"/>
        </w:rPr>
        <w:t>. Model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744"/>
            <w:tcBorders>
              <w:top w:val="single" w:sz="4" w:space="0" w:color="auto"/>
              <w:bottom w:val="single" w:sz="4" w:space="0" w:color="auto"/>
            </w:tcBorders>
          </w:tcPr>
          <w:p>
            <w:pPr>
              <w:jc w:val="center"/>
              <w:spacing w:before="10" w:after="10"/>
            </w:pPr>
            <w:r/>
            <w:r>
              <w:rPr>
                <w:rFonts w:ascii="Times New Roman" w:hAnsi="Times New Roman"/>
                <w:b/>
                <w:sz w:val="20"/>
              </w:rPr>
              <w:t>Parameter</w:t>
            </w:r>
          </w:p>
        </w:tc>
        <w:tc>
          <w:tcPr>
            <w:tcW w:type="dxa" w:w="864"/>
            <w:tcBorders>
              <w:top w:val="single" w:sz="4" w:space="0" w:color="auto"/>
              <w:bottom w:val="single" w:sz="4" w:space="0" w:color="auto"/>
            </w:tcBorders>
          </w:tcPr>
          <w:p>
            <w:pPr>
              <w:jc w:val="center"/>
              <w:spacing w:before="10" w:after="10"/>
            </w:pPr>
            <w:r/>
            <w:r>
              <w:rPr>
                <w:rFonts w:ascii="Times New Roman" w:hAnsi="Times New Roman"/>
                <w:b/>
                <w:sz w:val="20"/>
              </w:rPr>
              <w:t>Symbol</w:t>
            </w:r>
          </w:p>
        </w:tc>
        <w:tc>
          <w:tcPr>
            <w:tcW w:type="dxa" w:w="2160"/>
            <w:tcBorders>
              <w:top w:val="single" w:sz="4" w:space="0" w:color="auto"/>
              <w:bottom w:val="single" w:sz="4" w:space="0" w:color="auto"/>
            </w:tcBorders>
          </w:tcPr>
          <w:p>
            <w:pPr>
              <w:jc w:val="center"/>
              <w:spacing w:before="10" w:after="10"/>
            </w:pPr>
            <w:r/>
            <w:r>
              <w:rPr>
                <w:rFonts w:ascii="Times New Roman" w:hAnsi="Times New Roman"/>
                <w:b/>
                <w:sz w:val="20"/>
              </w:rPr>
              <w:t>Value</w:t>
            </w:r>
          </w:p>
        </w:tc>
        <w:tc>
          <w:tcPr>
            <w:tcW w:type="dxa" w:w="2592"/>
            <w:tcBorders>
              <w:top w:val="single" w:sz="4" w:space="0" w:color="auto"/>
              <w:bottom w:val="single" w:sz="4" w:space="0" w:color="auto"/>
            </w:tcBorders>
          </w:tcPr>
          <w:p>
            <w:pPr>
              <w:jc w:val="center"/>
              <w:spacing w:before="10" w:after="10"/>
            </w:pPr>
            <w:r/>
            <w:r>
              <w:rPr>
                <w:rFonts w:ascii="Times New Roman" w:hAnsi="Times New Roman"/>
                <w:b/>
                <w:sz w:val="20"/>
              </w:rPr>
              <w:t>Source</w:t>
            </w:r>
          </w:p>
        </w:tc>
      </w:tr>
      <w:tr>
        <w:tc>
          <w:tcPr>
            <w:tcW w:type="dxa" w:w="3744"/>
          </w:tcPr>
          <w:p>
            <w:pPr>
              <w:jc w:val="left"/>
              <w:spacing w:before="10" w:after="10"/>
            </w:pPr>
            <w:r/>
            <w:r>
              <w:rPr>
                <w:rFonts w:ascii="Times New Roman" w:hAnsi="Times New Roman"/>
                <w:sz w:val="20"/>
              </w:rPr>
              <w:t>GPU thermal design power</w:t>
            </w:r>
          </w:p>
        </w:tc>
        <w:tc>
          <w:tcPr>
            <w:tcW w:type="dxa" w:w="864"/>
          </w:tcPr>
          <w:p>
            <w:pPr>
              <w:jc w:val="center"/>
              <w:spacing w:before="10" w:after="10"/>
            </w:pPr>
            <w:r/>
            <w:r>
              <w:rPr>
                <w:rFonts w:ascii="Times New Roman" w:hAnsi="Times New Roman"/>
                <w:sz w:val="20"/>
              </w:rPr>
              <w:t>γ</w:t>
            </w:r>
          </w:p>
        </w:tc>
        <w:tc>
          <w:tcPr>
            <w:tcW w:type="dxa" w:w="2160"/>
          </w:tcPr>
          <w:p>
            <w:pPr>
              <w:jc w:val="center"/>
              <w:spacing w:before="10" w:after="10"/>
            </w:pPr>
            <w:r/>
            <w:r>
              <w:rPr>
                <w:rFonts w:ascii="Times New Roman" w:hAnsi="Times New Roman"/>
                <w:sz w:val="20"/>
              </w:rPr>
              <w:t>0.700 kW</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purchase price</w:t>
            </w:r>
          </w:p>
        </w:tc>
        <w:tc>
          <w:tcPr>
            <w:tcW w:type="dxa" w:w="864"/>
          </w:tcPr>
          <w:p>
            <w:pPr>
              <w:jc w:val="center"/>
              <w:spacing w:before="10" w:after="10"/>
            </w:pPr>
            <w:r/>
            <w:r>
              <w:rPr>
                <w:rFonts w:ascii="Times New Roman" w:hAnsi="Times New Roman"/>
                <w:i/>
                <w:sz w:val="20"/>
              </w:rPr>
              <w:t>P</w:t>
            </w:r>
            <w:r>
              <w:rPr>
                <w:rFonts w:ascii="Times New Roman" w:hAnsi="Times New Roman"/>
                <w:sz w:val="20"/>
                <w:vertAlign w:val="subscript"/>
              </w:rPr>
              <w:t>GPU</w:t>
            </w:r>
          </w:p>
        </w:tc>
        <w:tc>
          <w:tcPr>
            <w:tcW w:type="dxa" w:w="2160"/>
          </w:tcPr>
          <w:p>
            <w:pPr>
              <w:jc w:val="center"/>
              <w:spacing w:before="10" w:after="10"/>
            </w:pPr>
            <w:r/>
            <w:r>
              <w:rPr>
                <w:rFonts w:ascii="Times New Roman" w:hAnsi="Times New Roman"/>
                <w:sz w:val="20"/>
              </w:rPr>
              <w:t>$25,000</w:t>
            </w:r>
          </w:p>
        </w:tc>
        <w:tc>
          <w:tcPr>
            <w:tcW w:type="dxa" w:w="2592"/>
          </w:tcPr>
          <w:p>
            <w:pPr>
              <w:jc w:val="left"/>
              <w:spacing w:before="10" w:after="10"/>
            </w:pPr>
            <w:r/>
            <w:hyperlink w:anchor="NVIDIA2024" w:history="1">
              <w:r>
                <w:rPr>
                  <w:sz w:val="20"/>
                  <w:rFonts w:ascii="Times New Roman" w:hAnsi="Times New Roman"/>
                  <w:color w:val="1F3864"/>
                  <w:u w:val="single"/>
                </w:rPr>
                <w:t xml:space="preserve">NVIDIA (2024)</w:t>
              </w:r>
            </w:hyperlink>
          </w:p>
        </w:tc>
      </w:tr>
      <w:tr>
        <w:tc>
          <w:tcPr>
            <w:tcW w:type="dxa" w:w="3744"/>
          </w:tcPr>
          <w:p>
            <w:pPr>
              <w:jc w:val="left"/>
              <w:spacing w:before="10" w:after="10"/>
            </w:pPr>
            <w:r/>
            <w:r>
              <w:rPr>
                <w:rFonts w:ascii="Times New Roman" w:hAnsi="Times New Roman"/>
                <w:sz w:val="20"/>
              </w:rPr>
              <w:t>GPU useful life</w:t>
            </w:r>
          </w:p>
        </w:tc>
        <w:tc>
          <w:tcPr>
            <w:tcW w:type="dxa" w:w="864"/>
          </w:tcPr>
          <w:p>
            <w:pPr>
              <w:jc w:val="center"/>
              <w:spacing w:before="10" w:after="10"/>
            </w:pPr>
            <w:r/>
            <w:r>
              <w:rPr>
                <w:rFonts w:ascii="Times New Roman" w:hAnsi="Times New Roman"/>
                <w:sz w:val="20"/>
              </w:rPr>
              <w:t>L</w:t>
            </w:r>
          </w:p>
        </w:tc>
        <w:tc>
          <w:tcPr>
            <w:tcW w:type="dxa" w:w="2160"/>
          </w:tcPr>
          <w:p>
            <w:pPr>
              <w:jc w:val="center"/>
              <w:spacing w:before="10" w:after="10"/>
            </w:pPr>
            <w:r/>
            <w:r>
              <w:rPr>
                <w:rFonts w:ascii="Times New Roman" w:hAnsi="Times New Roman"/>
                <w:sz w:val="20"/>
              </w:rPr>
              <w:t>3 years</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GPU utilization rate</w:t>
            </w:r>
          </w:p>
        </w:tc>
        <w:tc>
          <w:tcPr>
            <w:tcW w:type="dxa" w:w="864"/>
          </w:tcPr>
          <w:p>
            <w:pPr>
              <w:jc w:val="center"/>
              <w:spacing w:before="10" w:after="10"/>
            </w:pPr>
            <w:r/>
            <w:r>
              <w:rPr>
                <w:rFonts w:ascii="Times New Roman" w:hAnsi="Times New Roman"/>
                <w:sz w:val="20"/>
              </w:rPr>
              <w:t>β</w:t>
            </w:r>
          </w:p>
        </w:tc>
        <w:tc>
          <w:tcPr>
            <w:tcW w:type="dxa" w:w="2160"/>
          </w:tcPr>
          <w:p>
            <w:pPr>
              <w:jc w:val="center"/>
              <w:spacing w:before="10" w:after="10"/>
            </w:pPr>
            <w:r/>
            <w:r>
              <w:rPr>
                <w:rFonts w:ascii="Times New Roman" w:hAnsi="Times New Roman"/>
                <w:sz w:val="20"/>
              </w:rPr>
              <w:t>0.70</w:t>
            </w:r>
          </w:p>
        </w:tc>
        <w:tc>
          <w:tcPr>
            <w:tcW w:type="dxa" w:w="2592"/>
          </w:tcPr>
          <w:p>
            <w:pPr>
              <w:jc w:val="left"/>
              <w:spacing w:before="10" w:after="10"/>
            </w:pPr>
            <w:r/>
            <w:hyperlink w:anchor="Barroso2018" w:history="1">
              <w:r>
                <w:rPr>
                  <w:sz w:val="20"/>
                  <w:rFonts w:ascii="Times New Roman" w:hAnsi="Times New Roman"/>
                  <w:color w:val="1F3864"/>
                  <w:u w:val="single"/>
                </w:rPr>
                <w:t xml:space="preserve">Barroso et al. (2018)</w:t>
              </w:r>
            </w:hyperlink>
          </w:p>
        </w:tc>
      </w:tr>
      <w:tr>
        <w:tc>
          <w:tcPr>
            <w:tcW w:type="dxa" w:w="3744"/>
          </w:tcPr>
          <w:p>
            <w:pPr>
              <w:jc w:val="left"/>
              <w:spacing w:before="10" w:after="10"/>
            </w:pPr>
            <w:r/>
            <w:r>
              <w:rPr>
                <w:rFonts w:ascii="Times New Roman" w:hAnsi="Times New Roman"/>
                <w:sz w:val="20"/>
              </w:rPr>
              <w:t>Hours per year (365.25 x 24)</w:t>
            </w:r>
          </w:p>
        </w:tc>
        <w:tc>
          <w:tcPr>
            <w:tcW w:type="dxa" w:w="864"/>
          </w:tcPr>
          <w:p>
            <w:pPr>
              <w:jc w:val="center"/>
              <w:spacing w:before="10" w:after="10"/>
            </w:pPr>
            <w:r/>
            <w:r>
              <w:rPr>
                <w:rFonts w:ascii="Times New Roman" w:hAnsi="Times New Roman"/>
                <w:sz w:val="20"/>
              </w:rPr>
              <w:t>H</w:t>
            </w:r>
          </w:p>
        </w:tc>
        <w:tc>
          <w:tcPr>
            <w:tcW w:type="dxa" w:w="2160"/>
          </w:tcPr>
          <w:p>
            <w:pPr>
              <w:jc w:val="center"/>
              <w:spacing w:before="10" w:after="10"/>
            </w:pPr>
            <w:r/>
            <w:r>
              <w:rPr>
                <w:rFonts w:ascii="Times New Roman" w:hAnsi="Times New Roman"/>
                <w:sz w:val="20"/>
              </w:rPr>
              <w:t>8766 hr/yr</w:t>
            </w:r>
          </w:p>
        </w:tc>
        <w:tc>
          <w:tcPr>
            <w:tcW w:type="dxa" w:w="2592"/>
          </w:tcPr>
          <w:p>
            <w:pPr>
              <w:jc w:val="left"/>
              <w:spacing w:before="10" w:after="10"/>
            </w:pPr>
            <w:r/>
            <w:r>
              <w:rPr>
                <w:rFonts w:ascii="Times New Roman" w:hAnsi="Times New Roman"/>
                <w:sz w:val="20"/>
              </w:rPr>
              <w:t>Calendar</w:t>
            </w:r>
          </w:p>
        </w:tc>
      </w:tr>
      <w:tr>
        <w:tc>
          <w:tcPr>
            <w:tcW w:type="dxa" w:w="3744"/>
          </w:tcPr>
          <w:p>
            <w:pPr>
              <w:jc w:val="left"/>
              <w:spacing w:before="10" w:after="10"/>
            </w:pPr>
            <w:r/>
            <w:r>
              <w:rPr>
                <w:rFonts w:ascii="Times New Roman" w:hAnsi="Times New Roman"/>
                <w:sz w:val="20"/>
              </w:rPr>
              <w:t>Amortized hardware cost per GPU-hour</w:t>
            </w:r>
          </w:p>
        </w:tc>
        <w:tc>
          <w:tcPr>
            <w:tcW w:type="dxa" w:w="864"/>
          </w:tcPr>
          <w:p>
            <w:pPr>
              <w:jc w:val="center"/>
              <w:spacing w:before="10" w:after="10"/>
            </w:pPr>
            <w:r/>
            <w:r>
              <w:rPr>
                <w:rFonts w:ascii="Times New Roman" w:hAnsi="Times New Roman"/>
                <w:sz w:val="20"/>
              </w:rPr>
              <w:t>ρ</w:t>
            </w:r>
          </w:p>
        </w:tc>
        <w:tc>
          <w:tcPr>
            <w:tcW w:type="dxa" w:w="2160"/>
          </w:tcPr>
          <w:p>
            <w:pPr>
              <w:jc w:val="center"/>
              <w:spacing w:before="10" w:after="10"/>
            </w:pPr>
            <w:r/>
            <w:r>
              <w:rPr>
                <w:rFonts w:ascii="Times New Roman" w:hAnsi="Times New Roman"/>
                <w:sz w:val="20"/>
              </w:rPr>
              <w:t>$1.36/hr</w:t>
            </w:r>
          </w:p>
        </w:tc>
        <w:tc>
          <w:tcPr>
            <w:tcW w:type="dxa" w:w="2592"/>
          </w:tcPr>
          <w:p>
            <w:pPr>
              <w:jc w:val="left"/>
              <w:spacing w:before="10" w:after="10"/>
            </w:pPr>
            <w:r/>
            <w:r>
              <w:rPr>
                <w:rFonts w:ascii="Times New Roman" w:hAnsi="Times New Roman"/>
                <w:sz w:val="20"/>
              </w:rPr>
              <w:t>Derived</w:t>
            </w:r>
          </w:p>
        </w:tc>
      </w:tr>
      <w:tr>
        <w:tc>
          <w:tcPr>
            <w:tcW w:type="dxa" w:w="3744"/>
          </w:tcPr>
          <w:p>
            <w:pPr>
              <w:jc w:val="left"/>
              <w:spacing w:before="10" w:after="10"/>
            </w:pPr>
            <w:r/>
            <w:r>
              <w:rPr>
                <w:rFonts w:ascii="Times New Roman" w:hAnsi="Times New Roman"/>
                <w:sz w:val="20"/>
              </w:rPr>
              <w:t>Amortized networking cost per GPU-hour</w:t>
            </w:r>
          </w:p>
        </w:tc>
        <w:tc>
          <w:tcPr>
            <w:tcW w:type="dxa" w:w="864"/>
          </w:tcPr>
          <w:p>
            <w:pPr>
              <w:jc w:val="center"/>
              <w:spacing w:before="10" w:after="10"/>
            </w:pPr>
            <w:r/>
            <w:r>
              <w:rPr>
                <w:rFonts w:ascii="Times New Roman" w:hAnsi="Times New Roman"/>
                <w:sz w:val="20"/>
              </w:rPr>
              <w:t>η</w:t>
            </w:r>
          </w:p>
        </w:tc>
        <w:tc>
          <w:tcPr>
            <w:tcW w:type="dxa" w:w="2160"/>
          </w:tcPr>
          <w:p>
            <w:pPr>
              <w:jc w:val="center"/>
              <w:spacing w:before="10" w:after="10"/>
            </w:pPr>
            <w:r/>
            <w:r>
              <w:rPr>
                <w:rFonts w:ascii="Times New Roman" w:hAnsi="Times New Roman"/>
                <w:sz w:val="20"/>
              </w:rPr>
              <w:t>$0.15/hr</w:t>
            </w:r>
          </w:p>
        </w:tc>
        <w:tc>
          <w:tcPr>
            <w:tcW w:type="dxa" w:w="2592"/>
          </w:tcPr>
          <w:p>
            <w:pPr>
              <w:jc w:val="left"/>
              <w:spacing w:before="10" w:after="10"/>
            </w:pPr>
            <w:r/>
            <w:hyperlink w:anchor="Liu2023" w:history="1">
              <w:r>
                <w:rPr>
                  <w:sz w:val="20"/>
                  <w:rFonts w:ascii="Times New Roman" w:hAnsi="Times New Roman"/>
                  <w:color w:val="1F3864"/>
                  <w:u w:val="single"/>
                </w:rPr>
                <w:t xml:space="preserve">Liu et al. (2023)</w:t>
              </w:r>
            </w:hyperlink>
          </w:p>
        </w:tc>
      </w:tr>
      <w:tr>
        <w:tc>
          <w:tcPr>
            <w:tcW w:type="dxa" w:w="3744"/>
          </w:tcPr>
          <w:p>
            <w:pPr>
              <w:jc w:val="left"/>
              <w:spacing w:before="10" w:after="10"/>
            </w:pPr>
            <w:r/>
            <w:r>
              <w:rPr>
                <w:rFonts w:ascii="Times New Roman" w:hAnsi="Times New Roman"/>
                <w:sz w:val="20"/>
              </w:rPr>
              <w:t>PUE baseline (best-practice free-air cooling)</w:t>
            </w:r>
          </w:p>
        </w:tc>
        <w:tc>
          <w:tcPr>
            <w:tcW w:type="dxa" w:w="864"/>
          </w:tcPr>
          <w:p>
            <w:pPr>
              <w:jc w:val="center"/>
              <w:spacing w:before="10" w:after="10"/>
            </w:pPr>
            <w:r/>
            <w:r>
              <w:rPr>
                <w:rFonts w:ascii="Times New Roman" w:hAnsi="Times New Roman"/>
                <w:sz w:val="20"/>
              </w:rPr>
              <w:t>φ</w:t>
            </w:r>
          </w:p>
        </w:tc>
        <w:tc>
          <w:tcPr>
            <w:tcW w:type="dxa" w:w="2160"/>
          </w:tcPr>
          <w:p>
            <w:pPr>
              <w:jc w:val="center"/>
              <w:spacing w:before="10" w:after="10"/>
            </w:pPr>
            <w:r/>
            <w:r>
              <w:rPr>
                <w:rFonts w:ascii="Times New Roman" w:hAnsi="Times New Roman"/>
                <w:sz w:val="20"/>
              </w:rPr>
              <w:t>1.08</w:t>
            </w:r>
          </w:p>
        </w:tc>
        <w:tc>
          <w:tcPr>
            <w:tcW w:type="dxa" w:w="2592"/>
          </w:tcPr>
          <w:p>
            <w:pPr>
              <w:jc w:val="left"/>
              <w:spacing w:before="10" w:after="10"/>
            </w:pPr>
            <w:r/>
            <w:hyperlink w:anchor="Google2024" w:history="1">
              <w:r>
                <w:rPr>
                  <w:sz w:val="20"/>
                  <w:rFonts w:ascii="Times New Roman" w:hAnsi="Times New Roman"/>
                  <w:color w:val="1F3864"/>
                  <w:u w:val="single"/>
                </w:rPr>
                <w:t xml:space="preserve">Google (2024)</w:t>
              </w:r>
            </w:hyperlink>
          </w:p>
        </w:tc>
      </w:tr>
      <w:tr>
        <w:tc>
          <w:tcPr>
            <w:tcW w:type="dxa" w:w="3744"/>
          </w:tcPr>
          <w:p>
            <w:pPr>
              <w:jc w:val="left"/>
              <w:spacing w:before="10" w:after="10"/>
            </w:pPr>
            <w:r/>
            <w:r>
              <w:rPr>
                <w:rFonts w:ascii="Times New Roman" w:hAnsi="Times New Roman"/>
                <w:sz w:val="20"/>
              </w:rPr>
              <w:t>PUE temperature sensitivity per degree C</w:t>
            </w:r>
          </w:p>
        </w:tc>
        <w:tc>
          <w:tcPr>
            <w:tcW w:type="dxa" w:w="864"/>
          </w:tcPr>
          <w:p>
            <w:pPr>
              <w:jc w:val="center"/>
              <w:spacing w:before="10" w:after="10"/>
            </w:pPr>
            <w:r/>
            <w:r>
              <w:rPr>
                <w:rFonts w:ascii="Times New Roman" w:hAnsi="Times New Roman"/>
                <w:sz w:val="20"/>
              </w:rPr>
              <w:t>δ</w:t>
            </w:r>
          </w:p>
        </w:tc>
        <w:tc>
          <w:tcPr>
            <w:tcW w:type="dxa" w:w="2160"/>
          </w:tcPr>
          <w:p>
            <w:pPr>
              <w:jc w:val="center"/>
              <w:spacing w:before="10" w:after="10"/>
            </w:pPr>
            <w:r/>
            <w:r>
              <w:rPr>
                <w:rFonts w:ascii="Times New Roman" w:hAnsi="Times New Roman"/>
                <w:sz w:val="20"/>
              </w:rPr>
              <w:t>0.015 per C</w:t>
            </w:r>
          </w:p>
        </w:tc>
        <w:tc>
          <w:tcPr>
            <w:tcW w:type="dxa" w:w="2592"/>
          </w:tcPr>
          <w:p>
            <w:pPr>
              <w:jc w:val="left"/>
              <w:spacing w:before="10" w:after="10"/>
            </w:pPr>
            <w:r/>
            <w:hyperlink w:anchor="Flucker2013" w:history="1">
              <w:r>
                <w:rPr>
                  <w:sz w:val="20"/>
                  <w:rFonts w:ascii="Times New Roman" w:hAnsi="Times New Roman"/>
                  <w:color w:val="1F3864"/>
                  <w:u w:val="single"/>
                </w:rPr>
                <w:t xml:space="preserve">Flucker et al. (2013)</w:t>
              </w:r>
            </w:hyperlink>
          </w:p>
        </w:tc>
      </w:tr>
      <w:tr>
        <w:tc>
          <w:tcPr>
            <w:tcW w:type="dxa" w:w="3744"/>
          </w:tcPr>
          <w:p>
            <w:pPr>
              <w:jc w:val="left"/>
              <w:spacing w:before="10" w:after="10"/>
            </w:pPr>
            <w:r/>
            <w:r>
              <w:rPr>
                <w:rFonts w:ascii="Times New Roman" w:hAnsi="Times New Roman"/>
                <w:sz w:val="20"/>
              </w:rPr>
              <w:t>Free-cooling temperature threshold</w:t>
            </w:r>
          </w:p>
        </w:tc>
        <w:tc>
          <w:tcPr>
            <w:tcW w:type="dxa" w:w="864"/>
          </w:tcPr>
          <w:p>
            <w:pPr>
              <w:jc w:val="center"/>
              <w:spacing w:before="10" w:after="10"/>
            </w:pPr>
            <w:r/>
            <m:oMath>
              <m:bar>
                <m:barPr>
                  <m:pos m:val="top"/>
                </m:barPr>
                <m:e>
                  <m:r>
                    <m:rPr>
                      <m:sty m:val="i"/>
                    </m:rPr>
                    <w:rPr>
                      <w:rFonts w:ascii="Cambria Math" w:hAnsi="Cambria Math"/>
                    </w:rPr>
                    <m:t xml:space="preserve">θ</m:t>
                  </m:r>
                </m:e>
              </m:bar>
            </m:oMath>
          </w:p>
        </w:tc>
        <w:tc>
          <w:tcPr>
            <w:tcW w:type="dxa" w:w="2160"/>
          </w:tcPr>
          <w:p>
            <w:pPr>
              <w:jc w:val="center"/>
              <w:spacing w:before="10" w:after="10"/>
            </w:pPr>
            <w:r/>
            <w:r>
              <w:rPr>
                <w:rFonts w:ascii="Times New Roman" w:hAnsi="Times New Roman"/>
                <w:sz w:val="20"/>
              </w:rPr>
              <w:t>15 C</w:t>
            </w:r>
          </w:p>
        </w:tc>
        <w:tc>
          <w:tcPr>
            <w:tcW w:type="dxa" w:w="2592"/>
          </w:tcPr>
          <w:p>
            <w:pPr>
              <w:jc w:val="left"/>
              <w:spacing w:before="10" w:after="10"/>
            </w:pPr>
            <w:r/>
            <w:r>
              <w:rPr>
                <w:rFonts w:ascii="Times New Roman" w:hAnsi="Times New Roman"/>
                <w:sz w:val="20"/>
              </w:rPr>
              <w:t>Industry standard</w:t>
            </w:r>
          </w:p>
        </w:tc>
      </w:tr>
      <w:tr>
        <w:tc>
          <w:tcPr>
            <w:tcW w:type="dxa" w:w="3744"/>
          </w:tcPr>
          <w:p>
            <w:pPr>
              <w:jc w:val="left"/>
              <w:spacing w:before="10" w:after="10"/>
            </w:pPr>
            <w:r/>
            <w:r>
              <w:rPr>
                <w:rFonts w:ascii="Times New Roman" w:hAnsi="Times New Roman"/>
                <w:sz w:val="20"/>
              </w:rPr>
              <w:t>Data center facility lifetime</w:t>
            </w:r>
          </w:p>
        </w:tc>
        <w:tc>
          <w:tcPr>
            <w:tcW w:type="dxa" w:w="864"/>
          </w:tcPr>
          <w:p>
            <w:pPr>
              <w:jc w:val="center"/>
              <w:spacing w:before="10" w:after="10"/>
            </w:pPr>
            <w:r/>
            <w:r>
              <w:rPr>
                <w:rFonts w:ascii="Times New Roman" w:hAnsi="Times New Roman"/>
                <w:sz w:val="20"/>
              </w:rPr>
              <w:t>D</w:t>
            </w:r>
          </w:p>
        </w:tc>
        <w:tc>
          <w:tcPr>
            <w:tcW w:type="dxa" w:w="2160"/>
          </w:tcPr>
          <w:p>
            <w:pPr>
              <w:jc w:val="center"/>
              <w:spacing w:before="10" w:after="10"/>
            </w:pPr>
            <w:r/>
            <w:r>
              <w:rPr>
                <w:rFonts w:ascii="Times New Roman" w:hAnsi="Times New Roman"/>
                <w:sz w:val="20"/>
              </w:rPr>
              <w:t>15 years</w:t>
            </w:r>
          </w:p>
        </w:tc>
        <w:tc>
          <w:tcPr>
            <w:tcW w:type="dxa" w:w="2592"/>
          </w:tcPr>
          <w:p>
            <w:pPr>
              <w:jc w:val="left"/>
              <w:spacing w:before="10" w:after="10"/>
            </w:pPr>
            <w:r/>
            <w:hyperlink w:anchor="TurnerTownsend2025" w:history="1">
              <w:r>
                <w:rPr>
                  <w:sz w:val="20"/>
                  <w:rFonts w:ascii="Times New Roman" w:hAnsi="Times New Roman"/>
                  <w:color w:val="1F3864"/>
                  <w:u w:val="single"/>
                </w:rPr>
                <w:t xml:space="preserve">Turner and Townsend (2025)</w:t>
              </w:r>
            </w:hyperlink>
          </w:p>
        </w:tc>
      </w:tr>
      <w:tr>
        <w:tc>
          <w:tcPr>
            <w:tcW w:type="dxa" w:w="3744"/>
          </w:tcPr>
          <w:p>
            <w:pPr>
              <w:jc w:val="left"/>
              <w:spacing w:before="10" w:after="10"/>
            </w:pPr>
            <w:r/>
            <w:r>
              <w:rPr>
                <w:rFonts w:ascii="Times New Roman" w:hAnsi="Times New Roman"/>
                <w:sz w:val="20"/>
              </w:rPr>
              <w:t>Latency degradation per ms of RTT</w:t>
            </w:r>
          </w:p>
        </w:tc>
        <w:tc>
          <w:tcPr>
            <w:tcW w:type="dxa" w:w="864"/>
          </w:tcPr>
          <w:p>
            <w:pPr>
              <w:jc w:val="center"/>
              <w:spacing w:before="10" w:after="10"/>
            </w:pPr>
            <w:r/>
            <w:r>
              <w:rPr>
                <w:rFonts w:ascii="Times New Roman" w:hAnsi="Times New Roman"/>
                <w:sz w:val="20"/>
              </w:rPr>
              <w:t>τ</w:t>
            </w:r>
          </w:p>
        </w:tc>
        <w:tc>
          <w:tcPr>
            <w:tcW w:type="dxa" w:w="2160"/>
          </w:tcPr>
          <w:p>
            <w:pPr>
              <w:jc w:val="center"/>
              <w:spacing w:before="10" w:after="10"/>
            </w:pPr>
            <w:r/>
            <w:r>
              <w:rPr>
                <w:rFonts w:ascii="Times New Roman" w:hAnsi="Times New Roman"/>
                <w:sz w:val="20"/>
              </w:rPr>
              <w:t>0.0008 per ms</w:t>
            </w:r>
          </w:p>
        </w:tc>
        <w:tc>
          <w:tcPr>
            <w:tcW w:type="dxa" w:w="2592"/>
          </w:tcPr>
          <w:p>
            <w:pPr>
              <w:jc w:val="left"/>
              <w:spacing w:before="10" w:after="10"/>
            </w:pPr>
            <w:r/>
            <w:r>
              <w:rPr>
                <w:rFonts w:ascii="Times New Roman" w:hAnsi="Times New Roman"/>
                <w:sz w:val="20"/>
              </w:rPr>
              <w:t>Calibrated</w:t>
            </w:r>
          </w:p>
        </w:tc>
      </w:tr>
      <w:tr>
        <w:tc>
          <w:tcPr>
            <w:tcW w:type="dxa" w:w="3744"/>
          </w:tcPr>
          <w:p>
            <w:pPr>
              <w:jc w:val="left"/>
              <w:spacing w:before="10" w:after="10"/>
            </w:pPr>
            <w:r/>
            <w:r>
              <w:rPr>
                <w:rFonts w:ascii="Times New Roman" w:hAnsi="Times New Roman"/>
                <w:sz w:val="20"/>
              </w:rPr>
              <w:t>Bilateral sovereignty premium</w:t>
            </w:r>
          </w:p>
        </w:tc>
        <w:tc>
          <w:tcPr>
            <w:tcW w:type="dxa" w:w="864"/>
          </w:tcPr>
          <w:p>
            <w:pPr>
              <w:jc w:val="center"/>
              <w:spacing w:before="10" w:after="10"/>
            </w:pPr>
            <w:r/>
            <m:oMath>
              <m:sSub>
                <m:sSubPr/>
                <m:e>
                  <m:r>
                    <m:rPr>
                      <m:sty m:val="i"/>
                    </m:rPr>
                    <w:rPr>
                      <w:rFonts w:ascii="Cambria Math" w:hAnsi="Cambria Math"/>
                    </w:rPr>
                    <m:t xml:space="preserve">λ</m:t>
                  </m:r>
                </m:e>
                <m:sub>
                  <m:r>
                    <m:rPr>
                      <m:sty m:val="i"/>
                    </m:rPr>
                    <w:rPr>
                      <w:rFonts w:ascii="Cambria Math" w:hAnsi="Cambria Math"/>
                    </w:rPr>
                    <m:t xml:space="preserve">ij</m:t>
                  </m:r>
                </m:sub>
              </m:sSub>
            </m:oMath>
          </w:p>
        </w:tc>
        <w:tc>
          <w:tcPr>
            <w:tcW w:type="dxa" w:w="2160"/>
          </w:tcPr>
          <w:p>
            <w:pPr>
              <w:jc w:val="center"/>
              <w:spacing w:before="10" w:after="10"/>
            </w:pPr>
            <w:r/>
            <w:r>
              <w:rPr>
                <w:rFonts w:ascii="Times New Roman" w:hAnsi="Times New Roman"/>
                <w:sz w:val="20"/>
              </w:rPr>
              <w:t>Eq. (2)</w:t>
            </w:r>
          </w:p>
        </w:tc>
        <w:tc>
          <w:tcPr>
            <w:tcW w:type="dxa" w:w="2592"/>
          </w:tcPr>
          <w:p>
            <w:pPr>
              <w:jc w:val="left"/>
              <w:spacing w:before="10" w:after="10"/>
            </w:pPr>
            <w:r/>
            <w:r>
              <w:rPr>
                <w:sz w:val="20"/>
                <w:rFonts w:ascii="Times New Roman" w:hAnsi="Times New Roman"/>
                <w:color w:val="1F3864"/>
                <w:u w:val="single"/>
              </w:rPr>
              <w:t xml:space="preserve">Bailey et al. (2017)</w:t>
            </w:r>
          </w:p>
        </w:tc>
      </w:tr>
      <w:tr>
        <w:tc>
          <w:tcPr>
            <w:tcW w:type="dxa" w:w="3744"/>
          </w:tcPr>
          <w:p>
            <w:pPr>
              <w:jc w:val="left"/>
              <w:spacing w:before="10" w:after="10"/>
            </w:pPr>
            <w:r/>
            <w:r>
              <w:rPr>
                <w:rFonts w:ascii="Times New Roman" w:hAnsi="Times New Roman"/>
                <w:sz w:val="20"/>
              </w:rPr>
              <w:t>Training share of compute demand</w:t>
            </w:r>
          </w:p>
        </w:tc>
        <w:tc>
          <w:tcPr>
            <w:tcW w:type="dxa" w:w="864"/>
          </w:tcPr>
          <w:p>
            <w:pPr>
              <w:jc w:val="center"/>
              <w:spacing w:before="10" w:after="10"/>
            </w:pPr>
            <w:r/>
            <w:r>
              <w:rPr>
                <w:rFonts w:ascii="Times New Roman" w:hAnsi="Times New Roman"/>
                <w:sz w:val="20"/>
              </w:rPr>
              <w:t>α</w:t>
            </w:r>
          </w:p>
        </w:tc>
        <w:tc>
          <w:tcPr>
            <w:tcW w:type="dxa" w:w="2160"/>
          </w:tcPr>
          <w:p>
            <w:pPr>
              <w:jc w:val="center"/>
              <w:spacing w:before="10" w:after="10"/>
            </w:pPr>
            <w:r/>
            <w:r>
              <w:rPr>
                <w:rFonts w:ascii="Times New Roman" w:hAnsi="Times New Roman"/>
                <w:sz w:val="20"/>
              </w:rPr>
              <w:t>0.50</w:t>
            </w:r>
          </w:p>
        </w:tc>
        <w:tc>
          <w:tcPr>
            <w:tcW w:type="dxa" w:w="2592"/>
          </w:tcPr>
          <w:p>
            <w:pPr>
              <w:jc w:val="left"/>
              <w:spacing w:before="10" w:after="10"/>
            </w:pPr>
            <w:r/>
            <w:hyperlink w:anchor="Deloitte2025" w:history="1">
              <w:r>
                <w:rPr>
                  <w:sz w:val="20"/>
                  <w:rFonts w:ascii="Times New Roman" w:hAnsi="Times New Roman"/>
                  <w:color w:val="1F3864"/>
                  <w:u w:val="single"/>
                </w:rPr>
                <w:t xml:space="preserve">Deloitte (2025)</w:t>
              </w:r>
            </w:hyperlink>
          </w:p>
        </w:tc>
      </w:tr>
      <w:tr>
        <w:tc>
          <w:tcPr>
            <w:tcW w:type="dxa" w:w="3744"/>
            <w:tcBorders>
              <w:bottom w:val="double" w:sz="4" w:space="0" w:color="auto"/>
            </w:tcBorders>
          </w:tcPr>
          <w:p>
            <w:pPr>
              <w:jc w:val="left"/>
              <w:spacing w:before="10" w:after="10"/>
            </w:pPr>
            <w:r/>
            <w:r>
              <w:rPr>
                <w:rFonts w:ascii="Times New Roman" w:hAnsi="Times New Roman"/>
                <w:sz w:val="20"/>
              </w:rPr>
              <w:t>Total global compute demand</w:t>
            </w:r>
          </w:p>
        </w:tc>
        <w:tc>
          <w:tcPr>
            <w:tcW w:type="dxa" w:w="864"/>
            <w:tcBorders>
              <w:bottom w:val="double" w:sz="4" w:space="0" w:color="auto"/>
            </w:tcBorders>
          </w:tcPr>
          <w:p>
            <w:pPr>
              <w:jc w:val="center"/>
              <w:spacing w:before="10" w:after="10"/>
            </w:pPr>
            <w:r/>
            <w:r>
              <w:rPr>
                <w:rFonts w:ascii="Times New Roman" w:hAnsi="Times New Roman"/>
                <w:sz w:val="20"/>
              </w:rPr>
              <w:t>Q</w:t>
            </w:r>
          </w:p>
        </w:tc>
        <w:tc>
          <w:tcPr>
            <w:tcW w:type="dxa" w:w="2160"/>
            <w:tcBorders>
              <w:bottom w:val="double" w:sz="4" w:space="0" w:color="auto"/>
            </w:tcBorders>
          </w:tcPr>
          <w:p>
            <w:pPr>
              <w:jc w:val="center"/>
              <w:spacing w:before="10" w:after="10"/>
            </w:pPr>
            <w:r/>
            <w:r>
              <w:rPr>
                <w:rFonts w:ascii="Times New Roman" w:hAnsi="Times New Roman"/>
                <w:sz w:val="20"/>
              </w:rPr>
              <w:t>6×10¹⁰ GPU-hr/yr</w:t>
            </w:r>
          </w:p>
        </w:tc>
        <w:tc>
          <w:tcPr>
            <w:tcW w:type="dxa" w:w="2592"/>
            <w:tcBorders>
              <w:bottom w:val="double" w:sz="4" w:space="0" w:color="auto"/>
            </w:tcBorders>
          </w:tcPr>
          <w:p>
            <w:pPr>
              <w:jc w:val="left"/>
              <w:spacing w:before="10" w:after="10"/>
            </w:pPr>
            <w:r/>
            <w:hyperlink w:anchor="EpochAI2024" w:history="1">
              <w:r>
                <w:rPr>
                  <w:sz w:val="20"/>
                  <w:rFonts w:ascii="Times New Roman" w:hAnsi="Times New Roman"/>
                  <w:color w:val="1F3864"/>
                  <w:u w:val="single"/>
                </w:rPr>
                <w:t xml:space="preserve">Epoch AI (2024)</w:t>
              </w:r>
            </w:hyperlink>
          </w:p>
        </w:tc>
      </w:tr>
    </w:tbl>
    <w:p>
      <w:pPr>
        <w:spacing w:before="80" w:after="120" w:line="240" w:lineRule="auto"/>
        <w:ind w:firstLine="0"/>
        <w:jc w:val="left"/>
        <w:sectPr>
          <w:footerReference w:type="default" r:id="rId11"/>
          <w:footerReference w:type="first" r:id="rId12"/>
          <w:pgSz w:w="12240" w:h="15840"/>
          <w:pgMar w:top="1440" w:right="1440" w:bottom="1440" w:left="1440" w:header="720" w:footer="720"/>
          <w:titlePg/>
        </w:sectPr>
      </w:pPr>
      <w:r>
        <w:rPr>
          <w:b/>
          <w:sz w:val="20"/>
        </w:rPr>
        <w:t xml:space="preserve">Notes: </w:t>
      </w:r>
      <w:r>
        <w:rPr>
          <w:sz w:val="20"/>
        </w:rPr>
        <w:t>Hardware cost ρ = P(GPU) / (L · H · β). PUE(θ) = φ + δ · max(0, θ − θ̄). RTT = round-trip time, the network delay for a data packet to travel from client to server and back, measured in milliseconds. Sanctions exposure is captured by the bilateral sovereignty premium λᵢⱼ (equation 2).</w:t>
      </w:r>
    </w:p>
    <w:p>
      <w:pPr>
        <w:spacing w:before="0" w:after="60" w:line="360" w:lineRule="auto"/>
        <w:ind w:firstLine="0"/>
        <w:jc w:val="both"/>
      </w:pPr>
      <w:bookmarkStart w:id="111" w:name="Table3"/>
      <w:hyperlink w:anchor="Table3txt" w:history="1">
        <w:r>
          <w:rPr>
            <w:b/>
            <w:sz w:val="20"/>
            <w:color w:val="1F3864"/>
            <w:u w:val="single"/>
          </w:rPr>
          <w:t>Table 3</w:t>
        </w:r>
      </w:hyperlink>
      <w:bookmarkEnd w:id="111"/>
      <w:r>
        <w:rPr>
          <w:b/>
          <w:sz w:val="20"/>
        </w:rPr>
        <w:t>. Country rankings under alternative cost and sovereignty specifications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720"/>
        <w:gridCol w:w="720"/>
        <w:gridCol w:w="720"/>
        <w:gridCol w:w="720"/>
        <w:gridCol w:w="720"/>
        <w:gridCol w:w="720"/>
        <w:gridCol w:w="720"/>
        <w:gridCol w:w="720"/>
        <w:gridCol w:w="720"/>
        <w:gridCol w:w="720"/>
        <w:gridCol w:w="720"/>
        <w:gridCol w:w="720"/>
      </w:tblGrid>
      <w:tr>
        <w:tc>
          <w:tcPr>
            <w:gridSpan w:val="3"/>
            <w:tcBorders>
              <w:top w:val="single" w:sz="4" w:space="0" w:color="auto"/>
              <w:bottom w:val="single" w:sz="4" w:space="0" w:color="auto"/>
            </w:tcBorders>
            <w:tcW w:w="400" w:type="dxa"/>
          </w:tcPr>
          <w:p>
            <w:pPr>
              <w:jc w:val="center"/>
              <w:spacing w:before="10" w:after="10"/>
            </w:pPr>
            <w:r/>
            <w:r>
              <w:rPr>
                <w:rFonts w:ascii="Times New Roman" w:hAnsi="Times New Roman"/>
                <w:b/>
                <w:sz w:val="16"/>
              </w:rPr>
              <w:t>(1) Raw Electricity</w:t>
            </w:r>
          </w:p>
        </w:tc>
        <w:tc>
          <w:tcPr>
            <w:gridSpan w:val="3"/>
            <w:tcBorders>
              <w:top w:val="single" w:sz="4" w:space="0" w:color="auto"/>
              <w:bottom w:val="single" w:sz="4" w:space="0" w:color="auto"/>
            </w:tcBorders>
            <w:tcW w:w="400" w:type="dxa"/>
          </w:tcPr>
          <w:p>
            <w:pPr>
              <w:jc w:val="center"/>
              <w:spacing w:before="10" w:after="10"/>
            </w:pPr>
            <w:r/>
            <w:r>
              <w:rPr>
                <w:rFonts w:ascii="Times New Roman" w:hAnsi="Times New Roman"/>
                <w:b/>
                <w:sz w:val="16"/>
              </w:rPr>
              <w:t>(2) Cost-Recovery</w:t>
            </w:r>
          </w:p>
        </w:tc>
        <w:tc>
          <w:tcPr>
            <w:gridSpan w:val="3"/>
            <w:tcBorders>
              <w:top w:val="single" w:sz="4" w:space="0" w:color="auto"/>
              <w:bottom w:val="single" w:sz="4" w:space="0" w:color="auto"/>
            </w:tcBorders>
            <w:tcW w:w="400" w:type="dxa"/>
          </w:tcPr>
          <w:p>
            <w:pPr>
              <w:jc w:val="center"/>
              <w:spacing w:before="10" w:after="10"/>
            </w:pPr>
            <w:r/>
            <w:r>
              <w:rPr>
                <w:rFonts w:ascii="Times New Roman" w:hAnsi="Times New Roman"/>
                <w:b/>
                <w:sz w:val="16"/>
              </w:rPr>
              <w:t>(3) Bilateral</w:t>
            </w:r>
          </w:p>
        </w:tc>
        <w:tc>
          <w:tcPr>
            <w:gridSpan w:val="3"/>
            <w:tcBorders>
              <w:top w:val="single" w:sz="4" w:space="0" w:color="auto"/>
              <w:bottom w:val="single" w:sz="4" w:space="0" w:color="auto"/>
            </w:tcBorders>
            <w:tcW w:w="400" w:type="dxa"/>
          </w:tcPr>
          <w:p>
            <w:pPr>
              <w:jc w:val="center"/>
              <w:spacing w:before="10" w:after="10"/>
            </w:pPr>
            <w:r/>
            <w:r>
              <w:rPr>
                <w:rFonts w:ascii="Times New Roman" w:hAnsi="Times New Roman"/>
                <w:b/>
                <w:sz w:val="16"/>
              </w:rPr>
              <w:t>(4) CR + host WACC</w:t>
            </w:r>
          </w:p>
        </w:tc>
      </w:tr>
      <w:tr>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Pⱼₖ</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c>
          <w:tcPr>
            <w:tcBorders>
              <w:top w:val="single" w:sz="4" w:space="0" w:color="auto"/>
              <w:bottom w:val="single" w:sz="4" w:space="0" w:color="auto"/>
            </w:tcBorders>
            <w:tcW w:w="1100" w:type="dxa"/>
          </w:tcPr>
          <w:p>
            <w:pPr>
              <w:jc w:val="left"/>
              <w:spacing w:before="10" w:after="10"/>
            </w:pPr>
            <w:r/>
            <w:r>
              <w:rPr>
                <w:rFonts w:ascii="Times New Roman" w:hAnsi="Times New Roman"/>
                <w:b/>
                <w:sz w:val="16"/>
              </w:rPr>
              <w:t>Country</w:t>
            </w:r>
          </w:p>
        </w:tc>
        <w:tc>
          <w:tcPr>
            <w:tcBorders>
              <w:top w:val="single" w:sz="4" w:space="0" w:color="auto"/>
              <w:bottom w:val="single" w:sz="4" w:space="0" w:color="auto"/>
            </w:tcBorders>
            <w:tcW w:w="500" w:type="dxa"/>
          </w:tcPr>
          <w:p>
            <w:pPr>
              <w:jc w:val="center"/>
              <w:spacing w:before="10" w:after="10"/>
            </w:pPr>
            <w:r/>
            <w:r>
              <w:rPr>
                <w:rFonts w:ascii="Times New Roman" w:hAnsi="Times New Roman"/>
                <w:b/>
                <w:sz w:val="16"/>
              </w:rPr>
              <w:t>Pⱼ</w:t>
            </w:r>
          </w:p>
        </w:tc>
        <w:tc>
          <w:tcPr>
            <w:tcBorders>
              <w:top w:val="single" w:sz="4" w:space="0" w:color="auto"/>
              <w:bottom w:val="single" w:sz="4" w:space="0" w:color="auto"/>
            </w:tcBorders>
            <w:tcW w:w="400" w:type="dxa"/>
          </w:tcPr>
          <w:p>
            <w:pPr>
              <w:jc w:val="center"/>
              <w:spacing w:before="10" w:after="10"/>
            </w:pPr>
            <w:r/>
            <w:r>
              <w:rPr>
                <w:rFonts w:ascii="Times New Roman" w:hAnsi="Times New Roman"/>
                <w:b/>
                <w:sz w:val="16"/>
              </w:rPr>
              <w:t>Type</w:t>
            </w:r>
          </w:p>
        </w:tc>
      </w:tr>
      <w:tr>
        <w:tc>
          <w:tcPr>
            <w:tcW w:w="1100" w:type="dxa"/>
          </w:tcPr>
          <w:p>
            <w:pPr>
              <w:jc w:val="left"/>
              <w:spacing w:before="10" w:after="10"/>
            </w:pPr>
            <w:r/>
            <w:r>
              <w:rPr>
                <w:rFonts w:ascii="Times New Roman" w:hAnsi="Times New Roman"/>
                <w:sz w:val="16"/>
              </w:rPr>
              <w:t>Iran</w:t>
            </w:r>
          </w:p>
        </w:tc>
        <w:tc>
          <w:tcPr>
            <w:tcW w:w="500" w:type="dxa"/>
          </w:tcPr>
          <w:p>
            <w:pPr>
              <w:jc w:val="center"/>
              <w:spacing w:before="10" w:after="10"/>
            </w:pPr>
            <w:r/>
            <w:r>
              <w:rPr>
                <w:rFonts w:ascii="Times New Roman" w:hAnsi="Times New Roman"/>
                <w:sz w:val="16"/>
              </w:rPr>
              <w:t>$1.56</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Kyrgyzstan</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$1.82</w:t>
            </w:r>
          </w:p>
        </w:tc>
        <w:tc>
          <w:tcPr>
            <w:tcW w:w="400" w:type="dxa"/>
          </w:tcPr>
          <w:p>
            <w:pPr>
              <w:jc w:val="center"/>
              <w:spacing w:before="10" w:after="10"/>
            </w:pPr>
            <w:r/>
            <w:r>
              <w:rPr>
                <w:rFonts w:ascii="Times New Roman" w:hAnsi="Times New Roman"/>
                <w:sz w:val="16"/>
              </w:rPr>
              <w:t>EE</w:t>
            </w:r>
          </w:p>
        </w:tc>
      </w:tr>
      <w:tr>
        <w:tc>
          <w:tcPr>
            <w:tcW w:w="1100" w:type="dxa"/>
          </w:tcPr>
          <w:p>
            <w:pPr>
              <w:jc w:val="left"/>
              <w:spacing w:before="10" w:after="10"/>
            </w:pPr>
            <w:r/>
            <w:r>
              <w:rPr>
                <w:rFonts w:ascii="Times New Roman" w:hAnsi="Times New Roman"/>
                <w:sz w:val="16"/>
              </w:rPr>
              <w:t>Turkmenistan</w:t>
            </w:r>
          </w:p>
        </w:tc>
        <w:tc>
          <w:tcPr>
            <w:tcW w:w="500" w:type="dxa"/>
          </w:tcPr>
          <w:p>
            <w:pPr>
              <w:jc w:val="center"/>
              <w:spacing w:before="10" w:after="10"/>
            </w:pPr>
            <w:r/>
            <w:r>
              <w:rPr>
                <w:rFonts w:ascii="Times New Roman" w:hAnsi="Times New Roman"/>
                <w:sz w:val="16"/>
              </w:rPr>
              <w:t>$1.57</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Ethiopia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Australia</w:t>
            </w:r>
          </w:p>
        </w:tc>
        <w:tc>
          <w:tcPr>
            <w:tcW w:w="500" w:type="dxa"/>
          </w:tcPr>
          <w:p>
            <w:pPr>
              <w:jc w:val="center"/>
              <w:spacing w:before="10" w:after="10"/>
            </w:pPr>
            <w:r/>
            <w:r>
              <w:rPr>
                <w:rFonts w:ascii="Times New Roman" w:hAnsi="Times New Roman"/>
                <w:sz w:val="16"/>
              </w:rPr>
              <w:t>$1.65</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$1.84</w:t>
            </w:r>
          </w:p>
        </w:tc>
        <w:tc>
          <w:tcPr>
            <w:tcW w:w="400" w:type="dxa"/>
          </w:tcPr>
          <w:p>
            <w:pPr>
              <w:jc w:val="center"/>
              <w:spacing w:before="10" w:after="10"/>
            </w:pPr>
            <w:r/>
            <w:r>
              <w:rPr>
                <w:rFonts w:ascii="Times New Roman" w:hAnsi="Times New Roman"/>
                <w:sz w:val="16"/>
              </w:rPr>
              <w:t>IE</w:t>
            </w:r>
          </w:p>
        </w:tc>
      </w:tr>
      <w:tr>
        <w:tc>
          <w:tcPr>
            <w:tcW w:w="1100" w:type="dxa"/>
          </w:tcPr>
          <w:p>
            <w:pPr>
              <w:jc w:val="left"/>
              <w:spacing w:before="10" w:after="10"/>
            </w:pPr>
            <w:r/>
            <w:r>
              <w:rPr>
                <w:rFonts w:ascii="Times New Roman" w:hAnsi="Times New Roman"/>
                <w:sz w:val="16"/>
              </w:rPr>
              <w:t>Ethiopia</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Kosovo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USA</w:t>
            </w:r>
          </w:p>
        </w:tc>
        <w:tc>
          <w:tcPr>
            <w:tcW w:w="500" w:type="dxa"/>
          </w:tcPr>
          <w:p>
            <w:pPr>
              <w:jc w:val="center"/>
              <w:spacing w:before="10" w:after="10"/>
            </w:pPr>
            <w:r/>
            <w:r>
              <w:rPr>
                <w:rFonts w:ascii="Times New Roman" w:hAnsi="Times New Roman"/>
                <w:sz w:val="16"/>
              </w:rPr>
              <w:t>$1.65</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$1.84</w:t>
            </w:r>
          </w:p>
        </w:tc>
        <w:tc>
          <w:tcPr>
            <w:tcW w:w="400" w:type="dxa"/>
          </w:tcPr>
          <w:p>
            <w:pPr>
              <w:jc w:val="center"/>
              <w:spacing w:before="10" w:after="10"/>
            </w:pPr>
            <w:r/>
            <w:r>
              <w:rPr>
                <w:rFonts w:ascii="Times New Roman" w:hAnsi="Times New Roman"/>
                <w:sz w:val="16"/>
              </w:rPr>
              <w:t>IE</w:t>
            </w:r>
          </w:p>
        </w:tc>
      </w:tr>
      <w:tr>
        <w:tc>
          <w:tcPr>
            <w:tcW w:w="1100" w:type="dxa"/>
          </w:tcPr>
          <w:p>
            <w:pPr>
              <w:jc w:val="left"/>
              <w:spacing w:before="10" w:after="10"/>
            </w:pPr>
            <w:r/>
            <w:r>
              <w:rPr>
                <w:rFonts w:ascii="Times New Roman" w:hAnsi="Times New Roman"/>
                <w:sz w:val="16"/>
              </w:rPr>
              <w:t>Kyrgyzstan</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Kyrgyzstan</w:t>
            </w:r>
          </w:p>
        </w:tc>
        <w:tc>
          <w:tcPr>
            <w:tcW w:w="500" w:type="dxa"/>
          </w:tcPr>
          <w:p>
            <w:pPr>
              <w:jc w:val="center"/>
              <w:spacing w:before="10" w:after="10"/>
            </w:pPr>
            <w:r/>
            <w:r>
              <w:rPr>
                <w:rFonts w:ascii="Times New Roman" w:hAnsi="Times New Roman"/>
                <w:sz w:val="16"/>
              </w:rPr>
              <w:t>$1.65</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Sweden</w:t>
            </w:r>
          </w:p>
        </w:tc>
        <w:tc>
          <w:tcPr>
            <w:tcW w:w="500" w:type="dxa"/>
          </w:tcPr>
          <w:p>
            <w:pPr>
              <w:jc w:val="center"/>
              <w:spacing w:before="10" w:after="10"/>
            </w:pPr>
            <w:r/>
            <w:r>
              <w:rPr>
                <w:rFonts w:ascii="Times New Roman" w:hAnsi="Times New Roman"/>
                <w:sz w:val="16"/>
              </w:rPr>
              <w:t>$1.85</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Egypt</w:t>
            </w:r>
          </w:p>
        </w:tc>
        <w:tc>
          <w:tcPr>
            <w:tcW w:w="500" w:type="dxa"/>
          </w:tcPr>
          <w:p>
            <w:pPr>
              <w:jc w:val="center"/>
              <w:spacing w:before="10" w:after="10"/>
            </w:pPr>
            <w:r/>
            <w:r>
              <w:rPr>
                <w:rFonts w:ascii="Times New Roman" w:hAnsi="Times New Roman"/>
                <w:sz w:val="16"/>
              </w:rPr>
              <w:t>$1.58</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Tajikistan</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$1.66</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Iceland</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Algeria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Montenegro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$1.66</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Australia</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Canada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China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Ethiopia</w:t>
            </w:r>
          </w:p>
        </w:tc>
        <w:tc>
          <w:tcPr>
            <w:tcW w:w="500" w:type="dxa"/>
          </w:tcPr>
          <w:p>
            <w:pPr>
              <w:jc w:val="center"/>
              <w:spacing w:before="10" w:after="10"/>
            </w:pPr>
            <w:r/>
            <w:r>
              <w:rPr>
                <w:rFonts w:ascii="Times New Roman" w:hAnsi="Times New Roman"/>
                <w:sz w:val="16"/>
              </w:rPr>
              <w:t>$1.67</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USA</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Russia</w:t>
            </w:r>
          </w:p>
        </w:tc>
        <w:tc>
          <w:tcPr>
            <w:tcW w:w="500" w:type="dxa"/>
          </w:tcPr>
          <w:p>
            <w:pPr>
              <w:jc w:val="center"/>
              <w:spacing w:before="10" w:after="10"/>
            </w:pPr>
            <w:r/>
            <w:r>
              <w:rPr>
                <w:rFonts w:ascii="Times New Roman" w:hAnsi="Times New Roman"/>
                <w:sz w:val="16"/>
              </w:rPr>
              <w:t>$1.59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Ukraine</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Sweden</w:t>
            </w:r>
          </w:p>
        </w:tc>
        <w:tc>
          <w:tcPr>
            <w:tcW w:w="500" w:type="dxa"/>
          </w:tcPr>
          <w:p>
            <w:pPr>
              <w:jc w:val="center"/>
              <w:spacing w:before="10" w:after="10"/>
            </w:pPr>
            <w:r/>
            <w:r>
              <w:rPr>
                <w:rFonts w:ascii="Times New Roman" w:hAnsi="Times New Roman"/>
                <w:sz w:val="16"/>
              </w:rPr>
              <w:t>$1.67</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New Zealand</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South Africa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Argentina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Kosovo</w:t>
            </w:r>
          </w:p>
        </w:tc>
        <w:tc>
          <w:tcPr>
            <w:tcW w:w="500" w:type="dxa"/>
          </w:tcPr>
          <w:p>
            <w:pPr>
              <w:jc w:val="center"/>
              <w:spacing w:before="10" w:after="10"/>
            </w:pPr>
            <w:r/>
            <w:r>
              <w:rPr>
                <w:rFonts w:ascii="Times New Roman" w:hAnsi="Times New Roman"/>
                <w:sz w:val="16"/>
              </w:rPr>
              <w:t>$1.67</w:t>
            </w:r>
          </w:p>
        </w:tc>
        <w:tc>
          <w:tcPr>
            <w:tcW w:w="400" w:type="dxa"/>
          </w:tcPr>
          <w:p>
            <w:pPr>
              <w:jc w:val="center"/>
              <w:spacing w:before="10" w:after="10"/>
            </w:pPr>
            <w:r/>
            <w:r>
              <w:rPr>
                <w:rFonts w:ascii="Times New Roman" w:hAnsi="Times New Roman"/>
                <w:sz w:val="16"/>
              </w:rPr>
              <w:t>EE†</w:t>
            </w:r>
          </w:p>
        </w:tc>
        <w:tc>
          <w:tcPr>
            <w:tcW w:w="1100" w:type="dxa"/>
          </w:tcPr>
          <w:p>
            <w:pPr>
              <w:jc w:val="left"/>
              <w:spacing w:before="10" w:after="10"/>
            </w:pPr>
            <w:r/>
            <w:r>
              <w:rPr>
                <w:rFonts w:ascii="Times New Roman" w:hAnsi="Times New Roman"/>
                <w:sz w:val="16"/>
              </w:rPr>
              <w:t>UAE</w:t>
            </w:r>
          </w:p>
        </w:tc>
        <w:tc>
          <w:tcPr>
            <w:tcW w:w="500" w:type="dxa"/>
          </w:tcPr>
          <w:p>
            <w:pPr>
              <w:jc w:val="center"/>
              <w:spacing w:before="10" w:after="10"/>
            </w:pPr>
            <w:r/>
            <w:r>
              <w:rPr>
                <w:rFonts w:ascii="Times New Roman" w:hAnsi="Times New Roman"/>
                <w:sz w:val="16"/>
              </w:rPr>
              <w:t>$1.87</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Kosovo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Colombia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Tajikistan</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Chile</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Nigeria</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Azerbaijan</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Montenegro</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UK</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Tajikistan</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Russia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Mexico</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Israel</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Montenegro</w:t>
            </w:r>
          </w:p>
        </w:tc>
        <w:tc>
          <w:tcPr>
            <w:tcW w:w="500" w:type="dxa"/>
          </w:tcPr>
          <w:p>
            <w:pPr>
              <w:jc w:val="center"/>
              <w:spacing w:before="10" w:after="10"/>
            </w:pPr>
            <w:r/>
            <w:r>
              <w:rPr>
                <w:rFonts w:ascii="Times New Roman" w:hAnsi="Times New Roman"/>
                <w:sz w:val="16"/>
              </w:rPr>
              <w:t>$1.60</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Ukraine</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Portugal</w:t>
            </w:r>
          </w:p>
        </w:tc>
        <w:tc>
          <w:tcPr>
            <w:tcW w:w="500" w:type="dxa"/>
          </w:tcPr>
          <w:p>
            <w:pPr>
              <w:jc w:val="center"/>
              <w:spacing w:before="10" w:after="10"/>
            </w:pPr>
            <w:r/>
            <w:r>
              <w:rPr>
                <w:rFonts w:ascii="Times New Roman" w:hAnsi="Times New Roman"/>
                <w:sz w:val="16"/>
              </w:rPr>
              <w:t>$1.88</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China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Algeria</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Argentina</w:t>
            </w:r>
          </w:p>
        </w:tc>
        <w:tc>
          <w:tcPr>
            <w:tcW w:w="500" w:type="dxa"/>
          </w:tcPr>
          <w:p>
            <w:pPr>
              <w:jc w:val="center"/>
              <w:spacing w:before="10" w:after="10"/>
            </w:pPr>
            <w:r/>
            <w:r>
              <w:rPr>
                <w:rFonts w:ascii="Times New Roman" w:hAnsi="Times New Roman"/>
                <w:sz w:val="16"/>
              </w:rPr>
              <w:t>$1.68</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France</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Qatar</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Vietnam</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Iceland</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Latvia</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Ukraine</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Colombia</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Saudi Arabia</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Argentina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Brazil</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Azerbaijan</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Qatar</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Colombia</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Turkmenistan</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South Korea</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Luxembourg</w:t>
            </w:r>
          </w:p>
        </w:tc>
        <w:tc>
          <w:tcPr>
            <w:tcW w:w="500" w:type="dxa"/>
          </w:tcPr>
          <w:p>
            <w:pPr>
              <w:jc w:val="center"/>
              <w:spacing w:before="10" w:after="10"/>
            </w:pPr>
            <w:r/>
            <w:r>
              <w:rPr>
                <w:rFonts w:ascii="Times New Roman" w:hAnsi="Times New Roman"/>
                <w:sz w:val="16"/>
              </w:rPr>
              <w:t>$1.89</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Azerbaijan</w:t>
            </w:r>
          </w:p>
        </w:tc>
        <w:tc>
          <w:tcPr>
            <w:tcW w:w="500" w:type="dxa"/>
          </w:tcPr>
          <w:p>
            <w:pPr>
              <w:jc w:val="center"/>
              <w:spacing w:before="10" w:after="10"/>
            </w:pPr>
            <w:r/>
            <w:r>
              <w:rPr>
                <w:rFonts w:ascii="Times New Roman" w:hAnsi="Times New Roman"/>
                <w:sz w:val="16"/>
              </w:rPr>
              <w:t>$1.61</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Egypt</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Algeria</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Spain</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Norway</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India</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Philippines</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Belgium</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Kazakhstan</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Indonesia</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New Zealand</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Malta</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Uzbekistan</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Sweden</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Vietnam</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Denmark</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Finland</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IE</w:t>
            </w:r>
          </w:p>
        </w:tc>
        <w:tc>
          <w:tcPr>
            <w:tcW w:w="1100" w:type="dxa"/>
          </w:tcPr>
          <w:p>
            <w:pPr>
              <w:jc w:val="left"/>
              <w:spacing w:before="10" w:after="10"/>
            </w:pPr>
            <w:r/>
            <w:r>
              <w:rPr>
                <w:rFonts w:ascii="Times New Roman" w:hAnsi="Times New Roman"/>
                <w:sz w:val="16"/>
              </w:rPr>
              <w:t>Kazakhstan</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Brazil</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Lithuania</w:t>
            </w:r>
          </w:p>
        </w:tc>
        <w:tc>
          <w:tcPr>
            <w:tcW w:w="500" w:type="dxa"/>
          </w:tcPr>
          <w:p>
            <w:pPr>
              <w:jc w:val="center"/>
              <w:spacing w:before="10" w:after="10"/>
            </w:pPr>
            <w:r/>
            <w:r>
              <w:rPr>
                <w:rFonts w:ascii="Times New Roman" w:hAnsi="Times New Roman"/>
                <w:sz w:val="16"/>
              </w:rPr>
              <w:t>$1.90</w:t>
            </w:r>
          </w:p>
        </w:tc>
        <w:tc>
          <w:tcPr>
            <w:tcW w:w="400" w:type="dxa"/>
          </w:tcPr>
          <w:p>
            <w:pPr>
              <w:jc w:val="center"/>
              <w:spacing w:before="10" w:after="10"/>
            </w:pPr>
            <w:r/>
            <w:r>
              <w:rPr>
                <w:rFonts w:ascii="Times New Roman" w:hAnsi="Times New Roman"/>
                <w:sz w:val="16"/>
              </w:rPr>
              <w:t>II</w:t>
            </w:r>
          </w:p>
        </w:tc>
      </w:tr>
      <w:tr>
        <w:tc>
          <w:tcPr>
            <w:tcW w:w="1100" w:type="dxa"/>
          </w:tcPr>
          <w:p>
            <w:pPr>
              <w:jc w:val="left"/>
              <w:spacing w:before="10" w:after="10"/>
            </w:pPr>
            <w:r/>
            <w:r>
              <w:rPr>
                <w:rFonts w:ascii="Times New Roman" w:hAnsi="Times New Roman"/>
                <w:sz w:val="16"/>
              </w:rPr>
              <w:t>Vietnam</w:t>
            </w:r>
          </w:p>
        </w:tc>
        <w:tc>
          <w:tcPr>
            <w:tcW w:w="500" w:type="dxa"/>
          </w:tcPr>
          <w:p>
            <w:pPr>
              <w:jc w:val="center"/>
              <w:spacing w:before="10" w:after="10"/>
            </w:pPr>
            <w:r/>
            <w:r>
              <w:rPr>
                <w:rFonts w:ascii="Times New Roman" w:hAnsi="Times New Roman"/>
                <w:sz w:val="16"/>
              </w:rPr>
              <w:t>$1.62</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Iran</w:t>
            </w:r>
          </w:p>
        </w:tc>
        <w:tc>
          <w:tcPr>
            <w:tcW w:w="500" w:type="dxa"/>
          </w:tcPr>
          <w:p>
            <w:pPr>
              <w:jc w:val="center"/>
              <w:spacing w:before="10" w:after="10"/>
            </w:pPr>
            <w:r/>
            <w:r>
              <w:rPr>
                <w:rFonts w:ascii="Times New Roman" w:hAnsi="Times New Roman"/>
                <w:sz w:val="16"/>
              </w:rPr>
              <w:t>$1.63</w:t>
            </w:r>
          </w:p>
        </w:tc>
        <w:tc>
          <w:tcPr>
            <w:tcW w:w="400" w:type="dxa"/>
          </w:tcPr>
          <w:p>
            <w:pPr>
              <w:jc w:val="center"/>
              <w:spacing w:before="10" w:after="10"/>
            </w:pPr>
            <w:r/>
            <w:r>
              <w:rPr>
                <w:rFonts w:ascii="Times New Roman" w:hAnsi="Times New Roman"/>
                <w:sz w:val="16"/>
              </w:rPr>
              <w:t>DD*</w:t>
            </w:r>
          </w:p>
        </w:tc>
        <w:tc>
          <w:tcPr>
            <w:tcW w:w="1100" w:type="dxa"/>
          </w:tcPr>
          <w:p>
            <w:pPr>
              <w:jc w:val="left"/>
              <w:spacing w:before="10" w:after="10"/>
            </w:pPr>
            <w:r/>
            <w:r>
              <w:rPr>
                <w:rFonts w:ascii="Times New Roman" w:hAnsi="Times New Roman"/>
                <w:sz w:val="16"/>
              </w:rPr>
              <w:t>UK</w:t>
            </w:r>
          </w:p>
        </w:tc>
        <w:tc>
          <w:tcPr>
            <w:tcW w:w="500" w:type="dxa"/>
          </w:tcPr>
          <w:p>
            <w:pPr>
              <w:jc w:val="center"/>
              <w:spacing w:before="10" w:after="10"/>
            </w:pPr>
            <w:r/>
            <w:r>
              <w:rPr>
                <w:rFonts w:ascii="Times New Roman" w:hAnsi="Times New Roman"/>
                <w:sz w:val="16"/>
              </w:rPr>
              <w:t>$1.69</w:t>
            </w:r>
          </w:p>
        </w:tc>
        <w:tc>
          <w:tcPr>
            <w:tcW w:w="400" w:type="dxa"/>
          </w:tcPr>
          <w:p>
            <w:pPr>
              <w:jc w:val="center"/>
              <w:spacing w:before="10" w:after="10"/>
            </w:pPr>
            <w:r/>
            <w:r>
              <w:rPr>
                <w:rFonts w:ascii="Times New Roman" w:hAnsi="Times New Roman"/>
                <w:sz w:val="16"/>
              </w:rPr>
              <w:t>II</w:t>
            </w:r>
          </w:p>
        </w:tc>
        <w:tc>
          <w:tcPr>
            <w:tcW w:w="1100" w:type="dxa"/>
          </w:tcPr>
          <w:p>
            <w:pPr>
              <w:jc w:val="left"/>
              <w:spacing w:before="10" w:after="10"/>
            </w:pPr>
            <w:r/>
            <w:r>
              <w:rPr>
                <w:rFonts w:ascii="Times New Roman" w:hAnsi="Times New Roman"/>
                <w:sz w:val="16"/>
              </w:rPr>
              <w:t>South Korea</w:t>
            </w:r>
          </w:p>
        </w:tc>
        <w:tc>
          <w:tcPr>
            <w:tcW w:w="500" w:type="dxa"/>
          </w:tcPr>
          <w:p>
            <w:pPr>
              <w:jc w:val="center"/>
              <w:spacing w:before="10" w:after="10"/>
            </w:pPr>
            <w:r/>
            <w:r>
              <w:rPr>
                <w:rFonts w:ascii="Times New Roman" w:hAnsi="Times New Roman"/>
                <w:sz w:val="16"/>
              </w:rPr>
              <w:t>$1.91</w:t>
            </w:r>
          </w:p>
        </w:tc>
        <w:tc>
          <w:tcPr>
            <w:tcW w:w="400" w:type="dxa"/>
          </w:tcPr>
          <w:p>
            <w:pPr>
              <w:jc w:val="center"/>
              <w:spacing w:before="10" w:after="10"/>
            </w:pPr>
            <w:r/>
            <w:r>
              <w:rPr>
                <w:rFonts w:ascii="Times New Roman" w:hAnsi="Times New Roman"/>
                <w:sz w:val="16"/>
              </w:rPr>
              <w:t>II</w:t>
            </w:r>
          </w:p>
        </w:tc>
      </w:tr>
      <w:tr>
        <w:tc>
          <w:tcPr>
            <w:tcBorders>
              <w:bottom w:val="double" w:sz="4" w:space="0" w:color="auto"/>
            </w:tcBorders>
            <w:tcW w:w="1100" w:type="dxa"/>
          </w:tcPr>
          <w:p>
            <w:pPr>
              <w:jc w:val="left"/>
              <w:spacing w:before="10" w:after="10"/>
            </w:pPr>
            <w:r/>
            <w:r>
              <w:rPr>
                <w:rFonts w:ascii="Times New Roman" w:hAnsi="Times New Roman"/>
                <w:sz w:val="16"/>
              </w:rPr>
              <w:t>Saudi Arabia</w:t>
            </w:r>
          </w:p>
        </w:tc>
        <w:tc>
          <w:tcPr>
            <w:tcBorders>
              <w:bottom w:val="double" w:sz="4" w:space="0" w:color="auto"/>
            </w:tcBorders>
            <w:tcW w:w="500" w:type="dxa"/>
          </w:tcPr>
          <w:p>
            <w:pPr>
              <w:jc w:val="center"/>
              <w:spacing w:before="10" w:after="10"/>
            </w:pPr>
            <w:r/>
            <w:r>
              <w:rPr>
                <w:rFonts w:ascii="Times New Roman" w:hAnsi="Times New Roman"/>
                <w:sz w:val="16"/>
              </w:rPr>
              <w:t>$1.62</w:t>
            </w:r>
          </w:p>
        </w:tc>
        <w:tc>
          <w:tcPr>
            <w:tcBorders>
              <w:bottom w:val="double" w:sz="4" w:space="0" w:color="auto"/>
            </w:tcBorders>
            <w:tcW w:w="400" w:type="dxa"/>
          </w:tcPr>
          <w:p>
            <w:pPr>
              <w:jc w:val="center"/>
              <w:spacing w:before="10" w:after="10"/>
            </w:pPr>
            <w:r/>
            <w:r>
              <w:rPr>
                <w:rFonts w:ascii="Times New Roman" w:hAnsi="Times New Roman"/>
                <w:sz w:val="16"/>
              </w:rPr>
              <w:t>II</w:t>
            </w:r>
          </w:p>
        </w:tc>
        <w:tc>
          <w:tcPr>
            <w:tcBorders>
              <w:bottom w:val="double" w:sz="4" w:space="0" w:color="auto"/>
            </w:tcBorders>
            <w:tcW w:w="1100" w:type="dxa"/>
          </w:tcPr>
          <w:p>
            <w:pPr>
              <w:jc w:val="left"/>
              <w:spacing w:before="10" w:after="10"/>
            </w:pPr>
            <w:r/>
            <w:r>
              <w:rPr>
                <w:rFonts w:ascii="Times New Roman" w:hAnsi="Times New Roman"/>
                <w:sz w:val="16"/>
              </w:rPr>
              <w:t>Georgia</w:t>
            </w:r>
          </w:p>
        </w:tc>
        <w:tc>
          <w:tcPr>
            <w:tcBorders>
              <w:bottom w:val="double" w:sz="4" w:space="0" w:color="auto"/>
            </w:tcBorders>
            <w:tcW w:w="500" w:type="dxa"/>
          </w:tcPr>
          <w:p>
            <w:pPr>
              <w:jc w:val="center"/>
              <w:spacing w:before="10" w:after="10"/>
            </w:pPr>
            <w:r/>
            <w:r>
              <w:rPr>
                <w:rFonts w:ascii="Times New Roman" w:hAnsi="Times New Roman"/>
                <w:sz w:val="16"/>
              </w:rPr>
              <w:t>$1.63</w:t>
            </w:r>
          </w:p>
        </w:tc>
        <w:tc>
          <w:tcPr>
            <w:tcBorders>
              <w:bottom w:val="double" w:sz="4" w:space="0" w:color="auto"/>
            </w:tcBorders>
            <w:tcW w:w="400" w:type="dxa"/>
          </w:tcPr>
          <w:p>
            <w:pPr>
              <w:jc w:val="center"/>
              <w:spacing w:before="10" w:after="10"/>
            </w:pPr>
            <w:r/>
            <w:r>
              <w:rPr>
                <w:rFonts w:ascii="Times New Roman" w:hAnsi="Times New Roman"/>
                <w:sz w:val="16"/>
              </w:rPr>
              <w:t>II</w:t>
            </w:r>
          </w:p>
        </w:tc>
        <w:tc>
          <w:tcPr>
            <w:tcBorders>
              <w:bottom w:val="double" w:sz="4" w:space="0" w:color="auto"/>
            </w:tcBorders>
            <w:tcW w:w="1100" w:type="dxa"/>
          </w:tcPr>
          <w:p>
            <w:pPr>
              <w:jc w:val="left"/>
              <w:spacing w:before="10" w:after="10"/>
            </w:pPr>
            <w:r/>
            <w:r>
              <w:rPr>
                <w:rFonts w:ascii="Times New Roman" w:hAnsi="Times New Roman"/>
                <w:sz w:val="16"/>
              </w:rPr>
              <w:t>Egypt</w:t>
            </w:r>
          </w:p>
        </w:tc>
        <w:tc>
          <w:tcPr>
            <w:tcBorders>
              <w:bottom w:val="double" w:sz="4" w:space="0" w:color="auto"/>
            </w:tcBorders>
            <w:tcW w:w="500" w:type="dxa"/>
          </w:tcPr>
          <w:p>
            <w:pPr>
              <w:jc w:val="center"/>
              <w:spacing w:before="10" w:after="10"/>
            </w:pPr>
            <w:r/>
            <w:r>
              <w:rPr>
                <w:rFonts w:ascii="Times New Roman" w:hAnsi="Times New Roman"/>
                <w:sz w:val="16"/>
              </w:rPr>
              <w:t>$1.70</w:t>
            </w:r>
          </w:p>
        </w:tc>
        <w:tc>
          <w:tcPr>
            <w:tcBorders>
              <w:bottom w:val="double" w:sz="4" w:space="0" w:color="auto"/>
            </w:tcBorders>
            <w:tcW w:w="400" w:type="dxa"/>
          </w:tcPr>
          <w:p>
            <w:pPr>
              <w:jc w:val="center"/>
              <w:spacing w:before="10" w:after="10"/>
            </w:pPr>
            <w:r/>
            <w:r>
              <w:rPr>
                <w:rFonts w:ascii="Times New Roman" w:hAnsi="Times New Roman"/>
                <w:sz w:val="16"/>
              </w:rPr>
              <w:t>DD</w:t>
            </w:r>
          </w:p>
        </w:tc>
        <w:tc>
          <w:tcPr>
            <w:tcBorders>
              <w:bottom w:val="double" w:sz="4" w:space="0" w:color="auto"/>
            </w:tcBorders>
            <w:tcW w:w="1100" w:type="dxa"/>
          </w:tcPr>
          <w:p>
            <w:pPr>
              <w:jc w:val="left"/>
              <w:spacing w:before="10" w:after="10"/>
            </w:pPr>
            <w:r/>
            <w:r>
              <w:rPr>
                <w:rFonts w:ascii="Times New Roman" w:hAnsi="Times New Roman"/>
                <w:sz w:val="16"/>
              </w:rPr>
              <w:t>Poland</w:t>
            </w:r>
          </w:p>
        </w:tc>
        <w:tc>
          <w:tcPr>
            <w:tcBorders>
              <w:bottom w:val="double" w:sz="4" w:space="0" w:color="auto"/>
            </w:tcBorders>
            <w:tcW w:w="500" w:type="dxa"/>
          </w:tcPr>
          <w:p>
            <w:pPr>
              <w:jc w:val="center"/>
              <w:spacing w:before="10" w:after="10"/>
            </w:pPr>
            <w:r/>
            <w:r>
              <w:rPr>
                <w:rFonts w:ascii="Times New Roman" w:hAnsi="Times New Roman"/>
                <w:sz w:val="16"/>
              </w:rPr>
              <w:t>$1.91</w:t>
            </w:r>
          </w:p>
        </w:tc>
        <w:tc>
          <w:tcPr>
            <w:tcBorders>
              <w:bottom w:val="double" w:sz="4" w:space="0" w:color="auto"/>
            </w:tcBorders>
            <w:tcW w:w="400" w:type="dxa"/>
          </w:tcPr>
          <w:p>
            <w:pPr>
              <w:jc w:val="center"/>
              <w:spacing w:before="10" w:after="10"/>
            </w:pPr>
            <w:r/>
            <w:r>
              <w:rPr>
                <w:rFonts w:ascii="Times New Roman" w:hAnsi="Times New Roman"/>
                <w:sz w:val="16"/>
              </w:rPr>
              <w:t>II</w:t>
            </w:r>
          </w:p>
        </w:tc>
      </w:tr>
    </w:tbl>
    <w:p>
      <w:pPr>
        <w:spacing w:before="40" w:after="120" w:line="240" w:lineRule="auto"/>
        <w:ind w:firstLine="0"/>
        <w:jc w:val="left"/>
        <w:sectPr>
          <w:pgSz w:w="15840" w:h="12240" w:orient="landscape"/>
          <w:pgMar w:top="1080" w:right="1080" w:bottom="1080" w:left="1080" w:header="720" w:footer="720"/>
        </w:sectPr>
      </w:pPr>
      <w:r>
        <w:rPr>
          <w:rFonts w:ascii="Times New Roman" w:hAnsi="Times New Roman"/>
          <w:b/>
          <w:sz w:val="20"/>
        </w:rPr>
        <w:t xml:space="preserve">Notes: </w:t>
      </w:r>
      <w:r>
        <w:rPr>
          <w:rFonts w:ascii="Times New Roman" w:hAnsi="Times New Roman"/>
          <w:sz w:val="20"/>
        </w:rPr>
        <w:t xml:space="preserve">Top 25 countries by delivered price under each specification. Pⱼ = delivered price from seller j ($/GPU-hr) from </w:t>
      </w:r>
      <w:bookmarkStart w:id="905" w:name="Eq3txt905"/>
      <w:hyperlink w:anchor="Eq3" w:history="1">
        <w:r>
          <w:rPr>
            <w:rFonts w:ascii="Times New Roman" w:hAnsi="Times New Roman"/>
            <w:sz w:val="20"/>
            <w:color w:val="1F3864"/>
            <w:u w:val="single"/>
          </w:rPr>
          <w:t xml:space="preserve">equation (3)</w:t>
        </w:r>
      </w:hyperlink>
      <w:bookmarkEnd w:id="905"/>
      <w:r>
        <w:rPr>
          <w:rFonts w:ascii="Times New Roman" w:hAnsi="Times New Roman"/>
          <w:sz w:val="20"/>
        </w:rPr>
        <w:t xml:space="preserve">. Under specs (1)–(2), λ = 0, so Pⱼ = cⱼ. Under spec (3), Pⱼₖ = cⱼ(1 + λⱼₖ) where k = United States. EE = training + inference exporter; IE = inference exporter; ID = hybrid (imports training, domestic inference); DD = domestic producer; II = full importer. (1) Raw: observed electricity tariffs. (2) Cost-recovery: subsidized tariffs replaced with LRMC. (3) Bilateral: cost-recovery prices with bilateral sovereignty premium λⱼₖ from equation (2); countries ranked by delivered price to US buyer. (4) CR + host WACC: cost-recovery prices with hardware amortization computed at the host country’s weighted average cost of capital (HIC 8%, UMIC 12%, LMIC 15%, LIC 18%; annuity formula applied over a three-year GPU life). This column isolates the cost-of-capital channel that columns (1)–(3) suppress by amortizing hardware at a single straight-line ρ with no financing cost. * = sanctioned/GPU-blocked. † = developing-country exporter. See </w:t>
      </w:r>
      <w:hyperlink w:anchor="TableA2" w:history="1">
        <w:r>
          <w:rPr>
            <w:sz w:val="20"/>
            <w:color w:val="1F3864"/>
            <w:u w:val="single"/>
          </w:rPr>
          <w:t xml:space="preserve">Table A2</w:t>
        </w:r>
      </w:hyperlink>
      <w:r>
        <w:rPr>
          <w:rFonts w:ascii="Times New Roman" w:hAnsi="Times New Roman"/>
          <w:sz w:val="20"/>
        </w:rPr>
        <w:t xml:space="preserve"> for all 85 countries.</w:t>
      </w:r>
    </w:p>
    <w:p>
      <w:pPr>
        <w:pStyle w:val="Heading1"/>
      </w:pPr>
      <w:r>
        <w:rPr>
          <w:rFonts w:ascii="Times New Roman" w:hAnsi="Times New Roman"/>
          <w:color w:val="2F5496"/>
          <w:sz w:val="28"/>
        </w:rPr>
        <w:t>Appendix A</w:t>
      </w:r>
    </w:p>
    <w:p>
      <w:pPr>
        <w:spacing w:before="0" w:after="60" w:line="360" w:lineRule="auto"/>
        <w:ind w:firstLine="0"/>
        <w:jc w:val="both"/>
      </w:pPr>
      <w:bookmarkStart w:id="104" w:name="TableA1"/>
      <w:hyperlink w:anchor="TableA1txt" w:history="1">
        <w:r>
          <w:rPr>
            <w:b/>
            <w:sz w:val="20"/>
            <w:color w:val="1F3864"/>
            <w:u w:val="single"/>
          </w:rPr>
          <w:t>Table A1</w:t>
        </w:r>
      </w:hyperlink>
      <w:bookmarkEnd w:id="104"/>
      <w:r>
        <w:rPr>
          <w:b/>
          <w:sz w:val="20"/>
        </w:rPr>
        <w:t>. Country-specific calibration parameters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0"/>
        <w:gridCol w:w="960"/>
        <w:gridCol w:w="960"/>
        <w:gridCol w:w="960"/>
        <w:gridCol w:w="960"/>
        <w:gridCol w:w="960"/>
        <w:gridCol w:w="960"/>
        <w:gridCol w:w="960"/>
        <w:gridCol w:w="960"/>
      </w:tblGrid>
      <w:tr>
        <w:tc>
          <w:tcPr>
            <w:tcBorders>
              <w:top w:val="single" w:sz="4" w:space="0" w:color="auto"/>
              <w:bottom w:val="single" w:sz="4" w:space="0" w:color="auto"/>
            </w:tcBorders>
            <w:tcW w:w="1500" w:type="dxa"/>
          </w:tcPr>
          <w:p>
            <w:pPr>
              <w:jc w:val="center"/>
              <w:spacing w:before="10" w:after="10"/>
            </w:pPr>
            <w:r/>
            <w:r>
              <w:rPr>
                <w:b/>
                <w:sz w:val="16"/>
              </w:rPr>
              <w:t>Country</w:t>
            </w:r>
          </w:p>
        </w:tc>
        <w:tc>
          <w:tcPr>
            <w:tcBorders>
              <w:top w:val="single" w:sz="4" w:space="0" w:color="auto"/>
              <w:bottom w:val="single" w:sz="4" w:space="0" w:color="auto"/>
            </w:tcBorders>
            <w:tcW w:w="650" w:type="dxa"/>
          </w:tcPr>
          <w:p>
            <w:pPr>
              <w:jc w:val="center"/>
              <w:spacing w:before="10" w:after="10"/>
            </w:pPr>
            <w:r/>
            <w:r>
              <w:rPr>
                <w:b/>
                <w:sz w:val="16"/>
              </w:rPr>
              <w:t>pᴱ</w:t>
              <w:br/>
              <w:t>($/kWh)</w:t>
            </w:r>
          </w:p>
        </w:tc>
        <w:tc>
          <w:tcPr>
            <w:tcBorders>
              <w:top w:val="single" w:sz="4" w:space="0" w:color="auto"/>
              <w:bottom w:val="single" w:sz="4" w:space="0" w:color="auto"/>
            </w:tcBorders>
            <w:tcW w:w="550" w:type="dxa"/>
          </w:tcPr>
          <w:p>
            <w:pPr>
              <w:jc w:val="center"/>
              <w:spacing w:before="10" w:after="10"/>
            </w:pPr>
            <w:r/>
            <w:r>
              <w:rPr>
                <w:b/>
                <w:sz w:val="16"/>
              </w:rPr>
              <w:t>θⱼ</w:t>
              <w:br/>
              <w:t>(°C)</w:t>
            </w:r>
          </w:p>
        </w:tc>
        <w:tc>
          <w:tcPr>
            <w:tcBorders>
              <w:top w:val="single" w:sz="4" w:space="0" w:color="auto"/>
              <w:bottom w:val="single" w:sz="4" w:space="0" w:color="auto"/>
            </w:tcBorders>
            <w:tcW w:w="500" w:type="dxa"/>
          </w:tcPr>
          <w:p>
            <w:pPr>
              <w:jc w:val="center"/>
              <w:spacing w:before="10" w:after="10"/>
            </w:pPr>
            <w:r/>
            <w:r>
              <w:rPr>
                <w:b/>
                <w:sz w:val="16"/>
              </w:rPr>
              <w:t>PUE</w:t>
            </w:r>
          </w:p>
        </w:tc>
        <w:tc>
          <w:tcPr>
            <w:tcBorders>
              <w:top w:val="single" w:sz="4" w:space="0" w:color="auto"/>
              <w:bottom w:val="single" w:sz="4" w:space="0" w:color="auto"/>
            </w:tcBorders>
            <w:tcW w:w="650" w:type="dxa"/>
          </w:tcPr>
          <w:p>
            <w:pPr>
              <w:jc w:val="center"/>
              <w:spacing w:before="10" w:after="10"/>
            </w:pPr>
            <w:r/>
            <w:r>
              <w:rPr>
                <w:b/>
                <w:sz w:val="16"/>
              </w:rPr>
              <w:t>Constr.</w:t>
              <w:br/>
              <w:t>($/W)</w:t>
            </w:r>
          </w:p>
        </w:tc>
        <w:tc>
          <w:tcPr>
            <w:tcBorders>
              <w:top w:val="single" w:sz="4" w:space="0" w:color="auto"/>
              <w:bottom w:val="single" w:sz="4" w:space="0" w:color="auto"/>
            </w:tcBorders>
            <w:tcW w:w="650" w:type="dxa"/>
          </w:tcPr>
          <w:p>
            <w:pPr>
              <w:jc w:val="center"/>
              <w:spacing w:before="10" w:after="10"/>
            </w:pPr>
            <w:r/>
            <w:r>
              <w:rPr>
                <w:b/>
                <w:sz w:val="16"/>
              </w:rPr>
              <w:t>k̄ⱼ</w:t>
              <w:br/>
              <w:t>(MW)</w:t>
            </w:r>
          </w:p>
        </w:tc>
        <w:tc>
          <w:tcPr>
            <w:tcBorders>
              <w:top w:val="single" w:sz="4" w:space="0" w:color="auto"/>
              <w:bottom w:val="single" w:sz="4" w:space="0" w:color="auto"/>
            </w:tcBorders>
            <w:tcW w:w="550" w:type="dxa"/>
          </w:tcPr>
          <w:p>
            <w:pPr>
              <w:jc w:val="center"/>
              <w:spacing w:before="10" w:after="10"/>
            </w:pPr>
            <w:r/>
            <w:r>
              <w:rPr>
                <w:b/>
                <w:sz w:val="16"/>
              </w:rPr>
              <w:t>ωⱼ</w:t>
              <w:br/>
              <w:t>(%)</w:t>
            </w:r>
          </w:p>
        </w:tc>
        <w:tc>
          <w:tcPr>
            <w:tcBorders>
              <w:top w:val="single" w:sz="4" w:space="0" w:color="auto"/>
              <w:bottom w:val="single" w:sz="4" w:space="0" w:color="auto"/>
            </w:tcBorders>
            <w:tcW w:w="700" w:type="dxa"/>
          </w:tcPr>
          <w:p>
            <w:pPr>
              <w:jc w:val="center"/>
              <w:spacing w:before="10" w:after="10"/>
            </w:pPr>
            <w:r/>
            <w:r>
              <w:rPr>
                <w:b/>
                <w:sz w:val="16"/>
              </w:rPr>
              <w:t>cⱼ</w:t>
              <w:br/>
              <w:t>($/hr)</w:t>
            </w:r>
          </w:p>
        </w:tc>
        <w:tc>
          <w:tcPr>
            <w:tcBorders>
              <w:top w:val="single" w:sz="4" w:space="0" w:color="auto"/>
              <w:bottom w:val="single" w:sz="4" w:space="0" w:color="auto"/>
            </w:tcBorders>
            <w:tcW w:w="750" w:type="dxa"/>
          </w:tcPr>
          <w:p>
            <w:pPr>
              <w:jc w:val="center"/>
              <w:spacing w:before="10" w:after="10"/>
            </w:pPr>
            <w:r/>
            <w:r>
              <w:rPr>
                <w:b/>
                <w:sz w:val="16"/>
              </w:rPr>
              <w:t>Cost-Rec.</w:t>
              <w:br/>
              <w:t>pᴱ ($/kWh)</w:t>
            </w:r>
          </w:p>
        </w:tc>
      </w:tr>
      <w:tr>
        <w:tc>
          <w:tcPr>
            <w:tcW w:w="1500" w:type="dxa"/>
          </w:tcPr>
          <w:p>
            <w:pPr>
              <w:spacing w:before="10" w:after="10"/>
            </w:pPr>
            <w:r/>
            <w:r>
              <w:rPr>
                <w:sz w:val="16"/>
              </w:rPr>
              <w:t>Kyrgyzstan</w:t>
            </w:r>
          </w:p>
        </w:tc>
        <w:tc>
          <w:tcPr>
            <w:tcW w:w="650" w:type="dxa"/>
          </w:tcPr>
          <w:p>
            <w:pPr>
              <w:spacing w:before="10" w:after="10"/>
            </w:pPr>
            <w:r/>
            <w:r>
              <w:rPr>
                <w:sz w:val="16"/>
              </w:rPr>
              <w:t>$0.038</w:t>
            </w:r>
          </w:p>
        </w:tc>
        <w:tc>
          <w:tcPr>
            <w:tcW w:w="550" w:type="dxa"/>
          </w:tcPr>
          <w:p>
            <w:pPr>
              <w:jc w:val="right"/>
              <w:spacing w:before="10" w:after="10"/>
            </w:pPr>
            <w:r/>
            <w:r>
              <w:rPr>
                <w:sz w:val="16"/>
              </w:rPr>
              <w:t>13.3</w:t>
            </w:r>
          </w:p>
        </w:tc>
        <w:tc>
          <w:tcPr>
            <w:tcW w:w="500" w:type="dxa"/>
          </w:tcPr>
          <w:p>
            <w:pPr>
              <w:jc w:val="right"/>
              <w:spacing w:before="10" w:after="10"/>
            </w:pPr>
            <w:r/>
            <w:r>
              <w:rPr>
                <w:sz w:val="16"/>
              </w:rPr>
              <w:t>1.08</w:t>
            </w:r>
          </w:p>
        </w:tc>
        <w:tc>
          <w:tcPr>
            <w:tcW w:w="650" w:type="dxa"/>
          </w:tcPr>
          <w:p>
            <w:pPr>
              <w:jc w:val="right"/>
              <w:spacing w:before="10" w:after="10"/>
            </w:pPr>
            <w:r/>
            <w:r>
              <w:rPr>
                <w:sz w:val="16"/>
              </w:rPr>
              <w:t>$7.83</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
              <w:rPr>
                <w:sz w:val="16"/>
              </w:rPr>
              <w:t>$0.038</w:t>
            </w:r>
          </w:p>
        </w:tc>
      </w:tr>
      <w:tr>
        <w:tc>
          <w:tcPr>
            <w:tcW w:w="1500" w:type="dxa"/>
          </w:tcPr>
          <w:p>
            <w:pPr>
              <w:spacing w:before="10" w:after="10"/>
            </w:pPr>
            <w:r/>
            <w:r>
              <w:rPr>
                <w:sz w:val="16"/>
              </w:rPr>
              <w:t>Ethiopia</w:t>
            </w:r>
          </w:p>
        </w:tc>
        <w:tc>
          <w:tcPr>
            <w:tcW w:w="650" w:type="dxa"/>
          </w:tcPr>
          <w:p>
            <w:pPr>
              <w:spacing w:before="10" w:after="10"/>
            </w:pPr>
            <w:r/>
            <w:r>
              <w:rPr>
                <w:sz w:val="16"/>
              </w:rPr>
              <w:t>$0.030</w:t>
            </w:r>
          </w:p>
        </w:tc>
        <w:tc>
          <w:tcPr>
            <w:tcW w:w="550" w:type="dxa"/>
          </w:tcPr>
          <w:p>
            <w:pPr>
              <w:jc w:val="right"/>
              <w:spacing w:before="10" w:after="10"/>
            </w:pPr>
            <w:r/>
            <w:r>
              <w:rPr>
                <w:sz w:val="16"/>
              </w:rPr>
              <w:t>26.5</w:t>
            </w:r>
          </w:p>
        </w:tc>
        <w:tc>
          <w:tcPr>
            <w:tcW w:w="500" w:type="dxa"/>
          </w:tcPr>
          <w:p>
            <w:pPr>
              <w:jc w:val="right"/>
              <w:spacing w:before="10" w:after="10"/>
            </w:pPr>
            <w:r/>
            <w:r>
              <w:rPr>
                <w:sz w:val="16"/>
              </w:rPr>
              <w:t>1.25</w:t>
            </w:r>
          </w:p>
        </w:tc>
        <w:tc>
          <w:tcPr>
            <w:tcW w:w="650" w:type="dxa"/>
          </w:tcPr>
          <w:p>
            <w:pPr>
              <w:jc w:val="right"/>
              <w:spacing w:before="10" w:after="10"/>
            </w:pPr>
            <w:r/>
            <w:r>
              <w:rPr>
                <w:sz w:val="16"/>
              </w:rPr>
              <w:t>$8.08</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$0.050</w:t>
            </w:r>
          </w:p>
        </w:tc>
      </w:tr>
      <w:tr>
        <w:tc>
          <w:tcPr>
            <w:tcW w:w="1500" w:type="dxa"/>
          </w:tcPr>
          <w:p>
            <w:pPr>
              <w:spacing w:before="10" w:after="10"/>
            </w:pPr>
            <w:r/>
            <w:r>
              <w:rPr>
                <w:sz w:val="16"/>
              </w:rPr>
              <w:t>Kosovo</w:t>
            </w:r>
          </w:p>
        </w:tc>
        <w:tc>
          <w:tcPr>
            <w:tcW w:w="650" w:type="dxa"/>
          </w:tcPr>
          <w:p>
            <w:pPr>
              <w:spacing w:before="10" w:after="10"/>
            </w:pPr>
            <w:r/>
            <w:r>
              <w:rPr>
                <w:sz w:val="16"/>
              </w:rPr>
              <w:t>$0.047</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$9.48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$0.047</w:t>
            </w:r>
          </w:p>
        </w:tc>
      </w:tr>
      <w:tr>
        <w:tc>
          <w:tcPr>
            <w:tcW w:w="1500" w:type="dxa"/>
          </w:tcPr>
          <w:p>
            <w:pPr>
              <w:spacing w:before="10" w:after="10"/>
            </w:pPr>
            <w:r/>
            <w:r>
              <w:rPr>
                <w:sz w:val="16"/>
              </w:rPr>
              <w:t>Canada</w:t>
            </w:r>
          </w:p>
        </w:tc>
        <w:tc>
          <w:tcPr>
            <w:tcW w:w="650" w:type="dxa"/>
          </w:tcPr>
          <w:p>
            <w:pPr>
              <w:spacing w:before="10" w:after="10"/>
            </w:pPr>
            <w:r/>
            <w:r>
              <w:rPr>
                <w:sz w:val="16"/>
              </w:rPr>
              <w:t>$0.045</w:t>
            </w:r>
          </w:p>
        </w:tc>
        <w:tc>
          <w:tcPr>
            <w:tcW w:w="550" w:type="dxa"/>
          </w:tcPr>
          <w:p>
            <w:pPr>
              <w:jc w:val="right"/>
              <w:spacing w:before="10" w:after="10"/>
            </w:pPr>
            <w:r/>
            <w:r>
              <w:rPr>
                <w:sz w:val="16"/>
              </w:rPr>
              <w:t>14.6</w:t>
            </w:r>
          </w:p>
        </w:tc>
        <w:tc>
          <w:tcPr>
            <w:tcW w:w="500" w:type="dxa"/>
          </w:tcPr>
          <w:p>
            <w:pPr>
              <w:jc w:val="right"/>
              <w:spacing w:before="10" w:after="10"/>
            </w:pPr>
            <w:r/>
            <w:r>
              <w:rPr>
                <w:sz w:val="16"/>
              </w:rPr>
              <w:t>1.08</w:t>
            </w:r>
          </w:p>
        </w:tc>
        <w:tc>
          <w:tcPr>
            <w:tcW w:w="650" w:type="dxa"/>
          </w:tcPr>
          <w:p>
            <w:pPr>
              <w:jc w:val="right"/>
              <w:spacing w:before="10" w:after="10"/>
            </w:pPr>
            <w:r/>
            <w:r>
              <w:rPr>
                <w:sz w:val="16"/>
              </w:rPr>
              <w:t>$9.39</w:t>
            </w:r>
          </w:p>
        </w:tc>
        <w:tc>
          <w:tcPr>
            <w:tcW w:w="650" w:type="dxa"/>
          </w:tcPr>
          <w:p>
            <w:pPr>
              <w:jc w:val="right"/>
              <w:spacing w:before="10" w:after="10"/>
            </w:pPr>
            <w:r/>
            <w:r>
              <w:rPr>
                <w:sz w:val="16"/>
              </w:rPr>
              <w:t>3,200</w:t>
            </w:r>
          </w:p>
        </w:tc>
        <w:tc>
          <w:tcPr>
            <w:tcW w:w="550" w:type="dxa"/>
          </w:tcPr>
          <w:p>
            <w:pPr>
              <w:jc w:val="right"/>
              <w:spacing w:before="10" w:after="10"/>
            </w:pPr>
            <w:r/>
            <w:r>
              <w:rPr>
                <w:sz w:val="16"/>
              </w:rPr>
              <w:t>2.6</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$0.053</w:t>
            </w:r>
          </w:p>
        </w:tc>
      </w:tr>
      <w:tr>
        <w:tc>
          <w:tcPr>
            <w:tcW w:w="1500" w:type="dxa"/>
          </w:tcPr>
          <w:p>
            <w:pPr>
              <w:spacing w:before="10" w:after="10"/>
            </w:pPr>
            <w:r/>
            <w:r>
              <w:rPr>
                <w:sz w:val="16"/>
              </w:rPr>
              <w:t>Tajikistan</w:t>
            </w:r>
          </w:p>
        </w:tc>
        <w:tc>
          <w:tcPr>
            <w:tcW w:w="650" w:type="dxa"/>
          </w:tcPr>
          <w:p>
            <w:pPr>
              <w:spacing w:before="10" w:after="10"/>
            </w:pPr>
            <w:r/>
            <w:r>
              <w:rPr>
                <w:sz w:val="16"/>
              </w:rPr>
              <w:t>$0.074</w:t>
            </w:r>
          </w:p>
        </w:tc>
        <w:tc>
          <w:tcPr>
            <w:tcW w:w="550" w:type="dxa"/>
          </w:tcPr>
          <w:p>
            <w:pPr>
              <w:jc w:val="right"/>
              <w:spacing w:before="10" w:after="10"/>
            </w:pPr>
            <w:r/>
            <w:r>
              <w:rPr>
                <w:sz w:val="16"/>
              </w:rPr>
              <w:t>16.8</w:t>
            </w:r>
          </w:p>
        </w:tc>
        <w:tc>
          <w:tcPr>
            <w:tcW w:w="500" w:type="dxa"/>
          </w:tcPr>
          <w:p>
            <w:pPr>
              <w:jc w:val="right"/>
              <w:spacing w:before="10" w:after="10"/>
            </w:pPr>
            <w:r/>
            <w:r>
              <w:rPr>
                <w:sz w:val="16"/>
              </w:rPr>
              <w:t>1.11</w:t>
            </w:r>
          </w:p>
        </w:tc>
        <w:tc>
          <w:tcPr>
            <w:tcW w:w="650" w:type="dxa"/>
          </w:tcPr>
          <w:p>
            <w:pPr>
              <w:jc w:val="right"/>
              <w:spacing w:before="10" w:after="10"/>
            </w:pPr>
            <w:r/>
            <w:r>
              <w:rPr>
                <w:sz w:val="16"/>
              </w:rPr>
              <w:t>$7.32</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$0.074</w:t>
            </w:r>
          </w:p>
        </w:tc>
      </w:tr>
      <w:tr>
        <w:tc>
          <w:tcPr>
            <w:tcW w:w="1500" w:type="dxa"/>
          </w:tcPr>
          <w:p>
            <w:pPr>
              <w:spacing w:before="10" w:after="10"/>
            </w:pPr>
            <w:r/>
            <w:r>
              <w:rPr>
                <w:sz w:val="16"/>
              </w:rPr>
              <w:t>Montenegro</w:t>
            </w:r>
          </w:p>
        </w:tc>
        <w:tc>
          <w:tcPr>
            <w:tcW w:w="650" w:type="dxa"/>
          </w:tcPr>
          <w:p>
            <w:pPr>
              <w:spacing w:before="10" w:after="10"/>
            </w:pPr>
            <w:r/>
            <w:r>
              <w:rPr>
                <w:sz w:val="16"/>
              </w:rPr>
              <w:t>$0.051</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$10.28</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$1.45</w:t>
            </w:r>
          </w:p>
        </w:tc>
        <w:tc>
          <w:tcPr>
            <w:tcW w:w="750" w:type="dxa"/>
          </w:tcPr>
          <w:p>
            <w:pPr>
              <w:jc w:val="right"/>
              <w:spacing w:before="10" w:after="10"/>
            </w:pPr>
            <w:r/>
            <w:r>
              <w:rPr>
                <w:sz w:val="16"/>
              </w:rPr>
              <w:t>$0.051</w:t>
            </w:r>
          </w:p>
        </w:tc>
      </w:tr>
      <w:tr>
        <w:tc>
          <w:tcPr>
            <w:tcW w:w="1500" w:type="dxa"/>
          </w:tcPr>
          <w:p>
            <w:pPr>
              <w:spacing w:before="10" w:after="10"/>
            </w:pPr>
            <w:r/>
            <w:r>
              <w:rPr>
                <w:sz w:val="16"/>
              </w:rPr>
              <w:t>China</w:t>
            </w:r>
          </w:p>
        </w:tc>
        <w:tc>
          <w:tcPr>
            <w:tcW w:w="650" w:type="dxa"/>
          </w:tcPr>
          <w:p>
            <w:pPr>
              <w:spacing w:before="10" w:after="10"/>
            </w:pPr>
            <w:r/>
            <w:r>
              <w:rPr>
                <w:sz w:val="16"/>
              </w:rPr>
              <w:t>$0.079</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$6.12</w:t>
            </w:r>
          </w:p>
        </w:tc>
        <w:tc>
          <w:tcPr>
            <w:tcW w:w="650" w:type="dxa"/>
          </w:tcPr>
          <w:p>
            <w:pPr>
              <w:jc w:val="right"/>
              <w:spacing w:before="10" w:after="10"/>
            </w:pPr>
            <w:r/>
            <w:r>
              <w:rPr>
                <w:sz w:val="16"/>
              </w:rPr>
              <w:t>31,900</w:t>
            </w:r>
          </w:p>
        </w:tc>
        <w:tc>
          <w:tcPr>
            <w:tcW w:w="550" w:type="dxa"/>
          </w:tcPr>
          <w:p>
            <w:pPr>
              <w:jc w:val="right"/>
              <w:spacing w:before="10" w:after="10"/>
            </w:pPr>
            <w:r/>
            <w:r>
              <w:rPr>
                <w:sz w:val="16"/>
              </w:rPr>
              <w:t>25.8</w:t>
            </w:r>
          </w:p>
        </w:tc>
        <w:tc>
          <w:tcPr>
            <w:tcW w:w="700" w:type="dxa"/>
          </w:tcPr>
          <w:p>
            <w:pPr>
              <w:jc w:val="right"/>
              <w:spacing w:before="10" w:after="10"/>
            </w:pPr>
            <w:r/>
            <w:r>
              <w:rPr>
                <w:sz w:val="16"/>
              </w:rPr>
              <w:t>$1.46</w:t>
            </w:r>
          </w:p>
        </w:tc>
        <w:tc>
          <w:tcPr>
            <w:tcW w:w="750" w:type="dxa"/>
          </w:tcPr>
          <w:p>
            <w:pPr>
              <w:jc w:val="right"/>
              <w:spacing w:before="10" w:after="10"/>
            </w:pPr>
            <w:r/>
            <w:r>
              <w:rPr>
                <w:sz w:val="16"/>
              </w:rPr>
              <w:t>$0.079</w:t>
            </w:r>
          </w:p>
        </w:tc>
      </w:tr>
      <w:tr>
        <w:tc>
          <w:tcPr>
            <w:tcW w:w="1500" w:type="dxa"/>
          </w:tcPr>
          <w:p>
            <w:pPr>
              <w:spacing w:before="10" w:after="10"/>
            </w:pPr>
            <w:r/>
            <w:r>
              <w:rPr>
                <w:sz w:val="16"/>
              </w:rPr>
              <w:t>Ukraine</w:t>
            </w:r>
          </w:p>
        </w:tc>
        <w:tc>
          <w:tcPr>
            <w:tcW w:w="650" w:type="dxa"/>
          </w:tcPr>
          <w:p>
            <w:pPr>
              <w:spacing w:before="10" w:after="10"/>
            </w:pPr>
            <w:r/>
            <w:r>
              <w:rPr>
                <w:sz w:val="16"/>
              </w:rPr>
              <w:t>$0.057</w:t>
            </w:r>
          </w:p>
        </w:tc>
        <w:tc>
          <w:tcPr>
            <w:tcW w:w="550" w:type="dxa"/>
          </w:tcPr>
          <w:p>
            <w:pPr>
              <w:jc w:val="right"/>
              <w:spacing w:before="10" w:after="10"/>
            </w:pPr>
            <w:r/>
            <w:r>
              <w:rPr>
                <w:sz w:val="16"/>
              </w:rPr>
              <w:t>22.5</w:t>
            </w:r>
          </w:p>
        </w:tc>
        <w:tc>
          <w:tcPr>
            <w:tcW w:w="500" w:type="dxa"/>
          </w:tcPr>
          <w:p>
            <w:pPr>
              <w:jc w:val="right"/>
              <w:spacing w:before="10" w:after="10"/>
            </w:pPr>
            <w:r/>
            <w:r>
              <w:rPr>
                <w:sz w:val="16"/>
              </w:rPr>
              <w:t>1.19</w:t>
            </w:r>
          </w:p>
        </w:tc>
        <w:tc>
          <w:tcPr>
            <w:tcW w:w="650" w:type="dxa"/>
          </w:tcPr>
          <w:p>
            <w:pPr>
              <w:jc w:val="right"/>
              <w:spacing w:before="10" w:after="10"/>
            </w:pPr>
            <w:r/>
            <w:r>
              <w:rPr>
                <w:sz w:val="16"/>
              </w:rPr>
              <w:t>$9.86</w:t>
            </w:r>
          </w:p>
        </w:tc>
        <w:tc>
          <w:tcPr>
            <w:tcW w:w="650" w:type="dxa"/>
          </w:tcPr>
          <w:p>
            <w:pPr>
              <w:jc w:val="right"/>
              <w:spacing w:before="10" w:after="10"/>
            </w:pPr>
            <w:r/>
            <w:r>
              <w:rPr>
                <w:sz w:val="16"/>
              </w:rPr>
              <w:t>175</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$0.057</w:t>
            </w:r>
          </w:p>
        </w:tc>
      </w:tr>
      <w:tr>
        <w:tc>
          <w:tcPr>
            <w:tcW w:w="1500" w:type="dxa"/>
          </w:tcPr>
          <w:p>
            <w:pPr>
              <w:spacing w:before="10" w:after="10"/>
            </w:pPr>
            <w:r/>
            <w:r>
              <w:rPr>
                <w:sz w:val="16"/>
              </w:rPr>
              <w:t>Argentina</w:t>
            </w:r>
          </w:p>
        </w:tc>
        <w:tc>
          <w:tcPr>
            <w:tcW w:w="650" w:type="dxa"/>
          </w:tcPr>
          <w:p>
            <w:pPr>
              <w:spacing w:before="10" w:after="10"/>
            </w:pPr>
            <w:r/>
            <w:r>
              <w:rPr>
                <w:sz w:val="16"/>
              </w:rPr>
              <w:t>$0.060</w:t>
            </w:r>
          </w:p>
        </w:tc>
        <w:tc>
          <w:tcPr>
            <w:tcW w:w="550" w:type="dxa"/>
          </w:tcPr>
          <w:p>
            <w:pPr>
              <w:jc w:val="right"/>
              <w:spacing w:before="10" w:after="10"/>
            </w:pPr>
            <w:r/>
            <w:r>
              <w:rPr>
                <w:sz w:val="16"/>
              </w:rPr>
              <w:t>22.3</w:t>
            </w:r>
          </w:p>
        </w:tc>
        <w:tc>
          <w:tcPr>
            <w:tcW w:w="500" w:type="dxa"/>
          </w:tcPr>
          <w:p>
            <w:pPr>
              <w:jc w:val="right"/>
              <w:spacing w:before="10" w:after="10"/>
            </w:pPr>
            <w:r/>
            <w:r>
              <w:rPr>
                <w:sz w:val="16"/>
              </w:rPr>
              <w:t>1.19</w:t>
            </w:r>
          </w:p>
        </w:tc>
        <w:tc>
          <w:tcPr>
            <w:tcW w:w="650" w:type="dxa"/>
          </w:tcPr>
          <w:p>
            <w:pPr>
              <w:jc w:val="right"/>
              <w:spacing w:before="10" w:after="10"/>
            </w:pPr>
            <w:r/>
            <w:r>
              <w:rPr>
                <w:sz w:val="16"/>
              </w:rPr>
              <w:t>$10.10</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
              <w:rPr>
                <w:sz w:val="16"/>
              </w:rPr>
              <w:t>$0.060</w:t>
            </w:r>
          </w:p>
        </w:tc>
      </w:tr>
      <w:tr>
        <w:tc>
          <w:tcPr>
            <w:tcW w:w="1500" w:type="dxa"/>
          </w:tcPr>
          <w:p>
            <w:pPr>
              <w:spacing w:before="10" w:after="10"/>
            </w:pPr>
            <w:r/>
            <w:r>
              <w:rPr>
                <w:sz w:val="16"/>
              </w:rPr>
              <w:t>Colombia</w:t>
            </w:r>
          </w:p>
        </w:tc>
        <w:tc>
          <w:tcPr>
            <w:tcW w:w="650" w:type="dxa"/>
          </w:tcPr>
          <w:p>
            <w:pPr>
              <w:spacing w:before="10" w:after="10"/>
            </w:pPr>
            <w:r/>
            <w:r>
              <w:rPr>
                <w:sz w:val="16"/>
              </w:rPr>
              <w:t>$0.075</w:t>
            </w:r>
          </w:p>
        </w:tc>
        <w:tc>
          <w:tcPr>
            <w:tcW w:w="550" w:type="dxa"/>
          </w:tcPr>
          <w:p>
            <w:pPr>
              <w:jc w:val="right"/>
              <w:spacing w:before="10" w:after="10"/>
            </w:pPr>
            <w:r/>
            <w:r>
              <w:rPr>
                <w:sz w:val="16"/>
              </w:rPr>
              <w:t>25.5</w:t>
            </w:r>
          </w:p>
        </w:tc>
        <w:tc>
          <w:tcPr>
            <w:tcW w:w="500" w:type="dxa"/>
          </w:tcPr>
          <w:p>
            <w:pPr>
              <w:jc w:val="right"/>
              <w:spacing w:before="10" w:after="10"/>
            </w:pPr>
            <w:r/>
            <w:r>
              <w:rPr>
                <w:sz w:val="16"/>
              </w:rPr>
              <w:t>1.24</w:t>
            </w:r>
          </w:p>
        </w:tc>
        <w:tc>
          <w:tcPr>
            <w:tcW w:w="650" w:type="dxa"/>
          </w:tcPr>
          <w:p>
            <w:pPr>
              <w:jc w:val="right"/>
              <w:spacing w:before="10" w:after="10"/>
            </w:pPr>
            <w:r/>
            <w:r>
              <w:rPr>
                <w:sz w:val="16"/>
              </w:rPr>
              <w:t>$7.49</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Pr>
                <w:b/>
              </w:rPr>
            </w:r>
            <w:r>
              <w:rPr>
                <w:sz w:val="16"/>
                <w:b/>
              </w:rPr>
              <w:t>$0.075</w:t>
            </w:r>
          </w:p>
        </w:tc>
      </w:tr>
      <w:tr>
        <w:tc>
          <w:tcPr>
            <w:tcW w:w="1500" w:type="dxa"/>
          </w:tcPr>
          <w:p>
            <w:pPr>
              <w:spacing w:before="10" w:after="10"/>
            </w:pPr>
            <w:r/>
            <w:r>
              <w:rPr>
                <w:sz w:val="16"/>
              </w:rPr>
              <w:t>Azerbaijan</w:t>
            </w:r>
          </w:p>
        </w:tc>
        <w:tc>
          <w:tcPr>
            <w:tcW w:w="650" w:type="dxa"/>
          </w:tcPr>
          <w:p>
            <w:pPr>
              <w:spacing w:before="10" w:after="10"/>
            </w:pPr>
            <w:r/>
            <w:r>
              <w:rPr>
                <w:sz w:val="16"/>
              </w:rPr>
              <w:t>$0.062</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$9.77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$1.46</w:t>
            </w:r>
          </w:p>
        </w:tc>
        <w:tc>
          <w:tcPr>
            <w:tcW w:w="750" w:type="dxa"/>
          </w:tcPr>
          <w:p>
            <w:pPr>
              <w:jc w:val="right"/>
              <w:spacing w:before="10" w:after="10"/>
            </w:pPr>
            <w:r/>
            <w:r>
              <w:rPr>
                <w:sz w:val="16"/>
              </w:rPr>
              <w:t>$0.062</w:t>
            </w:r>
          </w:p>
        </w:tc>
      </w:tr>
      <w:tr>
        <w:tc>
          <w:tcPr>
            <w:tcW w:w="1500" w:type="dxa"/>
          </w:tcPr>
          <w:p>
            <w:pPr>
              <w:spacing w:before="10" w:after="10"/>
            </w:pPr>
            <w:r/>
            <w:r>
              <w:rPr>
                <w:sz w:val="16"/>
              </w:rPr>
              <w:t>Russia</w:t>
            </w:r>
          </w:p>
        </w:tc>
        <w:tc>
          <w:tcPr>
            <w:tcW w:w="650" w:type="dxa"/>
          </w:tcPr>
          <w:p>
            <w:pPr>
              <w:spacing w:before="10" w:after="10"/>
            </w:pPr>
            <w:r/>
            <w:r>
              <w:rPr>
                <w:sz w:val="16"/>
              </w:rPr>
              <w:t>$0.040</w:t>
            </w:r>
          </w:p>
        </w:tc>
        <w:tc>
          <w:tcPr>
            <w:tcW w:w="550" w:type="dxa"/>
          </w:tcPr>
          <w:p>
            <w:pPr>
              <w:jc w:val="right"/>
              <w:spacing w:before="10" w:after="10"/>
            </w:pPr>
            <w:r/>
            <w:r>
              <w:rPr>
                <w:sz w:val="16"/>
              </w:rPr>
              <w:t>16.9</w:t>
            </w:r>
          </w:p>
        </w:tc>
        <w:tc>
          <w:tcPr>
            <w:tcW w:w="500" w:type="dxa"/>
          </w:tcPr>
          <w:p>
            <w:pPr>
              <w:jc w:val="right"/>
              <w:spacing w:before="10" w:after="10"/>
            </w:pPr>
            <w:r/>
            <w:r>
              <w:rPr>
                <w:sz w:val="16"/>
              </w:rPr>
              <w:t>1.11</w:t>
            </w:r>
          </w:p>
        </w:tc>
        <w:tc>
          <w:tcPr>
            <w:tcW w:w="650" w:type="dxa"/>
          </w:tcPr>
          <w:p>
            <w:pPr>
              <w:jc w:val="right"/>
              <w:spacing w:before="10" w:after="10"/>
            </w:pPr>
            <w:r/>
            <w:r>
              <w:rPr>
                <w:sz w:val="16"/>
              </w:rPr>
              <w:t>$10.36</w:t>
            </w:r>
          </w:p>
        </w:tc>
        <w:tc>
          <w:tcPr>
            <w:tcW w:w="650" w:type="dxa"/>
          </w:tcPr>
          <w:p>
            <w:pPr>
              <w:jc w:val="right"/>
              <w:spacing w:before="10" w:after="10"/>
            </w:pPr>
            <w:r/>
            <w:r>
              <w:rPr>
                <w:sz w:val="16"/>
              </w:rPr>
              <w:t>2,000</w:t>
            </w:r>
          </w:p>
        </w:tc>
        <w:tc>
          <w:tcPr>
            <w:tcW w:w="550" w:type="dxa"/>
          </w:tcPr>
          <w:p>
            <w:pPr>
              <w:jc w:val="right"/>
              <w:spacing w:before="10" w:after="10"/>
            </w:pPr>
            <w:r/>
            <w:r>
              <w:rPr>
                <w:sz w:val="16"/>
              </w:rPr>
              <w:t>1.6</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Norway</w:t>
            </w:r>
          </w:p>
        </w:tc>
        <w:tc>
          <w:tcPr>
            <w:tcW w:w="650" w:type="dxa"/>
          </w:tcPr>
          <w:p>
            <w:pPr>
              <w:spacing w:before="10" w:after="10"/>
            </w:pPr>
            <w:r/>
            <w:r>
              <w:rPr>
                <w:sz w:val="16"/>
              </w:rPr>
              <w:t>$0.054</w:t>
            </w:r>
          </w:p>
        </w:tc>
        <w:tc>
          <w:tcPr>
            <w:tcW w:w="550" w:type="dxa"/>
          </w:tcPr>
          <w:p>
            <w:pPr>
              <w:jc w:val="right"/>
              <w:spacing w:before="10" w:after="10"/>
            </w:pPr>
            <w:r/>
            <w:r>
              <w:rPr>
                <w:sz w:val="16"/>
              </w:rPr>
              <w:t>14.5</w:t>
            </w:r>
          </w:p>
        </w:tc>
        <w:tc>
          <w:tcPr>
            <w:tcW w:w="500" w:type="dxa"/>
          </w:tcPr>
          <w:p>
            <w:pPr>
              <w:jc w:val="right"/>
              <w:spacing w:before="10" w:after="10"/>
            </w:pPr>
            <w:r/>
            <w:r>
              <w:rPr>
                <w:sz w:val="16"/>
              </w:rPr>
              <w:t>1.08</w:t>
            </w:r>
          </w:p>
        </w:tc>
        <w:tc>
          <w:tcPr>
            <w:tcW w:w="650" w:type="dxa"/>
          </w:tcPr>
          <w:p>
            <w:pPr>
              <w:jc w:val="right"/>
              <w:spacing w:before="10" w:after="10"/>
            </w:pPr>
            <w:r/>
            <w:r>
              <w:rPr>
                <w:sz w:val="16"/>
              </w:rPr>
              <w:t>$12.41</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$0.056</w:t>
            </w:r>
          </w:p>
        </w:tc>
      </w:tr>
      <w:tr>
        <w:tc>
          <w:tcPr>
            <w:tcW w:w="1500" w:type="dxa"/>
          </w:tcPr>
          <w:p>
            <w:pPr>
              <w:spacing w:before="10" w:after="10"/>
            </w:pPr>
            <w:r/>
            <w:r>
              <w:rPr>
                <w:sz w:val="16"/>
              </w:rPr>
              <w:t>Algeria</w:t>
            </w:r>
          </w:p>
        </w:tc>
        <w:tc>
          <w:tcPr>
            <w:tcW w:w="650" w:type="dxa"/>
          </w:tcPr>
          <w:p>
            <w:pPr>
              <w:spacing w:before="10" w:after="10"/>
            </w:pPr>
            <w:r/>
            <w:r>
              <w:rPr>
                <w:sz w:val="16"/>
              </w:rPr>
              <w:t>$0.033</w:t>
            </w:r>
          </w:p>
        </w:tc>
        <w:tc>
          <w:tcPr>
            <w:tcW w:w="550" w:type="dxa"/>
          </w:tcPr>
          <w:p>
            <w:pPr>
              <w:jc w:val="right"/>
              <w:spacing w:before="10" w:after="10"/>
            </w:pPr>
            <w:r/>
            <w:r>
              <w:rPr>
                <w:sz w:val="16"/>
              </w:rPr>
              <w:t>35.8</w:t>
            </w:r>
          </w:p>
        </w:tc>
        <w:tc>
          <w:tcPr>
            <w:tcW w:w="500" w:type="dxa"/>
          </w:tcPr>
          <w:p>
            <w:pPr>
              <w:jc w:val="right"/>
              <w:spacing w:before="10" w:after="10"/>
            </w:pPr>
            <w:r/>
            <w:r>
              <w:rPr>
                <w:sz w:val="16"/>
              </w:rPr>
              <w:t>1.39</w:t>
            </w:r>
          </w:p>
        </w:tc>
        <w:tc>
          <w:tcPr>
            <w:tcW w:w="650" w:type="dxa"/>
          </w:tcPr>
          <w:p>
            <w:pPr>
              <w:jc w:val="right"/>
              <w:spacing w:before="10" w:after="10"/>
            </w:pPr>
            <w:r/>
            <w:r>
              <w:rPr>
                <w:sz w:val="16"/>
              </w:rPr>
              <w:t>$8.48</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$1.44</w:t>
            </w:r>
          </w:p>
        </w:tc>
        <w:tc>
          <w:tcPr>
            <w:tcW w:w="750" w:type="dxa"/>
          </w:tcPr>
          <w:p>
            <w:pPr>
              <w:jc w:val="right"/>
              <w:spacing w:before="10" w:after="10"/>
            </w:pPr>
            <w:r>
              <w:rPr>
                <w:b/>
              </w:rPr>
            </w:r>
            <w:r>
              <w:rPr>
                <w:sz w:val="16"/>
                <w:b/>
              </w:rPr>
              <w:t>$0.065</w:t>
            </w:r>
          </w:p>
        </w:tc>
      </w:tr>
      <w:tr>
        <w:tc>
          <w:tcPr>
            <w:tcW w:w="1500" w:type="dxa"/>
          </w:tcPr>
          <w:p>
            <w:pPr>
              <w:spacing w:before="10" w:after="10"/>
            </w:pPr>
            <w:r/>
            <w:r>
              <w:rPr>
                <w:sz w:val="16"/>
              </w:rPr>
              <w:t>Vietnam</w:t>
            </w:r>
          </w:p>
        </w:tc>
        <w:tc>
          <w:tcPr>
            <w:tcW w:w="650" w:type="dxa"/>
          </w:tcPr>
          <w:p>
            <w:pPr>
              <w:spacing w:before="10" w:after="10"/>
            </w:pPr>
            <w:r/>
            <w:r>
              <w:rPr>
                <w:sz w:val="16"/>
              </w:rPr>
              <w:t>$0.073</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$8.76</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$1.47</w:t>
            </w:r>
          </w:p>
        </w:tc>
        <w:tc>
          <w:tcPr>
            <w:tcW w:w="750" w:type="dxa"/>
          </w:tcPr>
          <w:p>
            <w:pPr>
              <w:jc w:val="right"/>
              <w:spacing w:before="10" w:after="10"/>
            </w:pPr>
            <w:r/>
            <w:r>
              <w:rPr>
                <w:sz w:val="16"/>
              </w:rPr>
              <w:t>$0.073</w:t>
            </w:r>
          </w:p>
        </w:tc>
      </w:tr>
      <w:tr>
        <w:tc>
          <w:tcPr>
            <w:tcW w:w="1500" w:type="dxa"/>
          </w:tcPr>
          <w:p>
            <w:pPr>
              <w:spacing w:before="10" w:after="10"/>
            </w:pPr>
            <w:r/>
            <w:r>
              <w:rPr>
                <w:sz w:val="16"/>
              </w:rPr>
              <w:t>Finland</w:t>
            </w:r>
          </w:p>
        </w:tc>
        <w:tc>
          <w:tcPr>
            <w:tcW w:w="650" w:type="dxa"/>
          </w:tcPr>
          <w:p>
            <w:pPr>
              <w:spacing w:before="10" w:after="10"/>
            </w:pPr>
            <w:r/>
            <w:r>
              <w:rPr>
                <w:sz w:val="16"/>
              </w:rPr>
              <w:t>$0.057</w:t>
            </w:r>
          </w:p>
        </w:tc>
        <w:tc>
          <w:tcPr>
            <w:tcW w:w="550" w:type="dxa"/>
          </w:tcPr>
          <w:p>
            <w:pPr>
              <w:jc w:val="right"/>
              <w:spacing w:before="10" w:after="10"/>
            </w:pPr>
            <w:r/>
            <w:r>
              <w:rPr>
                <w:sz w:val="16"/>
              </w:rPr>
              <w:t>16.4</w:t>
            </w:r>
          </w:p>
        </w:tc>
        <w:tc>
          <w:tcPr>
            <w:tcW w:w="500" w:type="dxa"/>
          </w:tcPr>
          <w:p>
            <w:pPr>
              <w:jc w:val="right"/>
              <w:spacing w:before="10" w:after="10"/>
            </w:pPr>
            <w:r/>
            <w:r>
              <w:rPr>
                <w:sz w:val="16"/>
              </w:rPr>
              <w:t>1.10</w:t>
            </w:r>
          </w:p>
        </w:tc>
        <w:tc>
          <w:tcPr>
            <w:tcW w:w="650" w:type="dxa"/>
          </w:tcPr>
          <w:p>
            <w:pPr>
              <w:jc w:val="right"/>
              <w:spacing w:before="10" w:after="10"/>
            </w:pPr>
            <w:r/>
            <w:r>
              <w:rPr>
                <w:sz w:val="16"/>
              </w:rPr>
              <w:t>$12.29</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$0.062</w:t>
            </w:r>
          </w:p>
        </w:tc>
      </w:tr>
      <w:tr>
        <w:tc>
          <w:tcPr>
            <w:tcW w:w="1500" w:type="dxa"/>
          </w:tcPr>
          <w:p>
            <w:pPr>
              <w:spacing w:before="10" w:after="10"/>
            </w:pPr>
            <w:r/>
            <w:r>
              <w:rPr>
                <w:sz w:val="16"/>
              </w:rPr>
              <w:t>Brazil</w:t>
            </w:r>
          </w:p>
        </w:tc>
        <w:tc>
          <w:tcPr>
            <w:tcW w:w="650" w:type="dxa"/>
          </w:tcPr>
          <w:p>
            <w:pPr>
              <w:spacing w:before="10" w:after="10"/>
            </w:pPr>
            <w:r/>
            <w:r>
              <w:rPr>
                <w:sz w:val="16"/>
              </w:rPr>
              <w:t>$0.063</w:t>
            </w:r>
          </w:p>
        </w:tc>
        <w:tc>
          <w:tcPr>
            <w:tcW w:w="550" w:type="dxa"/>
          </w:tcPr>
          <w:p>
            <w:pPr>
              <w:jc w:val="right"/>
              <w:spacing w:before="10" w:after="10"/>
            </w:pPr>
            <w:r/>
            <w:r>
              <w:rPr>
                <w:sz w:val="16"/>
              </w:rPr>
              <w:t>27.3</w:t>
            </w:r>
          </w:p>
        </w:tc>
        <w:tc>
          <w:tcPr>
            <w:tcW w:w="500" w:type="dxa"/>
          </w:tcPr>
          <w:p>
            <w:pPr>
              <w:jc w:val="right"/>
              <w:spacing w:before="10" w:after="10"/>
            </w:pPr>
            <w:r/>
            <w:r>
              <w:rPr>
                <w:sz w:val="16"/>
              </w:rPr>
              <w:t>1.26</w:t>
            </w:r>
          </w:p>
        </w:tc>
        <w:tc>
          <w:tcPr>
            <w:tcW w:w="650" w:type="dxa"/>
          </w:tcPr>
          <w:p>
            <w:pPr>
              <w:jc w:val="right"/>
              <w:spacing w:before="10" w:after="10"/>
            </w:pPr>
            <w:r/>
            <w:r>
              <w:rPr>
                <w:sz w:val="16"/>
              </w:rPr>
              <w:t>$10.75</w:t>
            </w:r>
          </w:p>
        </w:tc>
        <w:tc>
          <w:tcPr>
            <w:tcW w:w="650" w:type="dxa"/>
          </w:tcPr>
          <w:p>
            <w:pPr>
              <w:jc w:val="right"/>
              <w:spacing w:before="10" w:after="10"/>
            </w:pPr>
            <w:r/>
            <w:r>
              <w:rPr>
                <w:sz w:val="16"/>
              </w:rPr>
              <w:t>1,200</w:t>
            </w:r>
          </w:p>
        </w:tc>
        <w:tc>
          <w:tcPr>
            <w:tcW w:w="550" w:type="dxa"/>
          </w:tcPr>
          <w:p>
            <w:pPr>
              <w:jc w:val="right"/>
              <w:spacing w:before="10" w:after="10"/>
            </w:pPr>
            <w:r/>
            <w:r>
              <w:rPr>
                <w:sz w:val="16"/>
              </w:rPr>
              <w:t>1.0</w:t>
            </w:r>
          </w:p>
        </w:tc>
        <w:tc>
          <w:tcPr>
            <w:tcW w:w="700" w:type="dxa"/>
          </w:tcPr>
          <w:p>
            <w:pPr>
              <w:jc w:val="right"/>
              <w:spacing w:before="10" w:after="10"/>
            </w:pPr>
            <w:r/>
            <w:r>
              <w:rPr>
                <w:sz w:val="16"/>
              </w:rPr>
              <w:t>$1.47</w:t>
            </w:r>
          </w:p>
        </w:tc>
        <w:tc>
          <w:tcPr>
            <w:tcW w:w="750" w:type="dxa"/>
          </w:tcPr>
          <w:p>
            <w:pPr>
              <w:jc w:val="right"/>
              <w:spacing w:before="10" w:after="10"/>
            </w:pPr>
            <w:r/>
            <w:r>
              <w:rPr>
                <w:sz w:val="16"/>
              </w:rPr>
              <w:t>$0.063</w:t>
            </w:r>
          </w:p>
        </w:tc>
      </w:tr>
      <w:tr>
        <w:tc>
          <w:tcPr>
            <w:tcW w:w="1500" w:type="dxa"/>
          </w:tcPr>
          <w:p>
            <w:pPr>
              <w:spacing w:before="10" w:after="10"/>
            </w:pPr>
            <w:r/>
            <w:r>
              <w:rPr>
                <w:sz w:val="16"/>
              </w:rPr>
              <w:t>Turkmenistan</w:t>
            </w:r>
          </w:p>
        </w:tc>
        <w:tc>
          <w:tcPr>
            <w:tcW w:w="650" w:type="dxa"/>
          </w:tcPr>
          <w:p>
            <w:pPr>
              <w:spacing w:before="10" w:after="10"/>
            </w:pPr>
            <w:r/>
            <w:r>
              <w:rPr>
                <w:sz w:val="16"/>
              </w:rPr>
              <w:t>$0.010</w:t>
            </w:r>
          </w:p>
        </w:tc>
        <w:tc>
          <w:tcPr>
            <w:tcW w:w="550" w:type="dxa"/>
          </w:tcPr>
          <w:p>
            <w:pPr>
              <w:jc w:val="right"/>
              <w:spacing w:before="10" w:after="10"/>
            </w:pPr>
            <w:r/>
            <w:r>
              <w:rPr>
                <w:sz w:val="16"/>
              </w:rPr>
              <w:t>32.2</w:t>
            </w:r>
          </w:p>
        </w:tc>
        <w:tc>
          <w:tcPr>
            <w:tcW w:w="500" w:type="dxa"/>
          </w:tcPr>
          <w:p>
            <w:pPr>
              <w:jc w:val="right"/>
              <w:spacing w:before="10" w:after="10"/>
            </w:pPr>
            <w:r/>
            <w:r>
              <w:rPr>
                <w:sz w:val="16"/>
              </w:rPr>
              <w:t>1.34</w:t>
            </w:r>
          </w:p>
        </w:tc>
        <w:tc>
          <w:tcPr>
            <w:tcW w:w="650" w:type="dxa"/>
          </w:tcPr>
          <w:p>
            <w:pPr>
              <w:jc w:val="right"/>
              <w:spacing w:before="10" w:after="10"/>
            </w:pPr>
            <w:r/>
            <w:r>
              <w:rPr>
                <w:sz w:val="16"/>
              </w:rPr>
              <w:t>$9.24</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$1.42</w:t>
            </w:r>
          </w:p>
        </w:tc>
        <w:tc>
          <w:tcPr>
            <w:tcW w:w="750" w:type="dxa"/>
          </w:tcPr>
          <w:p>
            <w:pPr>
              <w:jc w:val="right"/>
              <w:spacing w:before="10" w:after="10"/>
            </w:pPr>
            <w:r>
              <w:rPr>
                <w:b/>
              </w:rPr>
            </w:r>
            <w:r>
              <w:rPr>
                <w:sz w:val="16"/>
                <w:b/>
              </w:rPr>
              <w:t>$0.070</w:t>
            </w:r>
          </w:p>
        </w:tc>
      </w:tr>
      <w:tr>
        <w:tc>
          <w:tcPr>
            <w:tcW w:w="1500" w:type="dxa"/>
          </w:tcPr>
          <w:p>
            <w:pPr>
              <w:spacing w:before="10" w:after="10"/>
            </w:pPr>
            <w:r/>
            <w:r>
              <w:rPr>
                <w:sz w:val="16"/>
              </w:rPr>
              <w:t>Egypt</w:t>
            </w:r>
          </w:p>
        </w:tc>
        <w:tc>
          <w:tcPr>
            <w:tcW w:w="650" w:type="dxa"/>
          </w:tcPr>
          <w:p>
            <w:pPr>
              <w:spacing w:before="10" w:after="10"/>
            </w:pPr>
            <w:r/>
            <w:r>
              <w:rPr>
                <w:sz w:val="16"/>
              </w:rPr>
              <w:t>$0.038</w:t>
            </w:r>
          </w:p>
        </w:tc>
        <w:tc>
          <w:tcPr>
            <w:tcW w:w="550" w:type="dxa"/>
          </w:tcPr>
          <w:p>
            <w:pPr>
              <w:jc w:val="right"/>
              <w:spacing w:before="10" w:after="10"/>
            </w:pPr>
            <w:r/>
            <w:r>
              <w:rPr>
                <w:sz w:val="16"/>
              </w:rPr>
              <w:t>31.7</w:t>
            </w:r>
          </w:p>
        </w:tc>
        <w:tc>
          <w:tcPr>
            <w:tcW w:w="500" w:type="dxa"/>
          </w:tcPr>
          <w:p>
            <w:pPr>
              <w:jc w:val="right"/>
              <w:spacing w:before="10" w:after="10"/>
            </w:pPr>
            <w:r/>
            <w:r>
              <w:rPr>
                <w:sz w:val="16"/>
              </w:rPr>
              <w:t>1.33</w:t>
            </w:r>
          </w:p>
        </w:tc>
        <w:tc>
          <w:tcPr>
            <w:tcW w:w="650" w:type="dxa"/>
          </w:tcPr>
          <w:p>
            <w:pPr>
              <w:jc w:val="right"/>
              <w:spacing w:before="10" w:after="10"/>
            </w:pPr>
            <w:r/>
            <w:r>
              <w:rPr>
                <w:sz w:val="16"/>
              </w:rPr>
              <w:t>$7.63</w:t>
            </w:r>
          </w:p>
        </w:tc>
        <w:tc>
          <w:tcPr>
            <w:tcW w:w="650" w:type="dxa"/>
          </w:tcPr>
          <w:p>
            <w:pPr>
              <w:jc w:val="right"/>
              <w:spacing w:before="10" w:after="10"/>
            </w:pPr>
            <w:r/>
            <w:r>
              <w:rPr>
                <w:sz w:val="16"/>
              </w:rPr>
              <w:t>150</w:t>
            </w:r>
          </w:p>
        </w:tc>
        <w:tc>
          <w:tcPr>
            <w:tcW w:w="550" w:type="dxa"/>
          </w:tcPr>
          <w:p>
            <w:pPr>
              <w:jc w:val="right"/>
              <w:spacing w:before="10" w:after="10"/>
            </w:pPr>
            <w:r/>
            <w:r>
              <w:rPr>
                <w:sz w:val="16"/>
              </w:rPr>
              <w:t>0.1</w:t>
            </w:r>
          </w:p>
        </w:tc>
        <w:tc>
          <w:tcPr>
            <w:tcW w:w="700" w:type="dxa"/>
          </w:tcPr>
          <w:p>
            <w:pPr>
              <w:jc w:val="right"/>
              <w:spacing w:before="10" w:after="10"/>
            </w:pPr>
            <w:r/>
            <w:r>
              <w:rPr>
                <w:sz w:val="16"/>
              </w:rPr>
              <w:t>$1.43</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India</w:t>
            </w:r>
          </w:p>
        </w:tc>
        <w:tc>
          <w:tcPr>
            <w:tcW w:w="650" w:type="dxa"/>
          </w:tcPr>
          <w:p>
            <w:pPr>
              <w:spacing w:before="10" w:after="10"/>
            </w:pPr>
            <w:r/>
            <w:r>
              <w:rPr>
                <w:sz w:val="16"/>
              </w:rPr>
              <w:t>$0.090</w:t>
            </w:r>
          </w:p>
        </w:tc>
        <w:tc>
          <w:tcPr>
            <w:tcW w:w="550" w:type="dxa"/>
          </w:tcPr>
          <w:p>
            <w:pPr>
              <w:jc w:val="right"/>
              <w:spacing w:before="10" w:after="10"/>
            </w:pPr>
            <w:r/>
            <w:r>
              <w:rPr>
                <w:sz w:val="16"/>
              </w:rPr>
              <w:t>30.2</w:t>
            </w:r>
          </w:p>
        </w:tc>
        <w:tc>
          <w:tcPr>
            <w:tcW w:w="500" w:type="dxa"/>
          </w:tcPr>
          <w:p>
            <w:pPr>
              <w:jc w:val="right"/>
              <w:spacing w:before="10" w:after="10"/>
            </w:pPr>
            <w:r/>
            <w:r>
              <w:rPr>
                <w:sz w:val="16"/>
              </w:rPr>
              <w:t>1.31</w:t>
            </w:r>
          </w:p>
        </w:tc>
        <w:tc>
          <w:tcPr>
            <w:tcW w:w="650" w:type="dxa"/>
          </w:tcPr>
          <w:p>
            <w:pPr>
              <w:jc w:val="right"/>
              <w:spacing w:before="10" w:after="10"/>
            </w:pPr>
            <w:r/>
            <w:r>
              <w:rPr>
                <w:sz w:val="16"/>
              </w:rPr>
              <w:t>$6.64</w:t>
            </w:r>
          </w:p>
        </w:tc>
        <w:tc>
          <w:tcPr>
            <w:tcW w:w="650" w:type="dxa"/>
          </w:tcPr>
          <w:p>
            <w:pPr>
              <w:jc w:val="right"/>
              <w:spacing w:before="10" w:after="10"/>
            </w:pPr>
            <w:r/>
            <w:r>
              <w:rPr>
                <w:sz w:val="16"/>
              </w:rPr>
              <w:t>3,600</w:t>
            </w:r>
          </w:p>
        </w:tc>
        <w:tc>
          <w:tcPr>
            <w:tcW w:w="550" w:type="dxa"/>
          </w:tcPr>
          <w:p>
            <w:pPr>
              <w:jc w:val="right"/>
              <w:spacing w:before="10" w:after="10"/>
            </w:pPr>
            <w:r/>
            <w:r>
              <w:rPr>
                <w:sz w:val="16"/>
              </w:rPr>
              <w:t>2.9</w:t>
            </w:r>
          </w:p>
        </w:tc>
        <w:tc>
          <w:tcPr>
            <w:tcW w:w="700" w:type="dxa"/>
          </w:tcPr>
          <w:p>
            <w:pPr>
              <w:jc w:val="right"/>
              <w:spacing w:before="10" w:after="10"/>
            </w:pPr>
            <w:r/>
            <w:r>
              <w:rPr>
                <w:sz w:val="16"/>
              </w:rPr>
              <w:t>$1.48</w:t>
            </w:r>
          </w:p>
        </w:tc>
        <w:tc>
          <w:tcPr>
            <w:tcW w:w="750" w:type="dxa"/>
          </w:tcPr>
          <w:p>
            <w:pPr>
              <w:jc w:val="right"/>
              <w:spacing w:before="10" w:after="10"/>
            </w:pPr>
            <w:r/>
            <w:r>
              <w:rPr>
                <w:sz w:val="16"/>
              </w:rPr>
              <w:t>$0.090</w:t>
            </w:r>
          </w:p>
        </w:tc>
      </w:tr>
      <w:tr>
        <w:tc>
          <w:tcPr>
            <w:tcW w:w="1500" w:type="dxa"/>
          </w:tcPr>
          <w:p>
            <w:pPr>
              <w:spacing w:before="10" w:after="10"/>
            </w:pPr>
            <w:r/>
            <w:r>
              <w:rPr>
                <w:sz w:val="16"/>
              </w:rPr>
              <w:t>Indonesia</w:t>
            </w:r>
          </w:p>
        </w:tc>
        <w:tc>
          <w:tcPr>
            <w:tcW w:w="650" w:type="dxa"/>
          </w:tcPr>
          <w:p>
            <w:pPr>
              <w:spacing w:before="10" w:after="10"/>
            </w:pPr>
            <w:r/>
            <w:r>
              <w:rPr>
                <w:sz w:val="16"/>
              </w:rPr>
              <w:t>$0.067</w:t>
            </w:r>
          </w:p>
        </w:tc>
        <w:tc>
          <w:tcPr>
            <w:tcW w:w="550" w:type="dxa"/>
          </w:tcPr>
          <w:p>
            <w:pPr>
              <w:jc w:val="right"/>
              <w:spacing w:before="10" w:after="10"/>
            </w:pPr>
            <w:r/>
            <w:r>
              <w:rPr>
                <w:sz w:val="16"/>
              </w:rPr>
              <w:t>26.4</w:t>
            </w:r>
          </w:p>
        </w:tc>
        <w:tc>
          <w:tcPr>
            <w:tcW w:w="500" w:type="dxa"/>
          </w:tcPr>
          <w:p>
            <w:pPr>
              <w:jc w:val="right"/>
              <w:spacing w:before="10" w:after="10"/>
            </w:pPr>
            <w:r/>
            <w:r>
              <w:rPr>
                <w:sz w:val="16"/>
              </w:rPr>
              <w:t>1.25</w:t>
            </w:r>
          </w:p>
        </w:tc>
        <w:tc>
          <w:tcPr>
            <w:tcW w:w="650" w:type="dxa"/>
          </w:tcPr>
          <w:p>
            <w:pPr>
              <w:jc w:val="right"/>
              <w:spacing w:before="10" w:after="10"/>
            </w:pPr>
            <w:r/>
            <w:r>
              <w:rPr>
                <w:sz w:val="16"/>
              </w:rPr>
              <w:t>$11.21</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
              <w:rPr>
                <w:sz w:val="16"/>
              </w:rPr>
              <w:t>$0.067</w:t>
            </w:r>
          </w:p>
        </w:tc>
      </w:tr>
      <w:tr>
        <w:tc>
          <w:tcPr>
            <w:tcW w:w="1500" w:type="dxa"/>
          </w:tcPr>
          <w:p>
            <w:pPr>
              <w:spacing w:before="10" w:after="10"/>
            </w:pPr>
            <w:r/>
            <w:r>
              <w:rPr>
                <w:sz w:val="16"/>
              </w:rPr>
              <w:t>Sweden</w:t>
            </w:r>
          </w:p>
        </w:tc>
        <w:tc>
          <w:tcPr>
            <w:tcW w:w="650" w:type="dxa"/>
          </w:tcPr>
          <w:p>
            <w:pPr>
              <w:spacing w:before="10" w:after="10"/>
            </w:pPr>
            <w:r/>
            <w:r>
              <w:rPr>
                <w:sz w:val="16"/>
              </w:rPr>
              <w:t>$0.068</w:t>
            </w:r>
          </w:p>
        </w:tc>
        <w:tc>
          <w:tcPr>
            <w:tcW w:w="550" w:type="dxa"/>
          </w:tcPr>
          <w:p>
            <w:pPr>
              <w:jc w:val="right"/>
              <w:spacing w:before="10" w:after="10"/>
            </w:pPr>
            <w:r/>
            <w:r>
              <w:rPr>
                <w:sz w:val="16"/>
              </w:rPr>
              <w:t>15.2</w:t>
            </w:r>
          </w:p>
        </w:tc>
        <w:tc>
          <w:tcPr>
            <w:tcW w:w="500" w:type="dxa"/>
          </w:tcPr>
          <w:p>
            <w:pPr>
              <w:jc w:val="right"/>
              <w:spacing w:before="10" w:after="10"/>
            </w:pPr>
            <w:r/>
            <w:r>
              <w:rPr>
                <w:sz w:val="16"/>
              </w:rPr>
              <w:t>1.08</w:t>
            </w:r>
          </w:p>
        </w:tc>
        <w:tc>
          <w:tcPr>
            <w:tcW w:w="650" w:type="dxa"/>
          </w:tcPr>
          <w:p>
            <w:pPr>
              <w:jc w:val="right"/>
              <w:spacing w:before="10" w:after="10"/>
            </w:pPr>
            <w:r/>
            <w:r>
              <w:rPr>
                <w:sz w:val="16"/>
              </w:rPr>
              <w:t>$12.29</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$1.48</w:t>
            </w:r>
          </w:p>
        </w:tc>
        <w:tc>
          <w:tcPr>
            <w:tcW w:w="750" w:type="dxa"/>
          </w:tcPr>
          <w:p>
            <w:pPr>
              <w:jc w:val="right"/>
              <w:spacing w:before="10" w:after="10"/>
            </w:pPr>
            <w:r>
              <w:rPr>
                <w:b/>
              </w:rPr>
            </w:r>
            <w:r>
              <w:rPr>
                <w:sz w:val="16"/>
                <w:b/>
              </w:rPr>
              <w:t>$0.071</w:t>
            </w:r>
          </w:p>
        </w:tc>
      </w:tr>
      <w:tr>
        <w:tc>
          <w:tcPr>
            <w:tcW w:w="1500" w:type="dxa"/>
          </w:tcPr>
          <w:p>
            <w:pPr>
              <w:spacing w:before="10" w:after="10"/>
            </w:pPr>
            <w:r/>
            <w:r>
              <w:rPr>
                <w:sz w:val="16"/>
              </w:rPr>
              <w:t>Kazakhstan</w:t>
            </w:r>
          </w:p>
        </w:tc>
        <w:tc>
          <w:tcPr>
            <w:tcW w:w="650" w:type="dxa"/>
          </w:tcPr>
          <w:p>
            <w:pPr>
              <w:spacing w:before="10" w:after="10"/>
            </w:pPr>
            <w:r/>
            <w:r>
              <w:rPr>
                <w:sz w:val="16"/>
              </w:rPr>
              <w:t>$0.066</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$9.53</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Iran</w:t>
            </w:r>
          </w:p>
        </w:tc>
        <w:tc>
          <w:tcPr>
            <w:tcW w:w="650" w:type="dxa"/>
          </w:tcPr>
          <w:p>
            <w:pPr>
              <w:spacing w:before="10" w:after="10"/>
            </w:pPr>
            <w:r/>
            <w:r>
              <w:rPr>
                <w:sz w:val="16"/>
              </w:rPr>
              <w:t>$0.005</w:t>
            </w:r>
          </w:p>
        </w:tc>
        <w:tc>
          <w:tcPr>
            <w:tcW w:w="550" w:type="dxa"/>
          </w:tcPr>
          <w:p>
            <w:pPr>
              <w:jc w:val="right"/>
              <w:spacing w:before="10" w:after="10"/>
            </w:pPr>
            <w:r/>
            <w:r>
              <w:rPr>
                <w:sz w:val="16"/>
              </w:rPr>
              <w:t>31.2</w:t>
            </w:r>
          </w:p>
        </w:tc>
        <w:tc>
          <w:tcPr>
            <w:tcW w:w="500" w:type="dxa"/>
          </w:tcPr>
          <w:p>
            <w:pPr>
              <w:jc w:val="right"/>
              <w:spacing w:before="10" w:after="10"/>
            </w:pPr>
            <w:r/>
            <w:r>
              <w:rPr>
                <w:sz w:val="16"/>
              </w:rPr>
              <w:t>1.32</w:t>
            </w:r>
          </w:p>
        </w:tc>
        <w:tc>
          <w:tcPr>
            <w:tcW w:w="650" w:type="dxa"/>
          </w:tcPr>
          <w:p>
            <w:pPr>
              <w:jc w:val="right"/>
              <w:spacing w:before="10" w:after="10"/>
            </w:pPr>
            <w:r/>
            <w:r>
              <w:rPr>
                <w:sz w:val="16"/>
              </w:rPr>
              <w:t>$8.50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$1.41</w:t>
            </w:r>
          </w:p>
        </w:tc>
        <w:tc>
          <w:tcPr>
            <w:tcW w:w="750" w:type="dxa"/>
          </w:tcPr>
          <w:p>
            <w:pPr>
              <w:jc w:val="right"/>
              <w:spacing w:before="10" w:after="10"/>
            </w:pPr>
            <w:r>
              <w:rPr>
                <w:b/>
              </w:rPr>
            </w:r>
            <w:r>
              <w:rPr>
                <w:sz w:val="16"/>
                <w:b/>
              </w:rPr>
              <w:t>$0.085</w:t>
            </w:r>
          </w:p>
        </w:tc>
      </w:tr>
      <w:tr>
        <w:tc>
          <w:tcPr>
            <w:tcW w:w="1500" w:type="dxa"/>
          </w:tcPr>
          <w:p>
            <w:pPr>
              <w:spacing w:before="10" w:after="10"/>
            </w:pPr>
            <w:r/>
            <w:r>
              <w:rPr>
                <w:sz w:val="16"/>
              </w:rPr>
              <w:t>Georgia</w:t>
            </w:r>
          </w:p>
        </w:tc>
        <w:tc>
          <w:tcPr>
            <w:tcW w:w="650" w:type="dxa"/>
          </w:tcPr>
          <w:p>
            <w:pPr>
              <w:spacing w:before="10" w:after="10"/>
            </w:pPr>
            <w:r/>
            <w:r>
              <w:rPr>
                <w:sz w:val="16"/>
              </w:rPr>
              <w:t>$0.091</w:t>
            </w:r>
          </w:p>
        </w:tc>
        <w:tc>
          <w:tcPr>
            <w:tcW w:w="550" w:type="dxa"/>
          </w:tcPr>
          <w:p>
            <w:pPr>
              <w:jc w:val="right"/>
              <w:spacing w:before="10" w:after="10"/>
            </w:pPr>
            <w:r/>
            <w:r>
              <w:rPr>
                <w:sz w:val="16"/>
              </w:rPr>
              <w:t>19.4</w:t>
            </w:r>
          </w:p>
        </w:tc>
        <w:tc>
          <w:tcPr>
            <w:tcW w:w="500" w:type="dxa"/>
          </w:tcPr>
          <w:p>
            <w:pPr>
              <w:jc w:val="right"/>
              <w:spacing w:before="10" w:after="10"/>
            </w:pPr>
            <w:r/>
            <w:r>
              <w:rPr>
                <w:sz w:val="16"/>
              </w:rPr>
              <w:t>1.15</w:t>
            </w:r>
          </w:p>
        </w:tc>
        <w:tc>
          <w:tcPr>
            <w:tcW w:w="650" w:type="dxa"/>
          </w:tcPr>
          <w:p>
            <w:pPr>
              <w:jc w:val="right"/>
              <w:spacing w:before="10" w:after="10"/>
            </w:pPr>
            <w:r/>
            <w:r>
              <w:rPr>
                <w:sz w:val="16"/>
              </w:rPr>
              <w:t>$9.58</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$1.48</w:t>
            </w:r>
          </w:p>
        </w:tc>
        <w:tc>
          <w:tcPr>
            <w:tcW w:w="750" w:type="dxa"/>
          </w:tcPr>
          <w:p>
            <w:pPr>
              <w:jc w:val="right"/>
              <w:spacing w:before="10" w:after="10"/>
            </w:pPr>
            <w:r/>
            <w:r>
              <w:rPr>
                <w:sz w:val="16"/>
              </w:rPr>
              <w:t>$0.091</w:t>
            </w:r>
          </w:p>
        </w:tc>
      </w:tr>
      <w:tr>
        <w:tc>
          <w:tcPr>
            <w:tcW w:w="1500" w:type="dxa"/>
          </w:tcPr>
          <w:p>
            <w:pPr>
              <w:spacing w:before="10" w:after="10"/>
            </w:pPr>
            <w:r/>
            <w:r>
              <w:rPr>
                <w:sz w:val="16"/>
              </w:rPr>
              <w:t>Uzbekistan</w:t>
            </w:r>
          </w:p>
        </w:tc>
        <w:tc>
          <w:tcPr>
            <w:tcW w:w="650" w:type="dxa"/>
          </w:tcPr>
          <w:p>
            <w:pPr>
              <w:spacing w:before="10" w:after="10"/>
            </w:pPr>
            <w:r/>
            <w:r>
              <w:rPr>
                <w:sz w:val="16"/>
              </w:rPr>
              <w:t>$0.071</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$8.37</w:t>
            </w:r>
          </w:p>
        </w:tc>
        <w:tc>
          <w:tcPr>
            <w:tcW w:w="650" w:type="dxa"/>
          </w:tcPr>
          <w:p>
            <w:pPr>
              <w:jc w:val="right"/>
              <w:spacing w:before="10" w:after="10"/>
            </w:pPr>
            <w:r/>
            <w:r>
              <w:rPr>
                <w:sz w:val="16"/>
              </w:rPr>
              <w:t>25</w:t>
            </w:r>
          </w:p>
        </w:tc>
        <w:tc>
          <w:tcPr>
            <w:tcW w:w="550" w:type="dxa"/>
          </w:tcPr>
          <w:p>
            <w:pPr>
              <w:jc w:val="right"/>
              <w:spacing w:before="10" w:after="10"/>
            </w:pPr>
            <w:r/>
            <w:r>
              <w:rPr>
                <w:sz w:val="16"/>
              </w:rPr>
              <w:t>0.0</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$0.090</w:t>
            </w:r>
          </w:p>
        </w:tc>
      </w:tr>
      <w:tr>
        <w:tc>
          <w:tcPr>
            <w:tcW w:w="1500" w:type="dxa"/>
          </w:tcPr>
          <w:p>
            <w:pPr>
              <w:spacing w:before="10" w:after="10"/>
            </w:pPr>
            <w:r/>
            <w:r>
              <w:rPr>
                <w:sz w:val="16"/>
              </w:rPr>
              <w:t>Kenya</w:t>
            </w:r>
          </w:p>
        </w:tc>
        <w:tc>
          <w:tcPr>
            <w:tcW w:w="650" w:type="dxa"/>
          </w:tcPr>
          <w:p>
            <w:pPr>
              <w:spacing w:before="10" w:after="10"/>
            </w:pPr>
            <w:r/>
            <w:r>
              <w:rPr>
                <w:sz w:val="16"/>
              </w:rPr>
              <w:t>$0.088</w:t>
            </w:r>
          </w:p>
        </w:tc>
        <w:tc>
          <w:tcPr>
            <w:tcW w:w="550" w:type="dxa"/>
          </w:tcPr>
          <w:p>
            <w:pPr>
              <w:jc w:val="right"/>
              <w:spacing w:before="10" w:after="10"/>
            </w:pPr>
            <w:r/>
            <w:r>
              <w:rPr>
                <w:sz w:val="16"/>
              </w:rPr>
              <w:t>27.4</w:t>
            </w:r>
          </w:p>
        </w:tc>
        <w:tc>
          <w:tcPr>
            <w:tcW w:w="500" w:type="dxa"/>
          </w:tcPr>
          <w:p>
            <w:pPr>
              <w:jc w:val="right"/>
              <w:spacing w:before="10" w:after="10"/>
            </w:pPr>
            <w:r/>
            <w:r>
              <w:rPr>
                <w:sz w:val="16"/>
              </w:rPr>
              <w:t>1.26</w:t>
            </w:r>
          </w:p>
        </w:tc>
        <w:tc>
          <w:tcPr>
            <w:tcW w:w="650" w:type="dxa"/>
          </w:tcPr>
          <w:p>
            <w:pPr>
              <w:jc w:val="right"/>
              <w:spacing w:before="10" w:after="10"/>
            </w:pPr>
            <w:r/>
            <w:r>
              <w:rPr>
                <w:sz w:val="16"/>
              </w:rPr>
              <w:t>$9.74</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$0.088</w:t>
            </w:r>
          </w:p>
        </w:tc>
      </w:tr>
      <w:tr>
        <w:tc>
          <w:tcPr>
            <w:tcW w:w="1500" w:type="dxa"/>
          </w:tcPr>
          <w:p>
            <w:pPr>
              <w:spacing w:before="10" w:after="10"/>
            </w:pPr>
            <w:r/>
            <w:r>
              <w:rPr>
                <w:sz w:val="16"/>
              </w:rPr>
              <w:t>Turkey</w:t>
            </w:r>
          </w:p>
        </w:tc>
        <w:tc>
          <w:tcPr>
            <w:tcW w:w="650" w:type="dxa"/>
          </w:tcPr>
          <w:p>
            <w:pPr>
              <w:spacing w:before="10" w:after="10"/>
            </w:pPr>
            <w:r/>
            <w:r>
              <w:rPr>
                <w:sz w:val="16"/>
              </w:rPr>
              <w:t>$0.086</w:t>
            </w:r>
          </w:p>
        </w:tc>
        <w:tc>
          <w:tcPr>
            <w:tcW w:w="550" w:type="dxa"/>
          </w:tcPr>
          <w:p>
            <w:pPr>
              <w:jc w:val="right"/>
              <w:spacing w:before="10" w:after="10"/>
            </w:pPr>
            <w:r/>
            <w:r>
              <w:rPr>
                <w:sz w:val="16"/>
              </w:rPr>
              <w:t>24.4</w:t>
            </w:r>
          </w:p>
        </w:tc>
        <w:tc>
          <w:tcPr>
            <w:tcW w:w="500" w:type="dxa"/>
          </w:tcPr>
          <w:p>
            <w:pPr>
              <w:jc w:val="right"/>
              <w:spacing w:before="10" w:after="10"/>
            </w:pPr>
            <w:r/>
            <w:r>
              <w:rPr>
                <w:sz w:val="16"/>
              </w:rPr>
              <w:t>1.22</w:t>
            </w:r>
          </w:p>
        </w:tc>
        <w:tc>
          <w:tcPr>
            <w:tcW w:w="650" w:type="dxa"/>
          </w:tcPr>
          <w:p>
            <w:pPr>
              <w:jc w:val="right"/>
              <w:spacing w:before="10" w:after="10"/>
            </w:pPr>
            <w:r/>
            <w:r>
              <w:rPr>
                <w:sz w:val="16"/>
              </w:rPr>
              <w:t>$10.57</w:t>
            </w:r>
          </w:p>
        </w:tc>
        <w:tc>
          <w:tcPr>
            <w:tcW w:w="650" w:type="dxa"/>
          </w:tcPr>
          <w:p>
            <w:pPr>
              <w:jc w:val="right"/>
              <w:spacing w:before="10" w:after="10"/>
            </w:pPr>
            <w:r/>
            <w:r>
              <w:rPr>
                <w:sz w:val="16"/>
              </w:rPr>
              <w:t>350</w:t>
            </w:r>
          </w:p>
        </w:tc>
        <w:tc>
          <w:tcPr>
            <w:tcW w:w="550" w:type="dxa"/>
          </w:tcPr>
          <w:p>
            <w:pPr>
              <w:jc w:val="right"/>
              <w:spacing w:before="10" w:after="10"/>
            </w:pPr>
            <w:r/>
            <w:r>
              <w:rPr>
                <w:sz w:val="16"/>
              </w:rPr>
              <w:t>0.3</w:t>
            </w:r>
          </w:p>
        </w:tc>
        <w:tc>
          <w:tcPr>
            <w:tcW w:w="700" w:type="dxa"/>
          </w:tcPr>
          <w:p>
            <w:pPr>
              <w:jc w:val="right"/>
              <w:spacing w:before="10" w:after="10"/>
            </w:pPr>
            <w:r/>
            <w:r>
              <w:rPr>
                <w:sz w:val="16"/>
              </w:rPr>
              <w:t>$1.49</w:t>
            </w:r>
          </w:p>
        </w:tc>
        <w:tc>
          <w:tcPr>
            <w:tcW w:w="750" w:type="dxa"/>
          </w:tcPr>
          <w:p>
            <w:pPr>
              <w:jc w:val="right"/>
              <w:spacing w:before="10" w:after="10"/>
            </w:pPr>
            <w:r>
              <w:rPr>
                <w:b/>
              </w:rPr>
            </w:r>
            <w:r>
              <w:rPr>
                <w:sz w:val="16"/>
                <w:b/>
              </w:rPr>
              <w:t>$0.086</w:t>
            </w:r>
          </w:p>
        </w:tc>
      </w:tr>
      <w:tr>
        <w:tc>
          <w:tcPr>
            <w:tcW w:w="1500" w:type="dxa"/>
          </w:tcPr>
          <w:p>
            <w:pPr>
              <w:spacing w:before="10" w:after="10"/>
            </w:pPr>
            <w:r/>
            <w:r>
              <w:rPr>
                <w:sz w:val="16"/>
              </w:rPr>
              <w:t>Bosnia and Herz.</w:t>
            </w:r>
          </w:p>
        </w:tc>
        <w:tc>
          <w:tcPr>
            <w:tcW w:w="650" w:type="dxa"/>
          </w:tcPr>
          <w:p>
            <w:pPr>
              <w:spacing w:before="10" w:after="10"/>
            </w:pPr>
            <w:r/>
            <w:r>
              <w:rPr>
                <w:sz w:val="16"/>
              </w:rPr>
              <w:t>$0.099</w:t>
            </w:r>
          </w:p>
        </w:tc>
        <w:tc>
          <w:tcPr>
            <w:tcW w:w="550" w:type="dxa"/>
          </w:tcPr>
          <w:p>
            <w:pPr>
              <w:jc w:val="right"/>
              <w:spacing w:before="10" w:after="10"/>
            </w:pPr>
            <w:r/>
            <w:r>
              <w:rPr>
                <w:sz w:val="16"/>
              </w:rPr>
              <w:t>21.6</w:t>
            </w:r>
          </w:p>
        </w:tc>
        <w:tc>
          <w:tcPr>
            <w:tcW w:w="500" w:type="dxa"/>
          </w:tcPr>
          <w:p>
            <w:pPr>
              <w:jc w:val="right"/>
              <w:spacing w:before="10" w:after="10"/>
            </w:pPr>
            <w:r/>
            <w:r>
              <w:rPr>
                <w:sz w:val="16"/>
              </w:rPr>
              <w:t>1.18</w:t>
            </w:r>
          </w:p>
        </w:tc>
        <w:tc>
          <w:tcPr>
            <w:tcW w:w="650" w:type="dxa"/>
          </w:tcPr>
          <w:p>
            <w:pPr>
              <w:jc w:val="right"/>
              <w:spacing w:before="10" w:after="10"/>
            </w:pPr>
            <w:r/>
            <w:r>
              <w:rPr>
                <w:sz w:val="16"/>
              </w:rPr>
              <w:t>$9.17</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
              <w:rPr>
                <w:sz w:val="16"/>
              </w:rPr>
              <w:t>$0.099</w:t>
            </w:r>
          </w:p>
        </w:tc>
      </w:tr>
      <w:tr>
        <w:tc>
          <w:tcPr>
            <w:tcW w:w="1500" w:type="dxa"/>
          </w:tcPr>
          <w:p>
            <w:pPr>
              <w:spacing w:before="10" w:after="10"/>
            </w:pPr>
            <w:r/>
            <w:r>
              <w:rPr>
                <w:sz w:val="16"/>
              </w:rPr>
              <w:t>Nigeria</w:t>
            </w:r>
          </w:p>
        </w:tc>
        <w:tc>
          <w:tcPr>
            <w:tcW w:w="650" w:type="dxa"/>
          </w:tcPr>
          <w:p>
            <w:pPr>
              <w:spacing w:before="10" w:after="10"/>
            </w:pPr>
            <w:r/>
            <w:r>
              <w:rPr>
                <w:sz w:val="16"/>
              </w:rPr>
              <w:t>$0.042</w:t>
            </w:r>
          </w:p>
        </w:tc>
        <w:tc>
          <w:tcPr>
            <w:tcW w:w="550" w:type="dxa"/>
          </w:tcPr>
          <w:p>
            <w:pPr>
              <w:jc w:val="right"/>
              <w:spacing w:before="10" w:after="10"/>
            </w:pPr>
            <w:r/>
            <w:r>
              <w:rPr>
                <w:sz w:val="16"/>
              </w:rPr>
              <w:t>31.4</w:t>
            </w:r>
          </w:p>
        </w:tc>
        <w:tc>
          <w:tcPr>
            <w:tcW w:w="500" w:type="dxa"/>
          </w:tcPr>
          <w:p>
            <w:pPr>
              <w:jc w:val="right"/>
              <w:spacing w:before="10" w:after="10"/>
            </w:pPr>
            <w:r/>
            <w:r>
              <w:rPr>
                <w:sz w:val="16"/>
              </w:rPr>
              <w:t>1.33</w:t>
            </w:r>
          </w:p>
        </w:tc>
        <w:tc>
          <w:tcPr>
            <w:tcW w:w="650" w:type="dxa"/>
          </w:tcPr>
          <w:p>
            <w:pPr>
              <w:jc w:val="right"/>
              <w:spacing w:before="10" w:after="10"/>
            </w:pPr>
            <w:r/>
            <w:r>
              <w:rPr>
                <w:sz w:val="16"/>
              </w:rPr>
              <w:t>$10.50</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$0.080</w:t>
            </w:r>
          </w:p>
        </w:tc>
      </w:tr>
      <w:tr>
        <w:tc>
          <w:tcPr>
            <w:tcW w:w="1500" w:type="dxa"/>
          </w:tcPr>
          <w:p>
            <w:pPr>
              <w:spacing w:before="10" w:after="10"/>
            </w:pPr>
            <w:r/>
            <w:r>
              <w:rPr>
                <w:sz w:val="16"/>
              </w:rPr>
              <w:t>South Africa</w:t>
            </w:r>
          </w:p>
        </w:tc>
        <w:tc>
          <w:tcPr>
            <w:tcW w:w="650" w:type="dxa"/>
          </w:tcPr>
          <w:p>
            <w:pPr>
              <w:spacing w:before="10" w:after="10"/>
            </w:pPr>
            <w:r/>
            <w:r>
              <w:rPr>
                <w:sz w:val="16"/>
              </w:rPr>
              <w:t>$0.040</w:t>
            </w:r>
          </w:p>
        </w:tc>
        <w:tc>
          <w:tcPr>
            <w:tcW w:w="550" w:type="dxa"/>
          </w:tcPr>
          <w:p>
            <w:pPr>
              <w:jc w:val="right"/>
              <w:spacing w:before="10" w:after="10"/>
            </w:pPr>
            <w:r/>
            <w:r>
              <w:rPr>
                <w:sz w:val="16"/>
              </w:rPr>
              <w:t>23.5</w:t>
            </w:r>
          </w:p>
        </w:tc>
        <w:tc>
          <w:tcPr>
            <w:tcW w:w="500" w:type="dxa"/>
          </w:tcPr>
          <w:p>
            <w:pPr>
              <w:jc w:val="right"/>
              <w:spacing w:before="10" w:after="10"/>
            </w:pPr>
            <w:r/>
            <w:r>
              <w:rPr>
                <w:sz w:val="16"/>
              </w:rPr>
              <w:t>1.21</w:t>
            </w:r>
          </w:p>
        </w:tc>
        <w:tc>
          <w:tcPr>
            <w:tcW w:w="650" w:type="dxa"/>
          </w:tcPr>
          <w:p>
            <w:pPr>
              <w:jc w:val="right"/>
              <w:spacing w:before="10" w:after="10"/>
            </w:pPr>
            <w:r/>
            <w:r>
              <w:rPr>
                <w:sz w:val="16"/>
              </w:rPr>
              <w:t>$10.20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$1.45</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Iceland</w:t>
            </w:r>
          </w:p>
        </w:tc>
        <w:tc>
          <w:tcPr>
            <w:tcW w:w="650" w:type="dxa"/>
          </w:tcPr>
          <w:p>
            <w:pPr>
              <w:spacing w:before="10" w:after="10"/>
            </w:pPr>
            <w:r/>
            <w:r>
              <w:rPr>
                <w:sz w:val="16"/>
              </w:rPr>
              <w:t>$0.089</w:t>
            </w:r>
          </w:p>
        </w:tc>
        <w:tc>
          <w:tcPr>
            <w:tcW w:w="550" w:type="dxa"/>
          </w:tcPr>
          <w:p>
            <w:pPr>
              <w:jc w:val="right"/>
              <w:spacing w:before="10" w:after="10"/>
            </w:pPr>
            <w:r/>
            <w:r>
              <w:rPr>
                <w:sz w:val="16"/>
              </w:rPr>
              <w:t>8.7</w:t>
            </w:r>
          </w:p>
        </w:tc>
        <w:tc>
          <w:tcPr>
            <w:tcW w:w="500" w:type="dxa"/>
          </w:tcPr>
          <w:p>
            <w:pPr>
              <w:jc w:val="right"/>
              <w:spacing w:before="10" w:after="10"/>
            </w:pPr>
            <w:r/>
            <w:r>
              <w:rPr>
                <w:sz w:val="16"/>
              </w:rPr>
              <w:t>1.08</w:t>
            </w:r>
          </w:p>
        </w:tc>
        <w:tc>
          <w:tcPr>
            <w:tcW w:w="650" w:type="dxa"/>
          </w:tcPr>
          <w:p>
            <w:pPr>
              <w:jc w:val="right"/>
              <w:spacing w:before="10" w:after="10"/>
            </w:pPr>
            <w:r/>
            <w:r>
              <w:rPr>
                <w:sz w:val="16"/>
              </w:rPr>
              <w:t>$12.47</w:t>
            </w:r>
          </w:p>
        </w:tc>
        <w:tc>
          <w:tcPr>
            <w:tcW w:w="650" w:type="dxa"/>
          </w:tcPr>
          <w:p>
            <w:pPr>
              <w:jc w:val="right"/>
              <w:spacing w:before="10" w:after="10"/>
            </w:pPr>
            <w:r/>
            <w:r>
              <w:rPr>
                <w:sz w:val="16"/>
              </w:rPr>
              <w:t>60</w:t>
            </w:r>
          </w:p>
        </w:tc>
        <w:tc>
          <w:tcPr>
            <w:tcW w:w="550" w:type="dxa"/>
          </w:tcPr>
          <w:p>
            <w:pPr>
              <w:jc w:val="right"/>
              <w:spacing w:before="10" w:after="10"/>
            </w:pPr>
            <w:r/>
            <w:r>
              <w:rPr>
                <w:sz w:val="16"/>
              </w:rPr>
              <w:t>0.0</w:t>
            </w:r>
          </w:p>
        </w:tc>
        <w:tc>
          <w:tcPr>
            <w:tcW w:w="700" w:type="dxa"/>
          </w:tcPr>
          <w:p>
            <w:pPr>
              <w:jc w:val="right"/>
              <w:spacing w:before="10" w:after="10"/>
            </w:pPr>
            <w:r/>
            <w:r>
              <w:rPr>
                <w:sz w:val="16"/>
              </w:rPr>
              <w:t>$1.49</w:t>
            </w:r>
          </w:p>
        </w:tc>
        <w:tc>
          <w:tcPr>
            <w:tcW w:w="750" w:type="dxa"/>
          </w:tcPr>
          <w:p>
            <w:pPr>
              <w:jc w:val="right"/>
              <w:spacing w:before="10" w:after="10"/>
            </w:pPr>
            <w:r>
              <w:rPr>
                <w:b/>
              </w:rPr>
            </w:r>
            <w:r>
              <w:rPr>
                <w:sz w:val="16"/>
                <w:b/>
              </w:rPr>
              <w:t>$0.092</w:t>
            </w:r>
          </w:p>
        </w:tc>
      </w:tr>
      <w:tr>
        <w:tc>
          <w:tcPr>
            <w:tcW w:w="1500" w:type="dxa"/>
          </w:tcPr>
          <w:p>
            <w:pPr>
              <w:spacing w:before="10" w:after="10"/>
            </w:pPr>
            <w:r/>
            <w:r>
              <w:rPr>
                <w:sz w:val="16"/>
              </w:rPr>
              <w:t>Belarus</w:t>
            </w:r>
          </w:p>
        </w:tc>
        <w:tc>
          <w:tcPr>
            <w:tcW w:w="650" w:type="dxa"/>
          </w:tcPr>
          <w:p>
            <w:pPr>
              <w:spacing w:before="10" w:after="10"/>
            </w:pPr>
            <w:r/>
            <w:r>
              <w:rPr>
                <w:sz w:val="16"/>
              </w:rPr>
              <w:t>$0.099</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$10.91</w:t>
            </w:r>
          </w:p>
        </w:tc>
        <w:tc>
          <w:tcPr>
            <w:tcW w:w="650" w:type="dxa"/>
          </w:tcPr>
          <w:p>
            <w:pPr>
              <w:jc w:val="right"/>
              <w:spacing w:before="10" w:after="10"/>
            </w:pPr>
            <w:r/>
            <w:r>
              <w:rPr>
                <w:sz w:val="16"/>
              </w:rPr>
              <w:t>35</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$0.099</w:t>
            </w:r>
          </w:p>
        </w:tc>
      </w:tr>
      <w:tr>
        <w:tc>
          <w:tcPr>
            <w:tcW w:w="1500" w:type="dxa"/>
          </w:tcPr>
          <w:p>
            <w:pPr>
              <w:spacing w:before="10" w:after="10"/>
            </w:pPr>
            <w:r/>
            <w:r>
              <w:rPr>
                <w:sz w:val="16"/>
              </w:rPr>
              <w:t>Australia</w:t>
            </w:r>
          </w:p>
        </w:tc>
        <w:tc>
          <w:tcPr>
            <w:tcW w:w="650" w:type="dxa"/>
          </w:tcPr>
          <w:p>
            <w:pPr>
              <w:spacing w:before="10" w:after="10"/>
            </w:pPr>
            <w:r/>
            <w:r>
              <w:rPr>
                <w:sz w:val="16"/>
              </w:rPr>
              <w:t>$0.090</w:t>
            </w:r>
          </w:p>
        </w:tc>
        <w:tc>
          <w:tcPr>
            <w:tcW w:w="550" w:type="dxa"/>
          </w:tcPr>
          <w:p>
            <w:pPr>
              <w:jc w:val="right"/>
              <w:spacing w:before="10" w:after="10"/>
            </w:pPr>
            <w:r/>
            <w:r>
              <w:rPr>
                <w:sz w:val="16"/>
              </w:rPr>
              <w:t>28.8</w:t>
            </w:r>
          </w:p>
        </w:tc>
        <w:tc>
          <w:tcPr>
            <w:tcW w:w="500" w:type="dxa"/>
          </w:tcPr>
          <w:p>
            <w:pPr>
              <w:jc w:val="right"/>
              <w:spacing w:before="10" w:after="10"/>
            </w:pPr>
            <w:r/>
            <w:r>
              <w:rPr>
                <w:sz w:val="16"/>
              </w:rPr>
              <w:t>1.29</w:t>
            </w:r>
          </w:p>
        </w:tc>
        <w:tc>
          <w:tcPr>
            <w:tcW w:w="650" w:type="dxa"/>
          </w:tcPr>
          <w:p>
            <w:pPr>
              <w:jc w:val="right"/>
              <w:spacing w:before="10" w:after="10"/>
            </w:pPr>
            <w:r/>
            <w:r>
              <w:rPr>
                <w:sz w:val="16"/>
              </w:rPr>
              <w:t>$10.68</w:t>
            </w:r>
          </w:p>
        </w:tc>
        <w:tc>
          <w:tcPr>
            <w:tcW w:w="650" w:type="dxa"/>
          </w:tcPr>
          <w:p>
            <w:pPr>
              <w:jc w:val="right"/>
              <w:spacing w:before="10" w:after="10"/>
            </w:pPr>
            <w:r/>
            <w:r>
              <w:rPr>
                <w:sz w:val="16"/>
              </w:rPr>
              <w:t>2,670</w:t>
            </w:r>
          </w:p>
        </w:tc>
        <w:tc>
          <w:tcPr>
            <w:tcW w:w="550" w:type="dxa"/>
          </w:tcPr>
          <w:p>
            <w:pPr>
              <w:jc w:val="right"/>
              <w:spacing w:before="10" w:after="10"/>
            </w:pPr>
            <w:r/>
            <w:r>
              <w:rPr>
                <w:sz w:val="16"/>
              </w:rPr>
              <w:t>2.2</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$0.090</w:t>
            </w:r>
          </w:p>
        </w:tc>
      </w:tr>
      <w:tr>
        <w:tc>
          <w:tcPr>
            <w:tcW w:w="1500" w:type="dxa"/>
          </w:tcPr>
          <w:p>
            <w:pPr>
              <w:spacing w:before="10" w:after="10"/>
            </w:pPr>
            <w:r/>
            <w:r>
              <w:rPr>
                <w:sz w:val="16"/>
              </w:rPr>
              <w:t>Morocco</w:t>
            </w:r>
          </w:p>
        </w:tc>
        <w:tc>
          <w:tcPr>
            <w:tcW w:w="650" w:type="dxa"/>
          </w:tcPr>
          <w:p>
            <w:pPr>
              <w:spacing w:before="10" w:after="10"/>
            </w:pPr>
            <w:r/>
            <w:r>
              <w:rPr>
                <w:sz w:val="16"/>
              </w:rPr>
              <w:t>$0.108</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$7.82</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$0.108</w:t>
            </w:r>
          </w:p>
        </w:tc>
      </w:tr>
      <w:tr>
        <w:tc>
          <w:tcPr>
            <w:tcW w:w="1500" w:type="dxa"/>
          </w:tcPr>
          <w:p>
            <w:pPr>
              <w:spacing w:before="10" w:after="10"/>
            </w:pPr>
            <w:r/>
            <w:r>
              <w:rPr>
                <w:sz w:val="16"/>
              </w:rPr>
              <w:t>Mexico</w:t>
            </w:r>
          </w:p>
        </w:tc>
        <w:tc>
          <w:tcPr>
            <w:tcW w:w="650" w:type="dxa"/>
          </w:tcPr>
          <w:p>
            <w:pPr>
              <w:spacing w:before="10" w:after="10"/>
            </w:pPr>
            <w:r/>
            <w:r>
              <w:rPr>
                <w:sz w:val="16"/>
              </w:rPr>
              <w:t>$0.095</w:t>
            </w:r>
          </w:p>
        </w:tc>
        <w:tc>
          <w:tcPr>
            <w:tcW w:w="550" w:type="dxa"/>
          </w:tcPr>
          <w:p>
            <w:pPr>
              <w:jc w:val="right"/>
              <w:spacing w:before="10" w:after="10"/>
            </w:pPr>
            <w:r/>
            <w:r>
              <w:rPr>
                <w:sz w:val="16"/>
              </w:rPr>
              <w:t>26.6</w:t>
            </w:r>
          </w:p>
        </w:tc>
        <w:tc>
          <w:tcPr>
            <w:tcW w:w="500" w:type="dxa"/>
          </w:tcPr>
          <w:p>
            <w:pPr>
              <w:jc w:val="right"/>
              <w:spacing w:before="10" w:after="10"/>
            </w:pPr>
            <w:r/>
            <w:r>
              <w:rPr>
                <w:sz w:val="16"/>
              </w:rPr>
              <w:t>1.25</w:t>
            </w:r>
          </w:p>
        </w:tc>
        <w:tc>
          <w:tcPr>
            <w:tcW w:w="650" w:type="dxa"/>
          </w:tcPr>
          <w:p>
            <w:pPr>
              <w:jc w:val="right"/>
              <w:spacing w:before="10" w:after="10"/>
            </w:pPr>
            <w:r/>
            <w:r>
              <w:rPr>
                <w:sz w:val="16"/>
              </w:rPr>
              <w:t>$10.40</w:t>
            </w:r>
          </w:p>
        </w:tc>
        <w:tc>
          <w:tcPr>
            <w:tcW w:w="650" w:type="dxa"/>
          </w:tcPr>
          <w:p>
            <w:pPr>
              <w:jc w:val="right"/>
              <w:spacing w:before="10" w:after="10"/>
            </w:pPr>
            <w:r/>
            <w:r>
              <w:rPr>
                <w:sz w:val="16"/>
              </w:rPr>
              <w:t>900</w:t>
            </w:r>
          </w:p>
        </w:tc>
        <w:tc>
          <w:tcPr>
            <w:tcW w:w="550" w:type="dxa"/>
          </w:tcPr>
          <w:p>
            <w:pPr>
              <w:jc w:val="right"/>
              <w:spacing w:before="10" w:after="10"/>
            </w:pPr>
            <w:r/>
            <w:r>
              <w:rPr>
                <w:sz w:val="16"/>
              </w:rPr>
              <w:t>0.7</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United States of Am.</w:t>
            </w:r>
          </w:p>
        </w:tc>
        <w:tc>
          <w:tcPr>
            <w:tcW w:w="650" w:type="dxa"/>
          </w:tcPr>
          <w:p>
            <w:pPr>
              <w:spacing w:before="10" w:after="10"/>
            </w:pPr>
            <w:r/>
            <w:r>
              <w:rPr>
                <w:sz w:val="16"/>
              </w:rPr>
              <w:t>$0.081</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$10.78</w:t>
            </w:r>
          </w:p>
        </w:tc>
        <w:tc>
          <w:tcPr>
            <w:tcW w:w="650" w:type="dxa"/>
          </w:tcPr>
          <w:p>
            <w:pPr>
              <w:jc w:val="right"/>
              <w:spacing w:before="10" w:after="10"/>
            </w:pPr>
            <w:r/>
            <w:r>
              <w:rPr>
                <w:sz w:val="16"/>
              </w:rPr>
              <w:t>53,700</w:t>
            </w:r>
          </w:p>
        </w:tc>
        <w:tc>
          <w:tcPr>
            <w:tcW w:w="550" w:type="dxa"/>
          </w:tcPr>
          <w:p>
            <w:pPr>
              <w:jc w:val="right"/>
              <w:spacing w:before="10" w:after="10"/>
            </w:pPr>
            <w:r/>
            <w:r>
              <w:rPr>
                <w:sz w:val="16"/>
              </w:rPr>
              <w:t>43.4</w:t>
            </w:r>
          </w:p>
        </w:tc>
        <w:tc>
          <w:tcPr>
            <w:tcW w:w="700" w:type="dxa"/>
          </w:tcPr>
          <w:p>
            <w:pPr>
              <w:jc w:val="right"/>
              <w:spacing w:before="10" w:after="10"/>
            </w:pPr>
            <w:r/>
            <w:r>
              <w:rPr>
                <w:sz w:val="16"/>
              </w:rPr>
              <w:t>$1.48</w:t>
            </w:r>
          </w:p>
        </w:tc>
        <w:tc>
          <w:tcPr>
            <w:tcW w:w="750" w:type="dxa"/>
          </w:tcPr>
          <w:p>
            <w:pPr>
              <w:jc w:val="right"/>
              <w:spacing w:before="10" w:after="10"/>
            </w:pPr>
            <w:r>
              <w:rPr>
                <w:b/>
              </w:rPr>
            </w:r>
            <w:r>
              <w:rPr>
                <w:sz w:val="16"/>
                <w:b/>
              </w:rPr>
              <w:t>$0.098</w:t>
            </w:r>
          </w:p>
        </w:tc>
      </w:tr>
      <w:tr>
        <w:tc>
          <w:tcPr>
            <w:tcW w:w="1500" w:type="dxa"/>
          </w:tcPr>
          <w:p>
            <w:pPr>
              <w:spacing w:before="10" w:after="10"/>
            </w:pPr>
            <w:r/>
            <w:r>
              <w:rPr>
                <w:sz w:val="16"/>
              </w:rPr>
              <w:t>Armenia</w:t>
            </w:r>
          </w:p>
        </w:tc>
        <w:tc>
          <w:tcPr>
            <w:tcW w:w="650" w:type="dxa"/>
          </w:tcPr>
          <w:p>
            <w:pPr>
              <w:spacing w:before="10" w:after="10"/>
            </w:pPr>
            <w:r/>
            <w:r>
              <w:rPr>
                <w:sz w:val="16"/>
              </w:rPr>
              <w:t>$0.111</w:t>
            </w:r>
          </w:p>
        </w:tc>
        <w:tc>
          <w:tcPr>
            <w:tcW w:w="550" w:type="dxa"/>
          </w:tcPr>
          <w:p>
            <w:pPr>
              <w:jc w:val="right"/>
              <w:spacing w:before="10" w:after="10"/>
            </w:pPr>
            <w:r/>
            <w:r>
              <w:rPr>
                <w:sz w:val="16"/>
              </w:rPr>
              <w:t>19.8</w:t>
            </w:r>
          </w:p>
        </w:tc>
        <w:tc>
          <w:tcPr>
            <w:tcW w:w="500" w:type="dxa"/>
          </w:tcPr>
          <w:p>
            <w:pPr>
              <w:jc w:val="right"/>
              <w:spacing w:before="10" w:after="10"/>
            </w:pPr>
            <w:r/>
            <w:r>
              <w:rPr>
                <w:sz w:val="16"/>
              </w:rPr>
              <w:t>1.15</w:t>
            </w:r>
          </w:p>
        </w:tc>
        <w:tc>
          <w:tcPr>
            <w:tcW w:w="650" w:type="dxa"/>
          </w:tcPr>
          <w:p>
            <w:pPr>
              <w:jc w:val="right"/>
              <w:spacing w:before="10" w:after="10"/>
            </w:pPr>
            <w:r/>
            <w:r>
              <w:rPr>
                <w:sz w:val="16"/>
              </w:rPr>
              <w:t>$9.76</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$1.50</w:t>
            </w:r>
          </w:p>
        </w:tc>
        <w:tc>
          <w:tcPr>
            <w:tcW w:w="750" w:type="dxa"/>
          </w:tcPr>
          <w:p>
            <w:pPr>
              <w:jc w:val="right"/>
              <w:spacing w:before="10" w:after="10"/>
            </w:pPr>
            <w:r/>
            <w:r>
              <w:rPr>
                <w:sz w:val="16"/>
              </w:rPr>
              <w:t>$0.111</w:t>
            </w:r>
          </w:p>
        </w:tc>
      </w:tr>
      <w:tr>
        <w:tc>
          <w:tcPr>
            <w:tcW w:w="1500" w:type="dxa"/>
          </w:tcPr>
          <w:p>
            <w:pPr>
              <w:spacing w:before="10" w:after="10"/>
            </w:pPr>
            <w:r/>
            <w:r>
              <w:rPr>
                <w:sz w:val="16"/>
              </w:rPr>
              <w:t>New Zealand</w:t>
            </w:r>
          </w:p>
        </w:tc>
        <w:tc>
          <w:tcPr>
            <w:tcW w:w="650" w:type="dxa"/>
          </w:tcPr>
          <w:p>
            <w:pPr>
              <w:spacing w:before="10" w:after="10"/>
            </w:pPr>
            <w:r/>
            <w:r>
              <w:rPr>
                <w:sz w:val="16"/>
              </w:rPr>
              <w:t>$0.095</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$12.30</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$0.099</w:t>
            </w:r>
          </w:p>
        </w:tc>
      </w:tr>
      <w:tr>
        <w:tc>
          <w:tcPr>
            <w:tcW w:w="1500" w:type="dxa"/>
          </w:tcPr>
          <w:p>
            <w:pPr>
              <w:spacing w:before="10" w:after="10"/>
            </w:pPr>
            <w:r/>
            <w:r>
              <w:rPr>
                <w:sz w:val="16"/>
              </w:rPr>
              <w:t>United Arab Emirates</w:t>
            </w:r>
          </w:p>
        </w:tc>
        <w:tc>
          <w:tcPr>
            <w:tcW w:w="650" w:type="dxa"/>
          </w:tcPr>
          <w:p>
            <w:pPr>
              <w:spacing w:before="10" w:after="10"/>
            </w:pPr>
            <w:r/>
            <w:r>
              <w:rPr>
                <w:sz w:val="16"/>
              </w:rPr>
              <w:t>$0.065</w:t>
            </w:r>
          </w:p>
        </w:tc>
        <w:tc>
          <w:tcPr>
            <w:tcW w:w="550" w:type="dxa"/>
          </w:tcPr>
          <w:p>
            <w:pPr>
              <w:jc w:val="right"/>
              <w:spacing w:before="10" w:after="10"/>
            </w:pPr>
            <w:r/>
            <w:r>
              <w:rPr>
                <w:sz w:val="16"/>
              </w:rPr>
              <w:t>37.1</w:t>
            </w:r>
          </w:p>
        </w:tc>
        <w:tc>
          <w:tcPr>
            <w:tcW w:w="500" w:type="dxa"/>
          </w:tcPr>
          <w:p>
            <w:pPr>
              <w:jc w:val="right"/>
              <w:spacing w:before="10" w:after="10"/>
            </w:pPr>
            <w:r/>
            <w:r>
              <w:rPr>
                <w:sz w:val="16"/>
              </w:rPr>
              <w:t>1.41</w:t>
            </w:r>
          </w:p>
        </w:tc>
        <w:tc>
          <w:tcPr>
            <w:tcW w:w="650" w:type="dxa"/>
          </w:tcPr>
          <w:p>
            <w:pPr>
              <w:jc w:val="right"/>
              <w:spacing w:before="10" w:after="10"/>
            </w:pPr>
            <w:r/>
            <w:r>
              <w:rPr>
                <w:sz w:val="16"/>
              </w:rPr>
              <w:t>$9.24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$0.095</w:t>
            </w:r>
          </w:p>
        </w:tc>
      </w:tr>
      <w:tr>
        <w:tc>
          <w:tcPr>
            <w:tcW w:w="1500" w:type="dxa"/>
          </w:tcPr>
          <w:p>
            <w:pPr>
              <w:spacing w:before="10" w:after="10"/>
            </w:pPr>
            <w:r/>
            <w:r>
              <w:rPr>
                <w:sz w:val="16"/>
              </w:rPr>
              <w:t>Chile</w:t>
            </w:r>
          </w:p>
        </w:tc>
        <w:tc>
          <w:tcPr>
            <w:tcW w:w="650" w:type="dxa"/>
          </w:tcPr>
          <w:p>
            <w:pPr>
              <w:spacing w:before="10" w:after="10"/>
            </w:pPr>
            <w:r/>
            <w:r>
              <w:rPr>
                <w:sz w:val="16"/>
              </w:rPr>
              <w:t>$0.130</w:t>
            </w:r>
          </w:p>
        </w:tc>
        <w:tc>
          <w:tcPr>
            <w:tcW w:w="550" w:type="dxa"/>
          </w:tcPr>
          <w:p>
            <w:pPr>
              <w:jc w:val="right"/>
              <w:spacing w:before="10" w:after="10"/>
            </w:pPr>
            <w:r/>
            <w:r>
              <w:rPr>
                <w:sz w:val="16"/>
              </w:rPr>
              <w:t>13.4</w:t>
            </w:r>
          </w:p>
        </w:tc>
        <w:tc>
          <w:tcPr>
            <w:tcW w:w="500" w:type="dxa"/>
          </w:tcPr>
          <w:p>
            <w:pPr>
              <w:jc w:val="right"/>
              <w:spacing w:before="10" w:after="10"/>
            </w:pPr>
            <w:r/>
            <w:r>
              <w:rPr>
                <w:sz w:val="16"/>
              </w:rPr>
              <w:t>1.08</w:t>
            </w:r>
          </w:p>
        </w:tc>
        <w:tc>
          <w:tcPr>
            <w:tcW w:w="650" w:type="dxa"/>
          </w:tcPr>
          <w:p>
            <w:pPr>
              <w:jc w:val="right"/>
              <w:spacing w:before="10" w:after="10"/>
            </w:pPr>
            <w:r/>
            <w:r>
              <w:rPr>
                <w:sz w:val="16"/>
              </w:rPr>
              <w:t>$8.61</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$0.130</w:t>
            </w:r>
          </w:p>
        </w:tc>
      </w:tr>
      <w:tr>
        <w:tc>
          <w:tcPr>
            <w:tcW w:w="1500" w:type="dxa"/>
          </w:tcPr>
          <w:p>
            <w:pPr>
              <w:spacing w:before="10" w:after="10"/>
            </w:pPr>
            <w:r/>
            <w:r>
              <w:rPr>
                <w:sz w:val="16"/>
              </w:rPr>
              <w:t>United Kingdom</w:t>
            </w:r>
          </w:p>
        </w:tc>
        <w:tc>
          <w:tcPr>
            <w:tcW w:w="650" w:type="dxa"/>
          </w:tcPr>
          <w:p>
            <w:pPr>
              <w:spacing w:before="10" w:after="10"/>
            </w:pPr>
            <w:r/>
            <w:r>
              <w:rPr>
                <w:sz w:val="16"/>
              </w:rPr>
              <w:t>$0.097</w:t>
            </w:r>
          </w:p>
        </w:tc>
        <w:tc>
          <w:tcPr>
            <w:tcW w:w="550" w:type="dxa"/>
          </w:tcPr>
          <w:p>
            <w:pPr>
              <w:jc w:val="right"/>
              <w:spacing w:before="10" w:after="10"/>
            </w:pPr>
            <w:r/>
            <w:r>
              <w:rPr>
                <w:sz w:val="16"/>
              </w:rPr>
              <w:t>15.9</w:t>
            </w:r>
          </w:p>
        </w:tc>
        <w:tc>
          <w:tcPr>
            <w:tcW w:w="500" w:type="dxa"/>
          </w:tcPr>
          <w:p>
            <w:pPr>
              <w:jc w:val="right"/>
              <w:spacing w:before="10" w:after="10"/>
            </w:pPr>
            <w:r/>
            <w:r>
              <w:rPr>
                <w:sz w:val="16"/>
              </w:rPr>
              <w:t>1.09</w:t>
            </w:r>
          </w:p>
        </w:tc>
        <w:tc>
          <w:tcPr>
            <w:tcW w:w="650" w:type="dxa"/>
          </w:tcPr>
          <w:p>
            <w:pPr>
              <w:jc w:val="right"/>
              <w:spacing w:before="10" w:after="10"/>
            </w:pPr>
            <w:r/>
            <w:r>
              <w:rPr>
                <w:sz w:val="16"/>
              </w:rPr>
              <w:t>$11.88</w:t>
            </w:r>
          </w:p>
        </w:tc>
        <w:tc>
          <w:tcPr>
            <w:tcW w:w="650" w:type="dxa"/>
          </w:tcPr>
          <w:p>
            <w:pPr>
              <w:jc w:val="right"/>
              <w:spacing w:before="10" w:after="10"/>
            </w:pPr>
            <w:r/>
            <w:r>
              <w:rPr>
                <w:sz w:val="16"/>
              </w:rPr>
              <w:t>2,590</w:t>
            </w:r>
          </w:p>
        </w:tc>
        <w:tc>
          <w:tcPr>
            <w:tcW w:w="550" w:type="dxa"/>
          </w:tcPr>
          <w:p>
            <w:pPr>
              <w:jc w:val="right"/>
              <w:spacing w:before="10" w:after="10"/>
            </w:pPr>
            <w:r/>
            <w:r>
              <w:rPr>
                <w:sz w:val="16"/>
              </w:rPr>
              <w:t>2.1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$0.107</w:t>
            </w:r>
          </w:p>
        </w:tc>
      </w:tr>
      <w:tr>
        <w:tc>
          <w:tcPr>
            <w:tcW w:w="1500" w:type="dxa"/>
          </w:tcPr>
          <w:p>
            <w:pPr>
              <w:spacing w:before="10" w:after="10"/>
            </w:pPr>
            <w:r/>
            <w:r>
              <w:rPr>
                <w:sz w:val="16"/>
              </w:rPr>
              <w:t>Malaysia</w:t>
            </w:r>
          </w:p>
        </w:tc>
        <w:tc>
          <w:tcPr>
            <w:tcW w:w="650" w:type="dxa"/>
          </w:tcPr>
          <w:p>
            <w:pPr>
              <w:spacing w:before="10" w:after="10"/>
            </w:pPr>
            <w:r/>
            <w:r>
              <w:rPr>
                <w:sz w:val="16"/>
              </w:rPr>
              <w:t>$0.099</w:t>
            </w:r>
          </w:p>
        </w:tc>
        <w:tc>
          <w:tcPr>
            <w:tcW w:w="550" w:type="dxa"/>
          </w:tcPr>
          <w:p>
            <w:pPr>
              <w:jc w:val="right"/>
              <w:spacing w:before="10" w:after="10"/>
            </w:pPr>
            <w:r/>
            <w:r>
              <w:rPr>
                <w:sz w:val="16"/>
              </w:rPr>
              <w:t>26.9</w:t>
            </w:r>
          </w:p>
        </w:tc>
        <w:tc>
          <w:tcPr>
            <w:tcW w:w="500" w:type="dxa"/>
          </w:tcPr>
          <w:p>
            <w:pPr>
              <w:jc w:val="right"/>
              <w:spacing w:before="10" w:after="10"/>
            </w:pPr>
            <w:r/>
            <w:r>
              <w:rPr>
                <w:sz w:val="16"/>
              </w:rPr>
              <w:t>1.26</w:t>
            </w:r>
          </w:p>
        </w:tc>
        <w:tc>
          <w:tcPr>
            <w:tcW w:w="650" w:type="dxa"/>
          </w:tcPr>
          <w:p>
            <w:pPr>
              <w:jc w:val="right"/>
              <w:spacing w:before="10" w:after="10"/>
            </w:pPr>
            <w:r/>
            <w:r>
              <w:rPr>
                <w:sz w:val="16"/>
              </w:rPr>
              <w:t>$11.37</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$1.51</w:t>
            </w:r>
          </w:p>
        </w:tc>
        <w:tc>
          <w:tcPr>
            <w:tcW w:w="750" w:type="dxa"/>
          </w:tcPr>
          <w:p>
            <w:pPr>
              <w:jc w:val="right"/>
              <w:spacing w:before="10" w:after="10"/>
            </w:pPr>
            <w:r/>
            <w:r>
              <w:rPr>
                <w:sz w:val="16"/>
              </w:rPr>
              <w:t>$0.099</w:t>
            </w:r>
          </w:p>
        </w:tc>
      </w:tr>
      <w:tr>
        <w:tc>
          <w:tcPr>
            <w:tcW w:w="1500" w:type="dxa"/>
          </w:tcPr>
          <w:p>
            <w:pPr>
              <w:spacing w:before="10" w:after="10"/>
            </w:pPr>
            <w:r/>
            <w:r>
              <w:rPr>
                <w:sz w:val="16"/>
              </w:rPr>
              <w:t>Philippines</w:t>
            </w:r>
          </w:p>
        </w:tc>
        <w:tc>
          <w:tcPr>
            <w:tcW w:w="650" w:type="dxa"/>
          </w:tcPr>
          <w:p>
            <w:pPr>
              <w:spacing w:before="10" w:after="10"/>
            </w:pPr>
            <w:r/>
            <w:r>
              <w:rPr>
                <w:sz w:val="16"/>
              </w:rPr>
              <w:t>$0.115</w:t>
            </w:r>
          </w:p>
        </w:tc>
        <w:tc>
          <w:tcPr>
            <w:tcW w:w="550" w:type="dxa"/>
          </w:tcPr>
          <w:p>
            <w:pPr>
              <w:jc w:val="right"/>
              <w:spacing w:before="10" w:after="10"/>
            </w:pPr>
            <w:r/>
            <w:r>
              <w:rPr>
                <w:sz w:val="16"/>
              </w:rPr>
              <w:t>27.8</w:t>
            </w:r>
          </w:p>
        </w:tc>
        <w:tc>
          <w:tcPr>
            <w:tcW w:w="500" w:type="dxa"/>
          </w:tcPr>
          <w:p>
            <w:pPr>
              <w:jc w:val="right"/>
              <w:spacing w:before="10" w:after="10"/>
            </w:pPr>
            <w:r/>
            <w:r>
              <w:rPr>
                <w:sz w:val="16"/>
              </w:rPr>
              <w:t>1.27</w:t>
            </w:r>
          </w:p>
        </w:tc>
        <w:tc>
          <w:tcPr>
            <w:tcW w:w="650" w:type="dxa"/>
          </w:tcPr>
          <w:p>
            <w:pPr>
              <w:jc w:val="right"/>
              <w:spacing w:before="10" w:after="10"/>
            </w:pPr>
            <w:r/>
            <w:r>
              <w:rPr>
                <w:sz w:val="16"/>
              </w:rPr>
              <w:t>$8.80</w:t>
            </w:r>
          </w:p>
        </w:tc>
        <w:tc>
          <w:tcPr>
            <w:tcW w:w="650" w:type="dxa"/>
          </w:tcPr>
          <w:p>
            <w:pPr>
              <w:jc w:val="right"/>
              <w:spacing w:before="10" w:after="10"/>
            </w:pPr>
            <w:r/>
            <w:r>
              <w:rPr>
                <w:sz w:val="16"/>
              </w:rPr>
              <w:t>200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$0.115</w:t>
            </w:r>
          </w:p>
        </w:tc>
      </w:tr>
      <w:tr>
        <w:tc>
          <w:tcPr>
            <w:tcW w:w="1500" w:type="dxa"/>
          </w:tcPr>
          <w:p>
            <w:pPr>
              <w:spacing w:before="10" w:after="10"/>
            </w:pPr>
            <w:r/>
            <w:r>
              <w:rPr>
                <w:sz w:val="16"/>
              </w:rPr>
              <w:t>Israel</w:t>
            </w:r>
          </w:p>
        </w:tc>
        <w:tc>
          <w:tcPr>
            <w:tcW w:w="650" w:type="dxa"/>
          </w:tcPr>
          <w:p>
            <w:pPr>
              <w:spacing w:before="10" w:after="10"/>
            </w:pPr>
            <w:r/>
            <w:r>
              <w:rPr>
                <w:sz w:val="16"/>
              </w:rPr>
              <w:t>$0.108</w:t>
            </w:r>
          </w:p>
        </w:tc>
        <w:tc>
          <w:tcPr>
            <w:tcW w:w="550" w:type="dxa"/>
          </w:tcPr>
          <w:p>
            <w:pPr>
              <w:jc w:val="right"/>
              <w:spacing w:before="10" w:after="10"/>
            </w:pPr>
            <w:r/>
            <w:r>
              <w:rPr>
                <w:sz w:val="16"/>
              </w:rPr>
              <w:t>28.2</w:t>
            </w:r>
          </w:p>
        </w:tc>
        <w:tc>
          <w:tcPr>
            <w:tcW w:w="500" w:type="dxa"/>
          </w:tcPr>
          <w:p>
            <w:pPr>
              <w:jc w:val="right"/>
              <w:spacing w:before="10" w:after="10"/>
            </w:pPr>
            <w:r/>
            <w:r>
              <w:rPr>
                <w:sz w:val="16"/>
              </w:rPr>
              <w:t>1.28</w:t>
            </w:r>
          </w:p>
        </w:tc>
        <w:tc>
          <w:tcPr>
            <w:tcW w:w="650" w:type="dxa"/>
          </w:tcPr>
          <w:p>
            <w:pPr>
              <w:jc w:val="right"/>
              <w:spacing w:before="10" w:after="10"/>
            </w:pPr>
            <w:r/>
            <w:r>
              <w:rPr>
                <w:sz w:val="16"/>
              </w:rPr>
              <w:t>$10.09</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$0.108</w:t>
            </w:r>
          </w:p>
        </w:tc>
      </w:tr>
      <w:tr>
        <w:tc>
          <w:tcPr>
            <w:tcW w:w="1500" w:type="dxa"/>
          </w:tcPr>
          <w:p>
            <w:pPr>
              <w:spacing w:before="10" w:after="10"/>
            </w:pPr>
            <w:r/>
            <w:r>
              <w:rPr>
                <w:sz w:val="16"/>
              </w:rPr>
              <w:t>Thailand</w:t>
            </w:r>
          </w:p>
        </w:tc>
        <w:tc>
          <w:tcPr>
            <w:tcW w:w="650" w:type="dxa"/>
          </w:tcPr>
          <w:p>
            <w:pPr>
              <w:spacing w:before="10" w:after="10"/>
            </w:pPr>
            <w:r/>
            <w:r>
              <w:rPr>
                <w:sz w:val="16"/>
              </w:rPr>
              <w:t>$0.108</w:t>
            </w:r>
          </w:p>
        </w:tc>
        <w:tc>
          <w:tcPr>
            <w:tcW w:w="550" w:type="dxa"/>
          </w:tcPr>
          <w:p>
            <w:pPr>
              <w:jc w:val="right"/>
              <w:spacing w:before="10" w:after="10"/>
            </w:pPr>
            <w:r/>
            <w:r>
              <w:rPr>
                <w:sz w:val="16"/>
              </w:rPr>
              <w:t>29.3</w:t>
            </w:r>
          </w:p>
        </w:tc>
        <w:tc>
          <w:tcPr>
            <w:tcW w:w="500" w:type="dxa"/>
          </w:tcPr>
          <w:p>
            <w:pPr>
              <w:jc w:val="right"/>
              <w:spacing w:before="10" w:after="10"/>
            </w:pPr>
            <w:r/>
            <w:r>
              <w:rPr>
                <w:sz w:val="16"/>
              </w:rPr>
              <w:t>1.29</w:t>
            </w:r>
          </w:p>
        </w:tc>
        <w:tc>
          <w:tcPr>
            <w:tcW w:w="650" w:type="dxa"/>
          </w:tcPr>
          <w:p>
            <w:pPr>
              <w:jc w:val="right"/>
              <w:spacing w:before="10" w:after="10"/>
            </w:pPr>
            <w:r/>
            <w:r>
              <w:rPr>
                <w:sz w:val="16"/>
              </w:rPr>
              <w:t>$10.03</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$1.51</w:t>
            </w:r>
          </w:p>
        </w:tc>
        <w:tc>
          <w:tcPr>
            <w:tcW w:w="750" w:type="dxa"/>
          </w:tcPr>
          <w:p>
            <w:pPr>
              <w:jc w:val="right"/>
              <w:spacing w:before="10" w:after="10"/>
            </w:pPr>
            <w:r/>
            <w:r>
              <w:rPr>
                <w:sz w:val="16"/>
              </w:rPr>
              <w:t>$0.108</w:t>
            </w:r>
          </w:p>
        </w:tc>
      </w:tr>
      <w:tr>
        <w:tc>
          <w:tcPr>
            <w:tcW w:w="1500" w:type="dxa"/>
          </w:tcPr>
          <w:p>
            <w:pPr>
              <w:spacing w:before="10" w:after="10"/>
            </w:pPr>
            <w:r/>
            <w:r>
              <w:rPr>
                <w:sz w:val="16"/>
              </w:rPr>
              <w:t>Portugal</w:t>
            </w:r>
          </w:p>
        </w:tc>
        <w:tc>
          <w:tcPr>
            <w:tcW w:w="650" w:type="dxa"/>
          </w:tcPr>
          <w:p>
            <w:pPr>
              <w:spacing w:before="10" w:after="10"/>
            </w:pPr>
            <w:r/>
            <w:r>
              <w:rPr>
                <w:sz w:val="16"/>
              </w:rPr>
              <w:t>$0.109</w:t>
            </w:r>
          </w:p>
        </w:tc>
        <w:tc>
          <w:tcPr>
            <w:tcW w:w="550" w:type="dxa"/>
          </w:tcPr>
          <w:p>
            <w:pPr>
              <w:jc w:val="right"/>
              <w:spacing w:before="10" w:after="10"/>
            </w:pPr>
            <w:r/>
            <w:r>
              <w:rPr>
                <w:sz w:val="16"/>
              </w:rPr>
              <w:t>22.9</w:t>
            </w:r>
          </w:p>
        </w:tc>
        <w:tc>
          <w:tcPr>
            <w:tcW w:w="500" w:type="dxa"/>
          </w:tcPr>
          <w:p>
            <w:pPr>
              <w:jc w:val="right"/>
              <w:spacing w:before="10" w:after="10"/>
            </w:pPr>
            <w:r/>
            <w:r>
              <w:rPr>
                <w:sz w:val="16"/>
              </w:rPr>
              <w:t>1.20</w:t>
            </w:r>
          </w:p>
        </w:tc>
        <w:tc>
          <w:tcPr>
            <w:tcW w:w="650" w:type="dxa"/>
          </w:tcPr>
          <w:p>
            <w:pPr>
              <w:jc w:val="right"/>
              <w:spacing w:before="10" w:after="10"/>
            </w:pPr>
            <w:r/>
            <w:r>
              <w:rPr>
                <w:sz w:val="16"/>
              </w:rPr>
              <w:t>$10.25</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$0.117</w:t>
            </w:r>
          </w:p>
        </w:tc>
      </w:tr>
      <w:tr>
        <w:tc>
          <w:tcPr>
            <w:tcW w:w="1500" w:type="dxa"/>
          </w:tcPr>
          <w:p>
            <w:pPr>
              <w:spacing w:before="10" w:after="10"/>
            </w:pPr>
            <w:r/>
            <w:r>
              <w:rPr>
                <w:sz w:val="16"/>
              </w:rPr>
              <w:t>France</w:t>
            </w:r>
          </w:p>
        </w:tc>
        <w:tc>
          <w:tcPr>
            <w:tcW w:w="650" w:type="dxa"/>
          </w:tcPr>
          <w:p>
            <w:pPr>
              <w:spacing w:before="10" w:after="10"/>
            </w:pPr>
            <w:r/>
            <w:r>
              <w:rPr>
                <w:sz w:val="16"/>
              </w:rPr>
              <w:t>$0.102</w:t>
            </w:r>
          </w:p>
        </w:tc>
        <w:tc>
          <w:tcPr>
            <w:tcW w:w="550" w:type="dxa"/>
          </w:tcPr>
          <w:p>
            <w:pPr>
              <w:jc w:val="right"/>
              <w:spacing w:before="10" w:after="10"/>
            </w:pPr>
            <w:r/>
            <w:r>
              <w:rPr>
                <w:sz w:val="16"/>
              </w:rPr>
              <w:t>21.0</w:t>
            </w:r>
          </w:p>
        </w:tc>
        <w:tc>
          <w:tcPr>
            <w:tcW w:w="500" w:type="dxa"/>
          </w:tcPr>
          <w:p>
            <w:pPr>
              <w:jc w:val="right"/>
              <w:spacing w:before="10" w:after="10"/>
            </w:pPr>
            <w:r/>
            <w:r>
              <w:rPr>
                <w:sz w:val="16"/>
              </w:rPr>
              <w:t>1.17</w:t>
            </w:r>
          </w:p>
        </w:tc>
        <w:tc>
          <w:tcPr>
            <w:tcW w:w="650" w:type="dxa"/>
          </w:tcPr>
          <w:p>
            <w:pPr>
              <w:jc w:val="right"/>
              <w:spacing w:before="10" w:after="10"/>
            </w:pPr>
            <w:r/>
            <w:r>
              <w:rPr>
                <w:sz w:val="16"/>
              </w:rPr>
              <w:t>$10.43</w:t>
            </w:r>
          </w:p>
        </w:tc>
        <w:tc>
          <w:tcPr>
            <w:tcW w:w="650" w:type="dxa"/>
          </w:tcPr>
          <w:p>
            <w:pPr>
              <w:jc w:val="right"/>
              <w:spacing w:before="10" w:after="10"/>
            </w:pPr>
            <w:r/>
            <w:r>
              <w:rPr>
                <w:sz w:val="16"/>
              </w:rPr>
              <w:t>1,400</w:t>
            </w:r>
          </w:p>
        </w:tc>
        <w:tc>
          <w:tcPr>
            <w:tcW w:w="550" w:type="dxa"/>
          </w:tcPr>
          <w:p>
            <w:pPr>
              <w:jc w:val="right"/>
              <w:spacing w:before="10" w:after="10"/>
            </w:pPr>
            <w:r/>
            <w:r>
              <w:rPr>
                <w:sz w:val="16"/>
              </w:rPr>
              <w:t>1.1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$0.121</w:t>
            </w:r>
          </w:p>
        </w:tc>
      </w:tr>
      <w:tr>
        <w:tc>
          <w:tcPr>
            <w:tcW w:w="1500" w:type="dxa"/>
          </w:tcPr>
          <w:p>
            <w:pPr>
              <w:spacing w:before="10" w:after="10"/>
            </w:pPr>
            <w:r/>
            <w:r>
              <w:rPr>
                <w:sz w:val="16"/>
              </w:rPr>
              <w:t>Serbia</w:t>
            </w:r>
          </w:p>
        </w:tc>
        <w:tc>
          <w:tcPr>
            <w:tcW w:w="650" w:type="dxa"/>
          </w:tcPr>
          <w:p>
            <w:pPr>
              <w:spacing w:before="10" w:after="10"/>
            </w:pPr>
            <w:r/>
            <w:r>
              <w:rPr>
                <w:sz w:val="16"/>
              </w:rPr>
              <w:t>$0.120</w:t>
            </w:r>
          </w:p>
        </w:tc>
        <w:tc>
          <w:tcPr>
            <w:tcW w:w="550" w:type="dxa"/>
          </w:tcPr>
          <w:p>
            <w:pPr>
              <w:jc w:val="right"/>
              <w:spacing w:before="10" w:after="10"/>
            </w:pPr>
            <w:r/>
            <w:r>
              <w:rPr>
                <w:sz w:val="16"/>
              </w:rPr>
              <w:t>23.2</w:t>
            </w:r>
          </w:p>
        </w:tc>
        <w:tc>
          <w:tcPr>
            <w:tcW w:w="500" w:type="dxa"/>
          </w:tcPr>
          <w:p>
            <w:pPr>
              <w:jc w:val="right"/>
              <w:spacing w:before="10" w:after="10"/>
            </w:pPr>
            <w:r/>
            <w:r>
              <w:rPr>
                <w:sz w:val="16"/>
              </w:rPr>
              <w:t>1.20</w:t>
            </w:r>
          </w:p>
        </w:tc>
        <w:tc>
          <w:tcPr>
            <w:tcW w:w="650" w:type="dxa"/>
          </w:tcPr>
          <w:p>
            <w:pPr>
              <w:jc w:val="right"/>
              <w:spacing w:before="10" w:after="10"/>
            </w:pPr>
            <w:r/>
            <w:r>
              <w:rPr>
                <w:sz w:val="16"/>
              </w:rPr>
              <w:t>$10.15</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
              <w:rPr>
                <w:sz w:val="16"/>
              </w:rPr>
              <w:t>$0.120</w:t>
            </w:r>
          </w:p>
        </w:tc>
      </w:tr>
      <w:tr>
        <w:tc>
          <w:tcPr>
            <w:tcW w:w="1500" w:type="dxa"/>
          </w:tcPr>
          <w:p>
            <w:pPr>
              <w:spacing w:before="10" w:after="10"/>
            </w:pPr>
            <w:r/>
            <w:r>
              <w:rPr>
                <w:sz w:val="16"/>
              </w:rPr>
              <w:t>Latvia</w:t>
            </w:r>
          </w:p>
        </w:tc>
        <w:tc>
          <w:tcPr>
            <w:tcW w:w="650" w:type="dxa"/>
          </w:tcPr>
          <w:p>
            <w:pPr>
              <w:spacing w:before="10" w:after="10"/>
            </w:pPr>
            <w:r/>
            <w:r>
              <w:rPr>
                <w:sz w:val="16"/>
              </w:rPr>
              <w:t>$0.110</w:t>
            </w:r>
          </w:p>
        </w:tc>
        <w:tc>
          <w:tcPr>
            <w:tcW w:w="550" w:type="dxa"/>
          </w:tcPr>
          <w:p>
            <w:pPr>
              <w:jc w:val="right"/>
              <w:spacing w:before="10" w:after="10"/>
            </w:pPr>
            <w:r/>
            <w:r>
              <w:rPr>
                <w:sz w:val="16"/>
              </w:rPr>
              <w:t>18.4</w:t>
            </w:r>
          </w:p>
        </w:tc>
        <w:tc>
          <w:tcPr>
            <w:tcW w:w="500" w:type="dxa"/>
          </w:tcPr>
          <w:p>
            <w:pPr>
              <w:jc w:val="right"/>
              <w:spacing w:before="10" w:after="10"/>
            </w:pPr>
            <w:r/>
            <w:r>
              <w:rPr>
                <w:sz w:val="16"/>
              </w:rPr>
              <w:t>1.13</w:t>
            </w:r>
          </w:p>
        </w:tc>
        <w:tc>
          <w:tcPr>
            <w:tcW w:w="650" w:type="dxa"/>
          </w:tcPr>
          <w:p>
            <w:pPr>
              <w:jc w:val="right"/>
              <w:spacing w:before="10" w:after="10"/>
            </w:pPr>
            <w:r/>
            <w:r>
              <w:rPr>
                <w:sz w:val="16"/>
              </w:rPr>
              <w:t>$10.92</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$0.124</w:t>
            </w:r>
          </w:p>
        </w:tc>
      </w:tr>
      <w:tr>
        <w:tc>
          <w:tcPr>
            <w:tcW w:w="1500" w:type="dxa"/>
          </w:tcPr>
          <w:p>
            <w:pPr>
              <w:spacing w:before="10" w:after="10"/>
            </w:pPr>
            <w:r/>
            <w:r>
              <w:rPr>
                <w:sz w:val="16"/>
              </w:rPr>
              <w:t>Pakistan</w:t>
            </w:r>
          </w:p>
        </w:tc>
        <w:tc>
          <w:tcPr>
            <w:tcW w:w="650" w:type="dxa"/>
          </w:tcPr>
          <w:p>
            <w:pPr>
              <w:spacing w:before="10" w:after="10"/>
            </w:pPr>
            <w:r/>
            <w:r>
              <w:rPr>
                <w:sz w:val="16"/>
              </w:rPr>
              <w:t>$0.134</w:t>
            </w:r>
          </w:p>
        </w:tc>
        <w:tc>
          <w:tcPr>
            <w:tcW w:w="550" w:type="dxa"/>
          </w:tcPr>
          <w:p>
            <w:pPr>
              <w:jc w:val="right"/>
              <w:spacing w:before="10" w:after="10"/>
            </w:pPr>
            <w:r/>
            <w:r>
              <w:rPr>
                <w:sz w:val="16"/>
              </w:rPr>
              <w:t>29.9</w:t>
            </w:r>
          </w:p>
        </w:tc>
        <w:tc>
          <w:tcPr>
            <w:tcW w:w="500" w:type="dxa"/>
          </w:tcPr>
          <w:p>
            <w:pPr>
              <w:jc w:val="right"/>
              <w:spacing w:before="10" w:after="10"/>
            </w:pPr>
            <w:r/>
            <w:r>
              <w:rPr>
                <w:sz w:val="16"/>
              </w:rPr>
              <w:t>1.30</w:t>
            </w:r>
          </w:p>
        </w:tc>
        <w:tc>
          <w:tcPr>
            <w:tcW w:w="650" w:type="dxa"/>
          </w:tcPr>
          <w:p>
            <w:pPr>
              <w:jc w:val="right"/>
              <w:spacing w:before="10" w:after="10"/>
            </w:pPr>
            <w:r/>
            <w:r>
              <w:rPr>
                <w:sz w:val="16"/>
              </w:rPr>
              <w:t>$6.57</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$0.134</w:t>
            </w:r>
          </w:p>
        </w:tc>
      </w:tr>
      <w:tr>
        <w:tc>
          <w:tcPr>
            <w:tcW w:w="1500" w:type="dxa"/>
          </w:tcPr>
          <w:p>
            <w:pPr>
              <w:spacing w:before="10" w:after="10"/>
            </w:pPr>
            <w:r/>
            <w:r>
              <w:rPr>
                <w:sz w:val="16"/>
              </w:rPr>
              <w:t>Saudi Arabia</w:t>
            </w:r>
          </w:p>
        </w:tc>
        <w:tc>
          <w:tcPr>
            <w:tcW w:w="650" w:type="dxa"/>
          </w:tcPr>
          <w:p>
            <w:pPr>
              <w:spacing w:before="10" w:after="10"/>
            </w:pPr>
            <w:r/>
            <w:r>
              <w:rPr>
                <w:sz w:val="16"/>
              </w:rPr>
              <w:t>$0.053</w:t>
            </w:r>
          </w:p>
        </w:tc>
        <w:tc>
          <w:tcPr>
            <w:tcW w:w="550" w:type="dxa"/>
          </w:tcPr>
          <w:p>
            <w:pPr>
              <w:jc w:val="right"/>
              <w:spacing w:before="10" w:after="10"/>
            </w:pPr>
            <w:r/>
            <w:r>
              <w:rPr>
                <w:sz w:val="16"/>
              </w:rPr>
              <w:t>36.0</w:t>
            </w:r>
          </w:p>
        </w:tc>
        <w:tc>
          <w:tcPr>
            <w:tcW w:w="500" w:type="dxa"/>
          </w:tcPr>
          <w:p>
            <w:pPr>
              <w:jc w:val="right"/>
              <w:spacing w:before="10" w:after="10"/>
            </w:pPr>
            <w:r/>
            <w:r>
              <w:rPr>
                <w:sz w:val="16"/>
              </w:rPr>
              <w:t>1.40</w:t>
            </w:r>
          </w:p>
        </w:tc>
        <w:tc>
          <w:tcPr>
            <w:tcW w:w="650" w:type="dxa"/>
          </w:tcPr>
          <w:p>
            <w:pPr>
              <w:jc w:val="right"/>
              <w:spacing w:before="10" w:after="10"/>
            </w:pPr>
            <w:r/>
            <w:r>
              <w:rPr>
                <w:sz w:val="16"/>
              </w:rPr>
              <w:t>$11.34</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$1.47</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Qatar</w:t>
            </w:r>
          </w:p>
        </w:tc>
        <w:tc>
          <w:tcPr>
            <w:tcW w:w="650" w:type="dxa"/>
          </w:tcPr>
          <w:p>
            <w:pPr>
              <w:spacing w:before="10" w:after="10"/>
            </w:pPr>
            <w:r/>
            <w:r>
              <w:rPr>
                <w:sz w:val="16"/>
              </w:rPr>
              <w:t>$0.036</w:t>
            </w:r>
          </w:p>
        </w:tc>
        <w:tc>
          <w:tcPr>
            <w:tcW w:w="550" w:type="dxa"/>
          </w:tcPr>
          <w:p>
            <w:pPr>
              <w:jc w:val="right"/>
              <w:spacing w:before="10" w:after="10"/>
            </w:pPr>
            <w:r/>
            <w:r>
              <w:rPr>
                <w:sz w:val="16"/>
              </w:rPr>
              <w:t>36.1</w:t>
            </w:r>
          </w:p>
        </w:tc>
        <w:tc>
          <w:tcPr>
            <w:tcW w:w="500" w:type="dxa"/>
          </w:tcPr>
          <w:p>
            <w:pPr>
              <w:jc w:val="right"/>
              <w:spacing w:before="10" w:after="10"/>
            </w:pPr>
            <w:r/>
            <w:r>
              <w:rPr>
                <w:sz w:val="16"/>
              </w:rPr>
              <w:t>1.40</w:t>
            </w:r>
          </w:p>
        </w:tc>
        <w:tc>
          <w:tcPr>
            <w:tcW w:w="650" w:type="dxa"/>
          </w:tcPr>
          <w:p>
            <w:pPr>
              <w:jc w:val="right"/>
              <w:spacing w:before="10" w:after="10"/>
            </w:pPr>
            <w:r/>
            <w:r>
              <w:rPr>
                <w:sz w:val="16"/>
              </w:rPr>
              <w:t>$11.86</w:t>
            </w:r>
          </w:p>
        </w:tc>
        <w:tc>
          <w:tcPr>
            <w:tcW w:w="650" w:type="dxa"/>
          </w:tcPr>
          <w:p>
            <w:pPr>
              <w:jc w:val="right"/>
              <w:spacing w:before="10" w:after="10"/>
            </w:pPr>
            <w:r/>
            <w:r>
              <w:rPr>
                <w:sz w:val="16"/>
              </w:rPr>
              <w:t>80</w:t>
            </w:r>
          </w:p>
        </w:tc>
        <w:tc>
          <w:tcPr>
            <w:tcW w:w="550" w:type="dxa"/>
          </w:tcPr>
          <w:p>
            <w:pPr>
              <w:jc w:val="right"/>
              <w:spacing w:before="10" w:after="10"/>
            </w:pPr>
            <w:r/>
            <w:r>
              <w:rPr>
                <w:sz w:val="16"/>
              </w:rPr>
              <w:t>0.1</w:t>
            </w:r>
          </w:p>
        </w:tc>
        <w:tc>
          <w:tcPr>
            <w:tcW w:w="700" w:type="dxa"/>
          </w:tcPr>
          <w:p>
            <w:pPr>
              <w:jc w:val="right"/>
              <w:spacing w:before="10" w:after="10"/>
            </w:pPr>
            <w:r/>
            <w:r>
              <w:rPr>
                <w:sz w:val="16"/>
              </w:rPr>
              <w:t>$1.46</w:t>
            </w:r>
          </w:p>
        </w:tc>
        <w:tc>
          <w:tcPr>
            <w:tcW w:w="750" w:type="dxa"/>
          </w:tcPr>
          <w:p>
            <w:pPr>
              <w:jc w:val="right"/>
              <w:spacing w:before="10" w:after="10"/>
            </w:pPr>
            <w:r>
              <w:rPr>
                <w:b/>
              </w:rPr>
            </w:r>
            <w:r>
              <w:rPr>
                <w:sz w:val="16"/>
                <w:b/>
              </w:rPr>
              <w:t>$0.100</w:t>
            </w:r>
          </w:p>
        </w:tc>
      </w:tr>
      <w:tr>
        <w:tc>
          <w:tcPr>
            <w:tcW w:w="1500" w:type="dxa"/>
          </w:tcPr>
          <w:p>
            <w:pPr>
              <w:spacing w:before="10" w:after="10"/>
            </w:pPr>
            <w:r/>
            <w:r>
              <w:rPr>
                <w:sz w:val="16"/>
              </w:rPr>
              <w:t>Luxembourg</w:t>
            </w:r>
          </w:p>
        </w:tc>
        <w:tc>
          <w:tcPr>
            <w:tcW w:w="650" w:type="dxa"/>
          </w:tcPr>
          <w:p>
            <w:pPr>
              <w:spacing w:before="10" w:after="10"/>
            </w:pPr>
            <w:r/>
            <w:r>
              <w:rPr>
                <w:sz w:val="16"/>
              </w:rPr>
              <w:t>$0.128</w:t>
            </w:r>
          </w:p>
        </w:tc>
        <w:tc>
          <w:tcPr>
            <w:tcW w:w="550" w:type="dxa"/>
          </w:tcPr>
          <w:p>
            <w:pPr>
              <w:jc w:val="right"/>
              <w:spacing w:before="10" w:after="10"/>
            </w:pPr>
            <w:r/>
            <w:r>
              <w:rPr>
                <w:sz w:val="16"/>
              </w:rPr>
              <w:t>18.0</w:t>
            </w:r>
          </w:p>
        </w:tc>
        <w:tc>
          <w:tcPr>
            <w:tcW w:w="500" w:type="dxa"/>
          </w:tcPr>
          <w:p>
            <w:pPr>
              <w:jc w:val="right"/>
              <w:spacing w:before="10" w:after="10"/>
            </w:pPr>
            <w:r/>
            <w:r>
              <w:rPr>
                <w:sz w:val="16"/>
              </w:rPr>
              <w:t>1.12</w:t>
            </w:r>
          </w:p>
        </w:tc>
        <w:tc>
          <w:tcPr>
            <w:tcW w:w="650" w:type="dxa"/>
          </w:tcPr>
          <w:p>
            <w:pPr>
              <w:jc w:val="right"/>
              <w:spacing w:before="10" w:after="10"/>
            </w:pPr>
            <w:r/>
            <w:r>
              <w:rPr>
                <w:sz w:val="16"/>
              </w:rPr>
              <w:t>$10.99</w:t>
            </w:r>
          </w:p>
        </w:tc>
        <w:tc>
          <w:tcPr>
            <w:tcW w:w="650" w:type="dxa"/>
          </w:tcPr>
          <w:p>
            <w:pPr>
              <w:jc w:val="right"/>
              <w:spacing w:before="10" w:after="10"/>
            </w:pPr>
            <w:r/>
            <w:r>
              <w:rPr>
                <w:sz w:val="16"/>
              </w:rPr>
              <w:t>70</w:t>
            </w:r>
          </w:p>
        </w:tc>
        <w:tc>
          <w:tcPr>
            <w:tcW w:w="550" w:type="dxa"/>
          </w:tcPr>
          <w:p>
            <w:pPr>
              <w:jc w:val="right"/>
              <w:spacing w:before="10" w:after="10"/>
            </w:pPr>
            <w:r/>
            <w:r>
              <w:rPr>
                <w:sz w:val="16"/>
              </w:rPr>
              <w:t>0.1</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$0.133</w:t>
            </w:r>
          </w:p>
        </w:tc>
      </w:tr>
      <w:tr>
        <w:tc>
          <w:tcPr>
            <w:tcW w:w="1500" w:type="dxa"/>
          </w:tcPr>
          <w:p>
            <w:pPr>
              <w:spacing w:before="10" w:after="10"/>
            </w:pPr>
            <w:r/>
            <w:r>
              <w:rPr>
                <w:sz w:val="16"/>
              </w:rPr>
              <w:t>Moldova</w:t>
            </w:r>
          </w:p>
        </w:tc>
        <w:tc>
          <w:tcPr>
            <w:tcW w:w="650" w:type="dxa"/>
          </w:tcPr>
          <w:p>
            <w:pPr>
              <w:spacing w:before="10" w:after="10"/>
            </w:pPr>
            <w:r/>
            <w:r>
              <w:rPr>
                <w:sz w:val="16"/>
              </w:rPr>
              <w:t>$0.135</w:t>
            </w:r>
          </w:p>
        </w:tc>
        <w:tc>
          <w:tcPr>
            <w:tcW w:w="550" w:type="dxa"/>
          </w:tcPr>
          <w:p>
            <w:pPr>
              <w:jc w:val="right"/>
              <w:spacing w:before="10" w:after="10"/>
            </w:pPr>
            <w:r/>
            <w:r>
              <w:rPr>
                <w:sz w:val="16"/>
              </w:rPr>
              <w:t>24.2</w:t>
            </w:r>
          </w:p>
        </w:tc>
        <w:tc>
          <w:tcPr>
            <w:tcW w:w="500" w:type="dxa"/>
          </w:tcPr>
          <w:p>
            <w:pPr>
              <w:jc w:val="right"/>
              <w:spacing w:before="10" w:after="10"/>
            </w:pPr>
            <w:r/>
            <w:r>
              <w:rPr>
                <w:sz w:val="16"/>
              </w:rPr>
              <w:t>1.22</w:t>
            </w:r>
          </w:p>
        </w:tc>
        <w:tc>
          <w:tcPr>
            <w:tcW w:w="650" w:type="dxa"/>
          </w:tcPr>
          <w:p>
            <w:pPr>
              <w:jc w:val="right"/>
              <w:spacing w:before="10" w:after="10"/>
            </w:pPr>
            <w:r/>
            <w:r>
              <w:rPr>
                <w:sz w:val="16"/>
              </w:rPr>
              <w:t>$9.21</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
              <w:rPr>
                <w:sz w:val="16"/>
              </w:rPr>
              <w:t>$0.135</w:t>
            </w:r>
          </w:p>
        </w:tc>
      </w:tr>
      <w:tr>
        <w:tc>
          <w:tcPr>
            <w:tcW w:w="1500" w:type="dxa"/>
          </w:tcPr>
          <w:p>
            <w:pPr>
              <w:spacing w:before="10" w:after="10"/>
            </w:pPr>
            <w:r/>
            <w:r>
              <w:rPr>
                <w:sz w:val="16"/>
              </w:rPr>
              <w:t>North Macedonia</w:t>
            </w:r>
          </w:p>
        </w:tc>
        <w:tc>
          <w:tcPr>
            <w:tcW w:w="650" w:type="dxa"/>
          </w:tcPr>
          <w:p>
            <w:pPr>
              <w:spacing w:before="10" w:after="10"/>
            </w:pPr>
            <w:r/>
            <w:r>
              <w:rPr>
                <w:sz w:val="16"/>
              </w:rPr>
              <w:t>$0.135</w:t>
            </w:r>
          </w:p>
        </w:tc>
        <w:tc>
          <w:tcPr>
            <w:tcW w:w="550" w:type="dxa"/>
          </w:tcPr>
          <w:p>
            <w:pPr>
              <w:jc w:val="right"/>
              <w:spacing w:before="10" w:after="10"/>
            </w:pPr>
            <w:r/>
            <w:r>
              <w:rPr>
                <w:sz w:val="16"/>
              </w:rPr>
              <w:t>24.0</w:t>
            </w:r>
          </w:p>
        </w:tc>
        <w:tc>
          <w:tcPr>
            <w:tcW w:w="500" w:type="dxa"/>
          </w:tcPr>
          <w:p>
            <w:pPr>
              <w:jc w:val="right"/>
              <w:spacing w:before="10" w:after="10"/>
            </w:pPr>
            <w:r/>
            <w:r>
              <w:rPr>
                <w:sz w:val="16"/>
              </w:rPr>
              <w:t>1.21</w:t>
            </w:r>
          </w:p>
        </w:tc>
        <w:tc>
          <w:tcPr>
            <w:tcW w:w="650" w:type="dxa"/>
          </w:tcPr>
          <w:p>
            <w:pPr>
              <w:jc w:val="right"/>
              <w:spacing w:before="10" w:after="10"/>
            </w:pPr>
            <w:r/>
            <w:r>
              <w:rPr>
                <w:sz w:val="16"/>
              </w:rPr>
              <w:t>$9.79</w:t>
            </w:r>
          </w:p>
        </w:tc>
        <w:tc>
          <w:tcPr>
            <w:tcW w:w="650" w:type="dxa"/>
          </w:tcPr>
          <w:p>
            <w:pPr>
              <w:jc w:val="right"/>
              <w:spacing w:before="10" w:after="10"/>
            </w:pPr>
            <w:r/>
            <w:r>
              <w:rPr>
                <w:sz w:val="16"/>
              </w:rPr>
              <w:t>18</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$0.135</w:t>
            </w:r>
          </w:p>
        </w:tc>
      </w:tr>
      <w:tr>
        <w:tc>
          <w:tcPr>
            <w:tcW w:w="1500" w:type="dxa"/>
          </w:tcPr>
          <w:p>
            <w:pPr>
              <w:spacing w:before="10" w:after="10"/>
            </w:pPr>
            <w:r/>
            <w:r>
              <w:rPr>
                <w:sz w:val="16"/>
              </w:rPr>
              <w:t>Ghana</w:t>
            </w:r>
          </w:p>
        </w:tc>
        <w:tc>
          <w:tcPr>
            <w:tcW w:w="650" w:type="dxa"/>
          </w:tcPr>
          <w:p>
            <w:pPr>
              <w:spacing w:before="10" w:after="10"/>
            </w:pPr>
            <w:r/>
            <w:r>
              <w:rPr>
                <w:sz w:val="16"/>
              </w:rPr>
              <w:t>$0.120</w:t>
            </w:r>
          </w:p>
        </w:tc>
        <w:tc>
          <w:tcPr>
            <w:tcW w:w="550" w:type="dxa"/>
          </w:tcPr>
          <w:p>
            <w:pPr>
              <w:jc w:val="right"/>
              <w:spacing w:before="10" w:after="10"/>
            </w:pPr>
            <w:r/>
            <w:r>
              <w:rPr>
                <w:sz w:val="16"/>
              </w:rPr>
              <w:t>30.7</w:t>
            </w:r>
          </w:p>
        </w:tc>
        <w:tc>
          <w:tcPr>
            <w:tcW w:w="500" w:type="dxa"/>
          </w:tcPr>
          <w:p>
            <w:pPr>
              <w:jc w:val="right"/>
              <w:spacing w:before="10" w:after="10"/>
            </w:pPr>
            <w:r/>
            <w:r>
              <w:rPr>
                <w:sz w:val="16"/>
              </w:rPr>
              <w:t>1.31</w:t>
            </w:r>
          </w:p>
        </w:tc>
        <w:tc>
          <w:tcPr>
            <w:tcW w:w="650" w:type="dxa"/>
          </w:tcPr>
          <w:p>
            <w:pPr>
              <w:jc w:val="right"/>
              <w:spacing w:before="10" w:after="10"/>
            </w:pPr>
            <w:r/>
            <w:r>
              <w:rPr>
                <w:sz w:val="16"/>
              </w:rPr>
              <w:t>$10.80</w:t>
            </w:r>
          </w:p>
        </w:tc>
        <w:tc>
          <w:tcPr>
            <w:tcW w:w="650" w:type="dxa"/>
          </w:tcPr>
          <w:p>
            <w:pPr>
              <w:jc w:val="right"/>
              <w:spacing w:before="10" w:after="10"/>
            </w:pPr>
            <w:r/>
            <w:r>
              <w:rPr>
                <w:sz w:val="16"/>
              </w:rPr>
              <w:t>15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$0.120</w:t>
            </w:r>
          </w:p>
        </w:tc>
      </w:tr>
      <w:tr>
        <w:tc>
          <w:tcPr>
            <w:tcW w:w="1500" w:type="dxa"/>
          </w:tcPr>
          <w:p>
            <w:pPr>
              <w:spacing w:before="10" w:after="10"/>
            </w:pPr>
            <w:r/>
            <w:r>
              <w:rPr>
                <w:sz w:val="16"/>
              </w:rPr>
              <w:t>Spain</w:t>
            </w:r>
          </w:p>
        </w:tc>
        <w:tc>
          <w:tcPr>
            <w:tcW w:w="650" w:type="dxa"/>
          </w:tcPr>
          <w:p>
            <w:pPr>
              <w:spacing w:before="10" w:after="10"/>
            </w:pPr>
            <w:r/>
            <w:r>
              <w:rPr>
                <w:sz w:val="16"/>
              </w:rPr>
              <w:t>$0.113</w:t>
            </w:r>
          </w:p>
        </w:tc>
        <w:tc>
          <w:tcPr>
            <w:tcW w:w="550" w:type="dxa"/>
          </w:tcPr>
          <w:p>
            <w:pPr>
              <w:jc w:val="right"/>
              <w:spacing w:before="10" w:after="10"/>
            </w:pPr>
            <w:r/>
            <w:r>
              <w:rPr>
                <w:sz w:val="16"/>
              </w:rPr>
              <w:t>24.9</w:t>
            </w:r>
          </w:p>
        </w:tc>
        <w:tc>
          <w:tcPr>
            <w:tcW w:w="500" w:type="dxa"/>
          </w:tcPr>
          <w:p>
            <w:pPr>
              <w:jc w:val="right"/>
              <w:spacing w:before="10" w:after="10"/>
            </w:pPr>
            <w:r/>
            <w:r>
              <w:rPr>
                <w:sz w:val="16"/>
              </w:rPr>
              <w:t>1.23</w:t>
            </w:r>
          </w:p>
        </w:tc>
        <w:tc>
          <w:tcPr>
            <w:tcW w:w="650" w:type="dxa"/>
          </w:tcPr>
          <w:p>
            <w:pPr>
              <w:jc w:val="right"/>
              <w:spacing w:before="10" w:after="10"/>
            </w:pPr>
            <w:r/>
            <w:r>
              <w:rPr>
                <w:sz w:val="16"/>
              </w:rPr>
              <w:t>$10.04</w:t>
            </w:r>
          </w:p>
        </w:tc>
        <w:tc>
          <w:tcPr>
            <w:tcW w:w="650" w:type="dxa"/>
          </w:tcPr>
          <w:p>
            <w:pPr>
              <w:jc w:val="right"/>
              <w:spacing w:before="10" w:after="10"/>
            </w:pPr>
            <w:r/>
            <w:r>
              <w:rPr>
                <w:sz w:val="16"/>
              </w:rPr>
              <w:t>720</w:t>
            </w:r>
          </w:p>
        </w:tc>
        <w:tc>
          <w:tcPr>
            <w:tcW w:w="550" w:type="dxa"/>
          </w:tcPr>
          <w:p>
            <w:pPr>
              <w:jc w:val="right"/>
              <w:spacing w:before="10" w:after="10"/>
            </w:pPr>
            <w:r/>
            <w:r>
              <w:rPr>
                <w:sz w:val="16"/>
              </w:rPr>
              <w:t>0.6</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$0.134</w:t>
            </w:r>
          </w:p>
        </w:tc>
      </w:tr>
      <w:tr>
        <w:tc>
          <w:tcPr>
            <w:tcW w:w="1500" w:type="dxa"/>
          </w:tcPr>
          <w:p>
            <w:pPr>
              <w:spacing w:before="10" w:after="10"/>
            </w:pPr>
            <w:r/>
            <w:r>
              <w:rPr>
                <w:sz w:val="16"/>
              </w:rPr>
              <w:t>Belgium</w:t>
            </w:r>
          </w:p>
        </w:tc>
        <w:tc>
          <w:tcPr>
            <w:tcW w:w="650" w:type="dxa"/>
          </w:tcPr>
          <w:p>
            <w:pPr>
              <w:spacing w:before="10" w:after="10"/>
            </w:pPr>
            <w:r/>
            <w:r>
              <w:rPr>
                <w:sz w:val="16"/>
              </w:rPr>
              <w:t>$0.125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$9.97</w:t>
            </w:r>
          </w:p>
        </w:tc>
        <w:tc>
          <w:tcPr>
            <w:tcW w:w="650" w:type="dxa"/>
          </w:tcPr>
          <w:p>
            <w:pPr>
              <w:jc w:val="right"/>
              <w:spacing w:before="10" w:after="10"/>
            </w:pPr>
            <w:r/>
            <w:r>
              <w:rPr>
                <w:sz w:val="16"/>
              </w:rPr>
              <w:t>400</w:t>
            </w:r>
          </w:p>
        </w:tc>
        <w:tc>
          <w:tcPr>
            <w:tcW w:w="550" w:type="dxa"/>
          </w:tcPr>
          <w:p>
            <w:pPr>
              <w:jc w:val="right"/>
              <w:spacing w:before="10" w:after="10"/>
            </w:pPr>
            <w:r/>
            <w:r>
              <w:rPr>
                <w:sz w:val="16"/>
              </w:rPr>
              <w:t>0.3</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$0.147</w:t>
            </w:r>
          </w:p>
        </w:tc>
      </w:tr>
      <w:tr>
        <w:tc>
          <w:tcPr>
            <w:tcW w:w="1500" w:type="dxa"/>
          </w:tcPr>
          <w:p>
            <w:pPr>
              <w:spacing w:before="10" w:after="10"/>
            </w:pPr>
            <w:r/>
            <w:r>
              <w:rPr>
                <w:sz w:val="16"/>
              </w:rPr>
              <w:t>Malta</w:t>
            </w:r>
          </w:p>
        </w:tc>
        <w:tc>
          <w:tcPr>
            <w:tcW w:w="650" w:type="dxa"/>
          </w:tcPr>
          <w:p>
            <w:pPr>
              <w:spacing w:before="10" w:after="10"/>
            </w:pPr>
            <w:r/>
            <w:r>
              <w:rPr>
                <w:sz w:val="16"/>
              </w:rPr>
              <w:t>$0.111</w:t>
            </w:r>
          </w:p>
        </w:tc>
        <w:tc>
          <w:tcPr>
            <w:tcW w:w="550" w:type="dxa"/>
          </w:tcPr>
          <w:p>
            <w:pPr>
              <w:jc w:val="right"/>
              <w:spacing w:before="10" w:after="10"/>
            </w:pPr>
            <w:r/>
            <w:r>
              <w:rPr>
                <w:sz w:val="16"/>
              </w:rPr>
              <w:t>27.0</w:t>
            </w:r>
          </w:p>
        </w:tc>
        <w:tc>
          <w:tcPr>
            <w:tcW w:w="500" w:type="dxa"/>
          </w:tcPr>
          <w:p>
            <w:pPr>
              <w:jc w:val="right"/>
              <w:spacing w:before="10" w:after="10"/>
            </w:pPr>
            <w:r/>
            <w:r>
              <w:rPr>
                <w:sz w:val="16"/>
              </w:rPr>
              <w:t>1.26</w:t>
            </w:r>
          </w:p>
        </w:tc>
        <w:tc>
          <w:tcPr>
            <w:tcW w:w="650" w:type="dxa"/>
          </w:tcPr>
          <w:p>
            <w:pPr>
              <w:jc w:val="right"/>
              <w:spacing w:before="10" w:after="10"/>
            </w:pPr>
            <w:r/>
            <w:r>
              <w:rPr>
                <w:sz w:val="16"/>
              </w:rPr>
              <w:t>$9.40</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$1.51</w:t>
            </w:r>
          </w:p>
        </w:tc>
        <w:tc>
          <w:tcPr>
            <w:tcW w:w="750" w:type="dxa"/>
          </w:tcPr>
          <w:p>
            <w:pPr>
              <w:jc w:val="right"/>
              <w:spacing w:before="10" w:after="10"/>
            </w:pPr>
            <w:r>
              <w:rPr>
                <w:b/>
              </w:rPr>
            </w:r>
            <w:r>
              <w:rPr>
                <w:sz w:val="16"/>
                <w:b/>
              </w:rPr>
              <w:t>$0.137</w:t>
            </w:r>
          </w:p>
        </w:tc>
      </w:tr>
      <w:tr>
        <w:tc>
          <w:tcPr>
            <w:tcW w:w="1500" w:type="dxa"/>
          </w:tcPr>
          <w:p>
            <w:pPr>
              <w:spacing w:before="10" w:after="10"/>
            </w:pPr>
            <w:r/>
            <w:r>
              <w:rPr>
                <w:sz w:val="16"/>
              </w:rPr>
              <w:t>Denmark</w:t>
            </w:r>
          </w:p>
        </w:tc>
        <w:tc>
          <w:tcPr>
            <w:tcW w:w="650" w:type="dxa"/>
          </w:tcPr>
          <w:p>
            <w:pPr>
              <w:spacing w:before="10" w:after="10"/>
            </w:pPr>
            <w:r/>
            <w:r>
              <w:rPr>
                <w:sz w:val="16"/>
              </w:rPr>
              <w:t>$0.129</w:t>
            </w:r>
          </w:p>
        </w:tc>
        <w:tc>
          <w:tcPr>
            <w:tcW w:w="550" w:type="dxa"/>
          </w:tcPr>
          <w:p>
            <w:pPr>
              <w:jc w:val="right"/>
              <w:spacing w:before="10" w:after="10"/>
            </w:pPr>
            <w:r/>
            <w:r>
              <w:rPr>
                <w:sz w:val="16"/>
              </w:rPr>
              <w:t>17.2</w:t>
            </w:r>
          </w:p>
        </w:tc>
        <w:tc>
          <w:tcPr>
            <w:tcW w:w="500" w:type="dxa"/>
          </w:tcPr>
          <w:p>
            <w:pPr>
              <w:jc w:val="right"/>
              <w:spacing w:before="10" w:after="10"/>
            </w:pPr>
            <w:r/>
            <w:r>
              <w:rPr>
                <w:sz w:val="16"/>
              </w:rPr>
              <w:t>1.11</w:t>
            </w:r>
          </w:p>
        </w:tc>
        <w:tc>
          <w:tcPr>
            <w:tcW w:w="650" w:type="dxa"/>
          </w:tcPr>
          <w:p>
            <w:pPr>
              <w:jc w:val="right"/>
              <w:spacing w:before="10" w:after="10"/>
            </w:pPr>
            <w:r/>
            <w:r>
              <w:rPr>
                <w:sz w:val="16"/>
              </w:rPr>
              <w:t>$12.02</w:t>
            </w:r>
          </w:p>
        </w:tc>
        <w:tc>
          <w:tcPr>
            <w:tcW w:w="650" w:type="dxa"/>
          </w:tcPr>
          <w:p>
            <w:pPr>
              <w:jc w:val="right"/>
              <w:spacing w:before="10" w:after="10"/>
            </w:pPr>
            <w:r/>
            <w:r>
              <w:rPr>
                <w:sz w:val="16"/>
              </w:rPr>
              <w:t>300</w:t>
            </w:r>
          </w:p>
        </w:tc>
        <w:tc>
          <w:tcPr>
            <w:tcW w:w="550" w:type="dxa"/>
          </w:tcPr>
          <w:p>
            <w:pPr>
              <w:jc w:val="right"/>
              <w:spacing w:before="10" w:after="10"/>
            </w:pPr>
            <w:r/>
            <w:r>
              <w:rPr>
                <w:sz w:val="16"/>
              </w:rPr>
              <w:t>0.2</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$0.139</w:t>
            </w:r>
          </w:p>
        </w:tc>
      </w:tr>
      <w:tr>
        <w:tc>
          <w:tcPr>
            <w:tcW w:w="1500" w:type="dxa"/>
          </w:tcPr>
          <w:p>
            <w:pPr>
              <w:spacing w:before="10" w:after="10"/>
            </w:pPr>
            <w:r/>
            <w:r>
              <w:rPr>
                <w:sz w:val="16"/>
              </w:rPr>
              <w:t>Lithuania</w:t>
            </w:r>
          </w:p>
        </w:tc>
        <w:tc>
          <w:tcPr>
            <w:tcW w:w="650" w:type="dxa"/>
          </w:tcPr>
          <w:p>
            <w:pPr>
              <w:spacing w:before="10" w:after="10"/>
            </w:pPr>
            <w:r/>
            <w:r>
              <w:rPr>
                <w:sz w:val="16"/>
              </w:rPr>
              <w:t>$0.134</w:t>
            </w:r>
          </w:p>
        </w:tc>
        <w:tc>
          <w:tcPr>
            <w:tcW w:w="550" w:type="dxa"/>
          </w:tcPr>
          <w:p>
            <w:pPr>
              <w:jc w:val="right"/>
              <w:spacing w:before="10" w:after="10"/>
            </w:pPr>
            <w:r/>
            <w:r>
              <w:rPr>
                <w:sz w:val="16"/>
              </w:rPr>
              <w:t>18.8</w:t>
            </w:r>
          </w:p>
        </w:tc>
        <w:tc>
          <w:tcPr>
            <w:tcW w:w="500" w:type="dxa"/>
          </w:tcPr>
          <w:p>
            <w:pPr>
              <w:jc w:val="right"/>
              <w:spacing w:before="10" w:after="10"/>
            </w:pPr>
            <w:r/>
            <w:r>
              <w:rPr>
                <w:sz w:val="16"/>
              </w:rPr>
              <w:t>1.14</w:t>
            </w:r>
          </w:p>
        </w:tc>
        <w:tc>
          <w:tcPr>
            <w:tcW w:w="650" w:type="dxa"/>
          </w:tcPr>
          <w:p>
            <w:pPr>
              <w:jc w:val="right"/>
              <w:spacing w:before="10" w:after="10"/>
            </w:pPr>
            <w:r/>
            <w:r>
              <w:rPr>
                <w:sz w:val="16"/>
              </w:rPr>
              <w:t>$10.97</w:t>
            </w:r>
          </w:p>
        </w:tc>
        <w:tc>
          <w:tcPr>
            <w:tcW w:w="650" w:type="dxa"/>
          </w:tcPr>
          <w:p>
            <w:pPr>
              <w:jc w:val="right"/>
              <w:spacing w:before="10" w:after="10"/>
            </w:pPr>
            <w:r/>
            <w:r>
              <w:rPr>
                <w:sz w:val="16"/>
              </w:rPr>
              <w:t>55</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$0.145</w:t>
            </w:r>
          </w:p>
        </w:tc>
      </w:tr>
      <w:tr>
        <w:tc>
          <w:tcPr>
            <w:tcW w:w="1500" w:type="dxa"/>
          </w:tcPr>
          <w:p>
            <w:pPr>
              <w:spacing w:before="10" w:after="10"/>
            </w:pPr>
            <w:r/>
            <w:r>
              <w:rPr>
                <w:sz w:val="16"/>
              </w:rPr>
              <w:t>Albania</w:t>
            </w:r>
          </w:p>
        </w:tc>
        <w:tc>
          <w:tcPr>
            <w:tcW w:w="650" w:type="dxa"/>
          </w:tcPr>
          <w:p>
            <w:pPr>
              <w:spacing w:before="10" w:after="10"/>
            </w:pPr>
            <w:r/>
            <w:r>
              <w:rPr>
                <w:sz w:val="16"/>
              </w:rPr>
              <w:t>$0.147</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$9.55</w:t>
            </w:r>
          </w:p>
        </w:tc>
        <w:tc>
          <w:tcPr>
            <w:tcW w:w="650" w:type="dxa"/>
          </w:tcPr>
          <w:p>
            <w:pPr>
              <w:jc w:val="right"/>
              <w:spacing w:before="10" w:after="10"/>
            </w:pPr>
            <w:r/>
            <w:r>
              <w:rPr>
                <w:sz w:val="16"/>
              </w:rPr>
              <w:t>5</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
              <w:rPr>
                <w:sz w:val="16"/>
              </w:rPr>
              <w:t>$0.147</w:t>
            </w:r>
          </w:p>
        </w:tc>
      </w:tr>
      <w:tr>
        <w:tc>
          <w:tcPr>
            <w:tcW w:w="1500" w:type="dxa"/>
          </w:tcPr>
          <w:p>
            <w:pPr>
              <w:spacing w:before="10" w:after="10"/>
            </w:pPr>
            <w:r/>
            <w:r>
              <w:rPr>
                <w:sz w:val="16"/>
              </w:rPr>
              <w:t>South Korea</w:t>
            </w:r>
          </w:p>
        </w:tc>
        <w:tc>
          <w:tcPr>
            <w:tcW w:w="650" w:type="dxa"/>
          </w:tcPr>
          <w:p>
            <w:pPr>
              <w:spacing w:before="10" w:after="10"/>
            </w:pPr>
            <w:r/>
            <w:r>
              <w:rPr>
                <w:sz w:val="16"/>
              </w:rPr>
              <w:t>$0.125</w:t>
            </w:r>
          </w:p>
        </w:tc>
        <w:tc>
          <w:tcPr>
            <w:tcW w:w="550" w:type="dxa"/>
          </w:tcPr>
          <w:p>
            <w:pPr>
              <w:jc w:val="right"/>
              <w:spacing w:before="10" w:after="10"/>
            </w:pPr>
            <w:r/>
            <w:r>
              <w:rPr>
                <w:sz w:val="16"/>
              </w:rPr>
              <w:t>26.0</w:t>
            </w:r>
          </w:p>
        </w:tc>
        <w:tc>
          <w:tcPr>
            <w:tcW w:w="500" w:type="dxa"/>
          </w:tcPr>
          <w:p>
            <w:pPr>
              <w:jc w:val="right"/>
              <w:spacing w:before="10" w:after="10"/>
            </w:pPr>
            <w:r/>
            <w:r>
              <w:rPr>
                <w:sz w:val="16"/>
              </w:rPr>
              <w:t>1.25</w:t>
            </w:r>
          </w:p>
        </w:tc>
        <w:tc>
          <w:tcPr>
            <w:tcW w:w="650" w:type="dxa"/>
          </w:tcPr>
          <w:p>
            <w:pPr>
              <w:jc w:val="right"/>
              <w:spacing w:before="10" w:after="10"/>
            </w:pPr>
            <w:r/>
            <w:r>
              <w:rPr>
                <w:sz w:val="16"/>
              </w:rPr>
              <w:t>$10.07</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$0.145</w:t>
            </w:r>
          </w:p>
        </w:tc>
      </w:tr>
      <w:tr>
        <w:tc>
          <w:tcPr>
            <w:tcW w:w="1500" w:type="dxa"/>
          </w:tcPr>
          <w:p>
            <w:pPr>
              <w:spacing w:before="10" w:after="10"/>
            </w:pPr>
            <w:r/>
            <w:r>
              <w:rPr>
                <w:sz w:val="16"/>
              </w:rPr>
              <w:t>Poland</w:t>
            </w:r>
          </w:p>
        </w:tc>
        <w:tc>
          <w:tcPr>
            <w:tcW w:w="650" w:type="dxa"/>
          </w:tcPr>
          <w:p>
            <w:pPr>
              <w:spacing w:before="10" w:after="10"/>
            </w:pPr>
            <w:r/>
            <w:r>
              <w:rPr>
                <w:sz w:val="16"/>
              </w:rPr>
              <w:t>$0.119</w:t>
            </w:r>
          </w:p>
        </w:tc>
        <w:tc>
          <w:tcPr>
            <w:tcW w:w="550" w:type="dxa"/>
          </w:tcPr>
          <w:p>
            <w:pPr>
              <w:jc w:val="right"/>
              <w:spacing w:before="10" w:after="10"/>
            </w:pPr>
            <w:r/>
            <w:r>
              <w:rPr>
                <w:sz w:val="16"/>
              </w:rPr>
              <w:t>19.7</w:t>
            </w:r>
          </w:p>
        </w:tc>
        <w:tc>
          <w:tcPr>
            <w:tcW w:w="500" w:type="dxa"/>
          </w:tcPr>
          <w:p>
            <w:pPr>
              <w:jc w:val="right"/>
              <w:spacing w:before="10" w:after="10"/>
            </w:pPr>
            <w:r/>
            <w:r>
              <w:rPr>
                <w:sz w:val="16"/>
              </w:rPr>
              <w:t>1.15</w:t>
            </w:r>
          </w:p>
        </w:tc>
        <w:tc>
          <w:tcPr>
            <w:tcW w:w="650" w:type="dxa"/>
          </w:tcPr>
          <w:p>
            <w:pPr>
              <w:jc w:val="right"/>
              <w:spacing w:before="10" w:after="10"/>
            </w:pPr>
            <w:r/>
            <w:r>
              <w:rPr>
                <w:sz w:val="16"/>
              </w:rPr>
              <w:t>$9.16</w:t>
            </w:r>
          </w:p>
        </w:tc>
        <w:tc>
          <w:tcPr>
            <w:tcW w:w="650" w:type="dxa"/>
          </w:tcPr>
          <w:p>
            <w:pPr>
              <w:jc w:val="right"/>
              <w:spacing w:before="10" w:after="10"/>
            </w:pPr>
            <w:r/>
            <w:r>
              <w:rPr>
                <w:sz w:val="16"/>
              </w:rPr>
              <w:t>600</w:t>
            </w:r>
          </w:p>
        </w:tc>
        <w:tc>
          <w:tcPr>
            <w:tcW w:w="550" w:type="dxa"/>
          </w:tcPr>
          <w:p>
            <w:pPr>
              <w:jc w:val="right"/>
              <w:spacing w:before="10" w:after="10"/>
            </w:pPr>
            <w:r/>
            <w:r>
              <w:rPr>
                <w:sz w:val="16"/>
              </w:rPr>
              <w:t>0.5</w:t>
            </w:r>
          </w:p>
        </w:tc>
        <w:tc>
          <w:tcPr>
            <w:tcW w:w="700" w:type="dxa"/>
          </w:tcPr>
          <w:p>
            <w:pPr>
              <w:jc w:val="right"/>
              <w:spacing w:before="10" w:after="10"/>
            </w:pPr>
            <w:r/>
            <w:r>
              <w:rPr>
                <w:sz w:val="16"/>
              </w:rPr>
              <w:t>$1.50</w:t>
            </w:r>
          </w:p>
        </w:tc>
        <w:tc>
          <w:tcPr>
            <w:tcW w:w="750" w:type="dxa"/>
          </w:tcPr>
          <w:p>
            <w:pPr>
              <w:jc w:val="right"/>
              <w:spacing w:before="10" w:after="10"/>
            </w:pPr>
            <w:r>
              <w:rPr>
                <w:b/>
              </w:rPr>
            </w:r>
            <w:r>
              <w:rPr>
                <w:sz w:val="16"/>
                <w:b/>
              </w:rPr>
              <w:t>$0.166</w:t>
            </w:r>
          </w:p>
        </w:tc>
      </w:tr>
      <w:tr>
        <w:tc>
          <w:tcPr>
            <w:tcW w:w="1500" w:type="dxa"/>
          </w:tcPr>
          <w:p>
            <w:pPr>
              <w:spacing w:before="10" w:after="10"/>
            </w:pPr>
            <w:r/>
            <w:r>
              <w:rPr>
                <w:sz w:val="16"/>
              </w:rPr>
              <w:t>Slovenia</w:t>
            </w:r>
          </w:p>
        </w:tc>
        <w:tc>
          <w:tcPr>
            <w:tcW w:w="650" w:type="dxa"/>
          </w:tcPr>
          <w:p>
            <w:pPr>
              <w:spacing w:before="10" w:after="10"/>
            </w:pPr>
            <w:r/>
            <w:r>
              <w:rPr>
                <w:sz w:val="16"/>
              </w:rPr>
              <w:t>$0.147</w:t>
            </w:r>
          </w:p>
        </w:tc>
        <w:tc>
          <w:tcPr>
            <w:tcW w:w="550" w:type="dxa"/>
          </w:tcPr>
          <w:p>
            <w:pPr>
              <w:jc w:val="right"/>
              <w:spacing w:before="10" w:after="10"/>
            </w:pPr>
            <w:r/>
            <w:r>
              <w:rPr>
                <w:sz w:val="16"/>
              </w:rPr>
              <w:t>21.7</w:t>
            </w:r>
          </w:p>
        </w:tc>
        <w:tc>
          <w:tcPr>
            <w:tcW w:w="500" w:type="dxa"/>
          </w:tcPr>
          <w:p>
            <w:pPr>
              <w:jc w:val="right"/>
              <w:spacing w:before="10" w:after="10"/>
            </w:pPr>
            <w:r/>
            <w:r>
              <w:rPr>
                <w:sz w:val="16"/>
              </w:rPr>
              <w:t>1.18</w:t>
            </w:r>
          </w:p>
        </w:tc>
        <w:tc>
          <w:tcPr>
            <w:tcW w:w="650" w:type="dxa"/>
          </w:tcPr>
          <w:p>
            <w:pPr>
              <w:jc w:val="right"/>
              <w:spacing w:before="10" w:after="10"/>
            </w:pPr>
            <w:r/>
            <w:r>
              <w:rPr>
                <w:sz w:val="16"/>
              </w:rPr>
              <w:t>$10.17</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$1.53</w:t>
            </w:r>
          </w:p>
        </w:tc>
        <w:tc>
          <w:tcPr>
            <w:tcW w:w="750" w:type="dxa"/>
          </w:tcPr>
          <w:p>
            <w:pPr>
              <w:jc w:val="right"/>
              <w:spacing w:before="10" w:after="10"/>
            </w:pPr>
            <w:r>
              <w:rPr>
                <w:b/>
              </w:rPr>
            </w:r>
            <w:r>
              <w:rPr>
                <w:sz w:val="16"/>
                <w:b/>
              </w:rPr>
              <w:t>$0.161</w:t>
            </w:r>
          </w:p>
        </w:tc>
      </w:tr>
      <w:tr>
        <w:tc>
          <w:tcPr>
            <w:tcW w:w="1500" w:type="dxa"/>
          </w:tcPr>
          <w:p>
            <w:pPr>
              <w:spacing w:before="10" w:after="10"/>
            </w:pPr>
            <w:r/>
            <w:r>
              <w:rPr>
                <w:sz w:val="16"/>
              </w:rPr>
              <w:t>Netherlands</w:t>
            </w:r>
          </w:p>
        </w:tc>
        <w:tc>
          <w:tcPr>
            <w:tcW w:w="650" w:type="dxa"/>
          </w:tcPr>
          <w:p>
            <w:pPr>
              <w:spacing w:before="10" w:after="10"/>
            </w:pPr>
            <w:r/>
            <w:r>
              <w:rPr>
                <w:sz w:val="16"/>
              </w:rPr>
              <w:t>$0.130</w:t>
            </w:r>
          </w:p>
        </w:tc>
        <w:tc>
          <w:tcPr>
            <w:tcW w:w="550" w:type="dxa"/>
          </w:tcPr>
          <w:p>
            <w:pPr>
              <w:jc w:val="right"/>
              <w:spacing w:before="10" w:after="10"/>
            </w:pPr>
            <w:r/>
            <w:r>
              <w:rPr>
                <w:sz w:val="16"/>
              </w:rPr>
              <w:t>18.9</w:t>
            </w:r>
          </w:p>
        </w:tc>
        <w:tc>
          <w:tcPr>
            <w:tcW w:w="500" w:type="dxa"/>
          </w:tcPr>
          <w:p>
            <w:pPr>
              <w:jc w:val="right"/>
              <w:spacing w:before="10" w:after="10"/>
            </w:pPr>
            <w:r/>
            <w:r>
              <w:rPr>
                <w:sz w:val="16"/>
              </w:rPr>
              <w:t>1.14</w:t>
            </w:r>
          </w:p>
        </w:tc>
        <w:tc>
          <w:tcPr>
            <w:tcW w:w="650" w:type="dxa"/>
          </w:tcPr>
          <w:p>
            <w:pPr>
              <w:jc w:val="right"/>
              <w:spacing w:before="10" w:after="10"/>
            </w:pPr>
            <w:r/>
            <w:r>
              <w:rPr>
                <w:sz w:val="16"/>
              </w:rPr>
              <w:t>$10.81</w:t>
            </w:r>
          </w:p>
        </w:tc>
        <w:tc>
          <w:tcPr>
            <w:tcW w:w="650" w:type="dxa"/>
          </w:tcPr>
          <w:p>
            <w:pPr>
              <w:jc w:val="right"/>
              <w:spacing w:before="10" w:after="10"/>
            </w:pPr>
            <w:r/>
            <w:r>
              <w:rPr>
                <w:sz w:val="16"/>
              </w:rPr>
              <w:t>1,800</w:t>
            </w:r>
          </w:p>
        </w:tc>
        <w:tc>
          <w:tcPr>
            <w:tcW w:w="550" w:type="dxa"/>
          </w:tcPr>
          <w:p>
            <w:pPr>
              <w:jc w:val="right"/>
              <w:spacing w:before="10" w:after="10"/>
            </w:pPr>
            <w:r/>
            <w:r>
              <w:rPr>
                <w:sz w:val="16"/>
              </w:rPr>
              <w:t>1.5</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$0.164</w:t>
            </w:r>
          </w:p>
        </w:tc>
      </w:tr>
      <w:tr>
        <w:tc>
          <w:tcPr>
            <w:tcW w:w="1500" w:type="dxa"/>
          </w:tcPr>
          <w:p>
            <w:pPr>
              <w:spacing w:before="10" w:after="10"/>
            </w:pPr>
            <w:r/>
            <w:r>
              <w:rPr>
                <w:sz w:val="16"/>
              </w:rPr>
              <w:t>Estonia</w:t>
            </w:r>
          </w:p>
        </w:tc>
        <w:tc>
          <w:tcPr>
            <w:tcW w:w="650" w:type="dxa"/>
          </w:tcPr>
          <w:p>
            <w:pPr>
              <w:spacing w:before="10" w:after="10"/>
            </w:pPr>
            <w:r/>
            <w:r>
              <w:rPr>
                <w:sz w:val="16"/>
              </w:rPr>
              <w:t>$0.129</w:t>
            </w:r>
          </w:p>
        </w:tc>
        <w:tc>
          <w:tcPr>
            <w:tcW w:w="550" w:type="dxa"/>
          </w:tcPr>
          <w:p>
            <w:pPr>
              <w:jc w:val="right"/>
              <w:spacing w:before="10" w:after="10"/>
            </w:pPr>
            <w:r/>
            <w:r>
              <w:rPr>
                <w:sz w:val="16"/>
              </w:rPr>
              <w:t>18.2</w:t>
            </w:r>
          </w:p>
        </w:tc>
        <w:tc>
          <w:tcPr>
            <w:tcW w:w="500" w:type="dxa"/>
          </w:tcPr>
          <w:p>
            <w:pPr>
              <w:jc w:val="right"/>
              <w:spacing w:before="10" w:after="10"/>
            </w:pPr>
            <w:r/>
            <w:r>
              <w:rPr>
                <w:sz w:val="16"/>
              </w:rPr>
              <w:t>1.13</w:t>
            </w:r>
          </w:p>
        </w:tc>
        <w:tc>
          <w:tcPr>
            <w:tcW w:w="650" w:type="dxa"/>
          </w:tcPr>
          <w:p>
            <w:pPr>
              <w:jc w:val="right"/>
              <w:spacing w:before="10" w:after="10"/>
            </w:pPr>
            <w:r/>
            <w:r>
              <w:rPr>
                <w:sz w:val="16"/>
              </w:rPr>
              <w:t>$11.19</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$1.52</w:t>
            </w:r>
          </w:p>
        </w:tc>
        <w:tc>
          <w:tcPr>
            <w:tcW w:w="750" w:type="dxa"/>
          </w:tcPr>
          <w:p>
            <w:pPr>
              <w:jc w:val="right"/>
              <w:spacing w:before="10" w:after="10"/>
            </w:pPr>
            <w:r>
              <w:rPr>
                <w:b/>
              </w:rPr>
            </w:r>
            <w:r>
              <w:rPr>
                <w:sz w:val="16"/>
                <w:b/>
              </w:rPr>
              <w:t>$0.169</w:t>
            </w:r>
          </w:p>
        </w:tc>
      </w:tr>
      <w:tr>
        <w:tc>
          <w:tcPr>
            <w:tcW w:w="1500" w:type="dxa"/>
          </w:tcPr>
          <w:p>
            <w:pPr>
              <w:spacing w:before="10" w:after="10"/>
            </w:pPr>
            <w:r/>
            <w:r>
              <w:rPr>
                <w:sz w:val="16"/>
              </w:rPr>
              <w:t>Romania</w:t>
            </w:r>
          </w:p>
        </w:tc>
        <w:tc>
          <w:tcPr>
            <w:tcW w:w="650" w:type="dxa"/>
          </w:tcPr>
          <w:p>
            <w:pPr>
              <w:spacing w:before="10" w:after="10"/>
            </w:pPr>
            <w:r/>
            <w:r>
              <w:rPr>
                <w:sz w:val="16"/>
              </w:rPr>
              <w:t>$0.156</w:t>
            </w:r>
          </w:p>
        </w:tc>
        <w:tc>
          <w:tcPr>
            <w:tcW w:w="550" w:type="dxa"/>
          </w:tcPr>
          <w:p>
            <w:pPr>
              <w:jc w:val="right"/>
              <w:spacing w:before="10" w:after="10"/>
            </w:pPr>
            <w:r/>
            <w:r>
              <w:rPr>
                <w:sz w:val="16"/>
              </w:rPr>
              <w:t>22.1</w:t>
            </w:r>
          </w:p>
        </w:tc>
        <w:tc>
          <w:tcPr>
            <w:tcW w:w="500" w:type="dxa"/>
          </w:tcPr>
          <w:p>
            <w:pPr>
              <w:jc w:val="right"/>
              <w:spacing w:before="10" w:after="10"/>
            </w:pPr>
            <w:r/>
            <w:r>
              <w:rPr>
                <w:sz w:val="16"/>
              </w:rPr>
              <w:t>1.19</w:t>
            </w:r>
          </w:p>
        </w:tc>
        <w:tc>
          <w:tcPr>
            <w:tcW w:w="650" w:type="dxa"/>
          </w:tcPr>
          <w:p>
            <w:pPr>
              <w:jc w:val="right"/>
              <w:spacing w:before="10" w:after="10"/>
            </w:pPr>
            <w:r/>
            <w:r>
              <w:rPr>
                <w:sz w:val="16"/>
              </w:rPr>
              <w:t>$9.24</w:t>
            </w:r>
          </w:p>
        </w:tc>
        <w:tc>
          <w:tcPr>
            <w:tcW w:w="650" w:type="dxa"/>
          </w:tcPr>
          <w:p>
            <w:pPr>
              <w:jc w:val="right"/>
              <w:spacing w:before="10" w:after="10"/>
            </w:pPr>
            <w:r/>
            <w:r>
              <w:rPr>
                <w:sz w:val="16"/>
              </w:rPr>
              <w:t>100</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$0.174</w:t>
            </w:r>
          </w:p>
        </w:tc>
      </w:tr>
      <w:tr>
        <w:tc>
          <w:tcPr>
            <w:tcW w:w="1500" w:type="dxa"/>
          </w:tcPr>
          <w:p>
            <w:pPr>
              <w:spacing w:before="10" w:after="10"/>
            </w:pPr>
            <w:r/>
            <w:r>
              <w:rPr>
                <w:sz w:val="16"/>
              </w:rPr>
              <w:t>Japan</w:t>
            </w:r>
          </w:p>
        </w:tc>
        <w:tc>
          <w:tcPr>
            <w:tcW w:w="650" w:type="dxa"/>
          </w:tcPr>
          <w:p>
            <w:pPr>
              <w:spacing w:before="10" w:after="10"/>
            </w:pPr>
            <w:r/>
            <w:r>
              <w:rPr>
                <w:sz w:val="16"/>
              </w:rPr>
              <w:t>$0.135</w:t>
            </w:r>
          </w:p>
        </w:tc>
        <w:tc>
          <w:tcPr>
            <w:tcW w:w="550" w:type="dxa"/>
          </w:tcPr>
          <w:p>
            <w:pPr>
              <w:jc w:val="right"/>
              <w:spacing w:before="10" w:after="10"/>
            </w:pPr>
            <w:r/>
            <w:r>
              <w:rPr>
                <w:sz w:val="16"/>
              </w:rPr>
              <w:t>25.2</w:t>
            </w:r>
          </w:p>
        </w:tc>
        <w:tc>
          <w:tcPr>
            <w:tcW w:w="500" w:type="dxa"/>
          </w:tcPr>
          <w:p>
            <w:pPr>
              <w:jc w:val="right"/>
              <w:spacing w:before="10" w:after="10"/>
            </w:pPr>
            <w:r/>
            <w:r>
              <w:rPr>
                <w:sz w:val="16"/>
              </w:rPr>
              <w:t>1.23</w:t>
            </w:r>
          </w:p>
        </w:tc>
        <w:tc>
          <w:tcPr>
            <w:tcW w:w="650" w:type="dxa"/>
          </w:tcPr>
          <w:p>
            <w:pPr>
              <w:jc w:val="right"/>
              <w:spacing w:before="10" w:after="10"/>
            </w:pPr>
            <w:r/>
            <w:r>
              <w:rPr>
                <w:sz w:val="16"/>
              </w:rPr>
              <w:t>$14.64</w:t>
            </w:r>
          </w:p>
        </w:tc>
        <w:tc>
          <w:tcPr>
            <w:tcW w:w="650" w:type="dxa"/>
          </w:tcPr>
          <w:p>
            <w:pPr>
              <w:jc w:val="right"/>
              <w:spacing w:before="10" w:after="10"/>
            </w:pPr>
            <w:r/>
            <w:r>
              <w:rPr>
                <w:sz w:val="16"/>
              </w:rPr>
              <w:t>2,400</w:t>
            </w:r>
          </w:p>
        </w:tc>
        <w:tc>
          <w:tcPr>
            <w:tcW w:w="550" w:type="dxa"/>
          </w:tcPr>
          <w:p>
            <w:pPr>
              <w:jc w:val="right"/>
              <w:spacing w:before="10" w:after="10"/>
            </w:pPr>
            <w:r/>
            <w:r>
              <w:rPr>
                <w:sz w:val="16"/>
              </w:rPr>
              <w:t>1.9</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$0.135</w:t>
            </w:r>
          </w:p>
        </w:tc>
      </w:tr>
      <w:tr>
        <w:tc>
          <w:tcPr>
            <w:tcW w:w="1500" w:type="dxa"/>
          </w:tcPr>
          <w:p>
            <w:pPr>
              <w:spacing w:before="10" w:after="10"/>
            </w:pPr>
            <w:r/>
            <w:r>
              <w:rPr>
                <w:sz w:val="16"/>
              </w:rPr>
              <w:t>Slovakia</w:t>
            </w:r>
          </w:p>
        </w:tc>
        <w:tc>
          <w:tcPr>
            <w:tcW w:w="650" w:type="dxa"/>
          </w:tcPr>
          <w:p>
            <w:pPr>
              <w:spacing w:before="10" w:after="10"/>
            </w:pPr>
            <w:r/>
            <w:r>
              <w:rPr>
                <w:sz w:val="16"/>
              </w:rPr>
              <w:t>$0.164</w:t>
            </w:r>
          </w:p>
        </w:tc>
        <w:tc>
          <w:tcPr>
            <w:tcW w:w="550" w:type="dxa"/>
          </w:tcPr>
          <w:p>
            <w:pPr>
              <w:jc w:val="right"/>
              <w:spacing w:before="10" w:after="10"/>
            </w:pPr>
            <w:r/>
            <w:r>
              <w:rPr>
                <w:sz w:val="16"/>
              </w:rPr>
              <w:t>20.9</w:t>
            </w:r>
          </w:p>
        </w:tc>
        <w:tc>
          <w:tcPr>
            <w:tcW w:w="500" w:type="dxa"/>
          </w:tcPr>
          <w:p>
            <w:pPr>
              <w:jc w:val="right"/>
              <w:spacing w:before="10" w:after="10"/>
            </w:pPr>
            <w:r/>
            <w:r>
              <w:rPr>
                <w:sz w:val="16"/>
              </w:rPr>
              <w:t>1.17</w:t>
            </w:r>
          </w:p>
        </w:tc>
        <w:tc>
          <w:tcPr>
            <w:tcW w:w="650" w:type="dxa"/>
          </w:tcPr>
          <w:p>
            <w:pPr>
              <w:jc w:val="right"/>
              <w:spacing w:before="10" w:after="10"/>
            </w:pPr>
            <w:r/>
            <w:r>
              <w:rPr>
                <w:sz w:val="16"/>
              </w:rPr>
              <w:t>$10.02</w:t>
            </w:r>
          </w:p>
        </w:tc>
        <w:tc>
          <w:tcPr>
            <w:tcW w:w="650" w:type="dxa"/>
          </w:tcPr>
          <w:p>
            <w:pPr>
              <w:jc w:val="right"/>
              <w:spacing w:before="10" w:after="10"/>
            </w:pPr>
            <w:r/>
            <w:r>
              <w:rPr>
                <w:sz w:val="16"/>
              </w:rPr>
              <w:t>40</w:t>
            </w:r>
          </w:p>
        </w:tc>
        <w:tc>
          <w:tcPr>
            <w:tcW w:w="550" w:type="dxa"/>
          </w:tcPr>
          <w:p>
            <w:pPr>
              <w:jc w:val="right"/>
              <w:spacing w:before="10" w:after="10"/>
            </w:pPr>
            <w:r/>
            <w:r>
              <w:rPr>
                <w:sz w:val="16"/>
              </w:rPr>
              <w:t>0.0</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$0.173</w:t>
            </w:r>
          </w:p>
        </w:tc>
      </w:tr>
      <w:tr>
        <w:tc>
          <w:tcPr>
            <w:tcW w:w="1500" w:type="dxa"/>
          </w:tcPr>
          <w:p>
            <w:pPr>
              <w:spacing w:before="10" w:after="10"/>
            </w:pPr>
            <w:r/>
            <w:r>
              <w:rPr>
                <w:sz w:val="16"/>
              </w:rPr>
              <w:t>Austria</w:t>
            </w:r>
          </w:p>
        </w:tc>
        <w:tc>
          <w:tcPr>
            <w:tcW w:w="650" w:type="dxa"/>
          </w:tcPr>
          <w:p>
            <w:pPr>
              <w:spacing w:before="10" w:after="10"/>
            </w:pPr>
            <w:r/>
            <w:r>
              <w:rPr>
                <w:sz w:val="16"/>
              </w:rPr>
              <w:t>$0.160</w:t>
            </w:r>
          </w:p>
        </w:tc>
        <w:tc>
          <w:tcPr>
            <w:tcW w:w="550" w:type="dxa"/>
          </w:tcPr>
          <w:p>
            <w:pPr>
              <w:jc w:val="right"/>
              <w:spacing w:before="10" w:after="10"/>
            </w:pPr>
            <w:r/>
            <w:r>
              <w:rPr>
                <w:sz w:val="16"/>
              </w:rPr>
              <w:t>18.6</w:t>
            </w:r>
          </w:p>
        </w:tc>
        <w:tc>
          <w:tcPr>
            <w:tcW w:w="500" w:type="dxa"/>
          </w:tcPr>
          <w:p>
            <w:pPr>
              <w:jc w:val="right"/>
              <w:spacing w:before="10" w:after="10"/>
            </w:pPr>
            <w:r/>
            <w:r>
              <w:rPr>
                <w:sz w:val="16"/>
              </w:rPr>
              <w:t>1.13</w:t>
            </w:r>
          </w:p>
        </w:tc>
        <w:tc>
          <w:tcPr>
            <w:tcW w:w="650" w:type="dxa"/>
          </w:tcPr>
          <w:p>
            <w:pPr>
              <w:jc w:val="right"/>
              <w:spacing w:before="10" w:after="10"/>
            </w:pPr>
            <w:r/>
            <w:r>
              <w:rPr>
                <w:sz w:val="16"/>
              </w:rPr>
              <w:t>$11.81</w:t>
            </w:r>
          </w:p>
        </w:tc>
        <w:tc>
          <w:tcPr>
            <w:tcW w:w="650" w:type="dxa"/>
          </w:tcPr>
          <w:p>
            <w:pPr>
              <w:jc w:val="right"/>
              <w:spacing w:before="10" w:after="10"/>
            </w:pPr>
            <w:r/>
            <w:r>
              <w:rPr>
                <w:sz w:val="16"/>
              </w:rPr>
              <w:t>250</w:t>
            </w:r>
          </w:p>
        </w:tc>
        <w:tc>
          <w:tcPr>
            <w:tcW w:w="550" w:type="dxa"/>
          </w:tcPr>
          <w:p>
            <w:pPr>
              <w:jc w:val="right"/>
              <w:spacing w:before="10" w:after="10"/>
            </w:pPr>
            <w:r/>
            <w:r>
              <w:rPr>
                <w:sz w:val="16"/>
              </w:rPr>
              <w:t>0.2</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$0.167</w:t>
            </w:r>
          </w:p>
        </w:tc>
      </w:tr>
      <w:tr>
        <w:tc>
          <w:tcPr>
            <w:tcW w:w="1500" w:type="dxa"/>
          </w:tcPr>
          <w:p>
            <w:pPr>
              <w:spacing w:before="10" w:after="10"/>
            </w:pPr>
            <w:r/>
            <w:r>
              <w:rPr>
                <w:sz w:val="16"/>
              </w:rPr>
              <w:t>Switzerland</w:t>
            </w:r>
          </w:p>
        </w:tc>
        <w:tc>
          <w:tcPr>
            <w:tcW w:w="650" w:type="dxa"/>
          </w:tcPr>
          <w:p>
            <w:pPr>
              <w:spacing w:before="10" w:after="10"/>
            </w:pPr>
            <w:r/>
            <w:r>
              <w:rPr>
                <w:sz w:val="16"/>
              </w:rPr>
              <w:t>$0.160</w:t>
            </w:r>
          </w:p>
        </w:tc>
        <w:tc>
          <w:tcPr>
            <w:tcW w:w="550" w:type="dxa"/>
          </w:tcPr>
          <w:p>
            <w:pPr>
              <w:jc w:val="right"/>
              <w:spacing w:before="10" w:after="10"/>
            </w:pPr>
            <w:r/>
            <w:r>
              <w:rPr>
                <w:sz w:val="16"/>
              </w:rPr>
              <w:t>15.7</w:t>
            </w:r>
          </w:p>
        </w:tc>
        <w:tc>
          <w:tcPr>
            <w:tcW w:w="500" w:type="dxa"/>
          </w:tcPr>
          <w:p>
            <w:pPr>
              <w:jc w:val="right"/>
              <w:spacing w:before="10" w:after="10"/>
            </w:pPr>
            <w:r/>
            <w:r>
              <w:rPr>
                <w:sz w:val="16"/>
              </w:rPr>
              <w:t>1.09</w:t>
            </w:r>
          </w:p>
        </w:tc>
        <w:tc>
          <w:tcPr>
            <w:tcW w:w="650" w:type="dxa"/>
          </w:tcPr>
          <w:p>
            <w:pPr>
              <w:jc w:val="right"/>
              <w:spacing w:before="10" w:after="10"/>
            </w:pPr>
            <w:r/>
            <w:r>
              <w:rPr>
                <w:sz w:val="16"/>
              </w:rPr>
              <w:t>$14.24</w:t>
            </w:r>
          </w:p>
        </w:tc>
        <w:tc>
          <w:tcPr>
            <w:tcW w:w="650" w:type="dxa"/>
          </w:tcPr>
          <w:p>
            <w:pPr>
              <w:jc w:val="right"/>
              <w:spacing w:before="10" w:after="10"/>
            </w:pPr>
            <w:r/>
            <w:r>
              <w:rPr>
                <w:sz w:val="16"/>
              </w:rPr>
              <w:t>500</w:t>
            </w:r>
          </w:p>
        </w:tc>
        <w:tc>
          <w:tcPr>
            <w:tcW w:w="550" w:type="dxa"/>
          </w:tcPr>
          <w:p>
            <w:pPr>
              <w:jc w:val="right"/>
              <w:spacing w:before="10" w:after="10"/>
            </w:pPr>
            <w:r/>
            <w:r>
              <w:rPr>
                <w:sz w:val="16"/>
              </w:rPr>
              <w:t>0.4</w:t>
            </w:r>
          </w:p>
        </w:tc>
        <w:tc>
          <w:tcPr>
            <w:tcW w:w="700" w:type="dxa"/>
          </w:tcPr>
          <w:p>
            <w:pPr>
              <w:jc w:val="right"/>
              <w:spacing w:before="10" w:after="10"/>
            </w:pPr>
            <w:r/>
            <w:r>
              <w:rPr>
                <w:sz w:val="16"/>
              </w:rPr>
              <w:t>$1.56</w:t>
            </w:r>
          </w:p>
        </w:tc>
        <w:tc>
          <w:tcPr>
            <w:tcW w:w="750" w:type="dxa"/>
          </w:tcPr>
          <w:p>
            <w:pPr>
              <w:jc w:val="right"/>
              <w:spacing w:before="10" w:after="10"/>
            </w:pPr>
            <w:r>
              <w:rPr>
                <w:b/>
              </w:rPr>
            </w:r>
            <w:r>
              <w:rPr>
                <w:sz w:val="16"/>
                <w:b/>
              </w:rPr>
              <w:t>$0.163</w:t>
            </w:r>
          </w:p>
        </w:tc>
      </w:tr>
      <w:tr>
        <w:tc>
          <w:tcPr>
            <w:tcW w:w="1500" w:type="dxa"/>
          </w:tcPr>
          <w:p>
            <w:pPr>
              <w:spacing w:before="10" w:after="10"/>
            </w:pPr>
            <w:r/>
            <w:r>
              <w:rPr>
                <w:sz w:val="16"/>
              </w:rPr>
              <w:t>Greece</w:t>
            </w:r>
          </w:p>
        </w:tc>
        <w:tc>
          <w:tcPr>
            <w:tcW w:w="650" w:type="dxa"/>
          </w:tcPr>
          <w:p>
            <w:pPr>
              <w:spacing w:before="10" w:after="10"/>
            </w:pPr>
            <w:r/>
            <w:r>
              <w:rPr>
                <w:sz w:val="16"/>
              </w:rPr>
              <w:t>$0.165</w:t>
            </w:r>
          </w:p>
        </w:tc>
        <w:tc>
          <w:tcPr>
            <w:tcW w:w="550" w:type="dxa"/>
          </w:tcPr>
          <w:p>
            <w:pPr>
              <w:jc w:val="right"/>
              <w:spacing w:before="10" w:after="10"/>
            </w:pPr>
            <w:r/>
            <w:r>
              <w:rPr>
                <w:sz w:val="16"/>
              </w:rPr>
              <w:t>26.1</w:t>
            </w:r>
          </w:p>
        </w:tc>
        <w:tc>
          <w:tcPr>
            <w:tcW w:w="500" w:type="dxa"/>
          </w:tcPr>
          <w:p>
            <w:pPr>
              <w:jc w:val="right"/>
              <w:spacing w:before="10" w:after="10"/>
            </w:pPr>
            <w:r/>
            <w:r>
              <w:rPr>
                <w:sz w:val="16"/>
              </w:rPr>
              <w:t>1.25</w:t>
            </w:r>
          </w:p>
        </w:tc>
        <w:tc>
          <w:tcPr>
            <w:tcW w:w="650" w:type="dxa"/>
          </w:tcPr>
          <w:p>
            <w:pPr>
              <w:jc w:val="right"/>
              <w:spacing w:before="10" w:after="10"/>
            </w:pPr>
            <w:r/>
            <w:r>
              <w:rPr>
                <w:sz w:val="16"/>
              </w:rPr>
              <w:t>$7.84</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$0.191</w:t>
            </w:r>
          </w:p>
        </w:tc>
      </w:tr>
      <w:tr>
        <w:tc>
          <w:tcPr>
            <w:tcW w:w="1500" w:type="dxa"/>
          </w:tcPr>
          <w:p>
            <w:pPr>
              <w:spacing w:before="10" w:after="10"/>
            </w:pPr>
            <w:r/>
            <w:r>
              <w:rPr>
                <w:sz w:val="16"/>
              </w:rPr>
              <w:t>Bulgaria</w:t>
            </w:r>
          </w:p>
        </w:tc>
        <w:tc>
          <w:tcPr>
            <w:tcW w:w="650" w:type="dxa"/>
          </w:tcPr>
          <w:p>
            <w:pPr>
              <w:spacing w:before="10" w:after="10"/>
            </w:pPr>
            <w:r/>
            <w:r>
              <w:rPr>
                <w:sz w:val="16"/>
              </w:rPr>
              <w:t>$0.155</w:t>
            </w:r>
          </w:p>
        </w:tc>
        <w:tc>
          <w:tcPr>
            <w:tcW w:w="550" w:type="dxa"/>
          </w:tcPr>
          <w:p>
            <w:pPr>
              <w:jc w:val="right"/>
              <w:spacing w:before="10" w:after="10"/>
            </w:pPr>
            <w:r/>
            <w:r>
              <w:rPr>
                <w:sz w:val="16"/>
              </w:rPr>
              <w:t>23.9</w:t>
            </w:r>
          </w:p>
        </w:tc>
        <w:tc>
          <w:tcPr>
            <w:tcW w:w="500" w:type="dxa"/>
          </w:tcPr>
          <w:p>
            <w:pPr>
              <w:jc w:val="right"/>
              <w:spacing w:before="10" w:after="10"/>
            </w:pPr>
            <w:r/>
            <w:r>
              <w:rPr>
                <w:sz w:val="16"/>
              </w:rPr>
              <w:t>1.21</w:t>
            </w:r>
          </w:p>
        </w:tc>
        <w:tc>
          <w:tcPr>
            <w:tcW w:w="650" w:type="dxa"/>
          </w:tcPr>
          <w:p>
            <w:pPr>
              <w:jc w:val="right"/>
              <w:spacing w:before="10" w:after="10"/>
            </w:pPr>
            <w:r/>
            <w:r>
              <w:rPr>
                <w:sz w:val="16"/>
              </w:rPr>
              <w:t>$10.31</w:t>
            </w:r>
          </w:p>
        </w:tc>
        <w:tc>
          <w:tcPr>
            <w:tcW w:w="650" w:type="dxa"/>
          </w:tcPr>
          <w:p>
            <w:pPr>
              <w:jc w:val="right"/>
              <w:spacing w:before="10" w:after="10"/>
            </w:pPr>
            <w:r/>
            <w:r>
              <w:rPr>
                <w:sz w:val="16"/>
              </w:rPr>
              <w:t>75</w:t>
            </w:r>
          </w:p>
        </w:tc>
        <w:tc>
          <w:tcPr>
            <w:tcW w:w="550" w:type="dxa"/>
          </w:tcPr>
          <w:p>
            <w:pPr>
              <w:jc w:val="right"/>
              <w:spacing w:before="10" w:after="10"/>
            </w:pPr>
            <w:r/>
            <w:r>
              <w:rPr>
                <w:sz w:val="16"/>
              </w:rPr>
              <w:t>0.1</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$0.182</w:t>
            </w:r>
          </w:p>
        </w:tc>
      </w:tr>
      <w:tr>
        <w:tc>
          <w:tcPr>
            <w:tcW w:w="1500" w:type="dxa"/>
          </w:tcPr>
          <w:p>
            <w:pPr>
              <w:spacing w:before="10" w:after="10"/>
            </w:pPr>
            <w:r/>
            <w:r>
              <w:rPr>
                <w:sz w:val="16"/>
              </w:rPr>
              <w:t>Italy</w:t>
            </w:r>
          </w:p>
        </w:tc>
        <w:tc>
          <w:tcPr>
            <w:tcW w:w="650" w:type="dxa"/>
          </w:tcPr>
          <w:p>
            <w:pPr>
              <w:spacing w:before="10" w:after="10"/>
            </w:pPr>
            <w:r/>
            <w:r>
              <w:rPr>
                <w:sz w:val="16"/>
              </w:rPr>
              <w:t>$0.162</w:t>
            </w:r>
          </w:p>
        </w:tc>
        <w:tc>
          <w:tcPr>
            <w:tcW w:w="550" w:type="dxa"/>
          </w:tcPr>
          <w:p>
            <w:pPr>
              <w:jc w:val="right"/>
              <w:spacing w:before="10" w:after="10"/>
            </w:pPr>
            <w:r/>
            <w:r>
              <w:rPr>
                <w:sz w:val="16"/>
              </w:rPr>
              <w:t>24.0</w:t>
            </w:r>
          </w:p>
        </w:tc>
        <w:tc>
          <w:tcPr>
            <w:tcW w:w="500" w:type="dxa"/>
          </w:tcPr>
          <w:p>
            <w:pPr>
              <w:jc w:val="right"/>
              <w:spacing w:before="10" w:after="10"/>
            </w:pPr>
            <w:r/>
            <w:r>
              <w:rPr>
                <w:sz w:val="16"/>
              </w:rPr>
              <w:t>1.22</w:t>
            </w:r>
          </w:p>
        </w:tc>
        <w:tc>
          <w:tcPr>
            <w:tcW w:w="650" w:type="dxa"/>
          </w:tcPr>
          <w:p>
            <w:pPr>
              <w:jc w:val="right"/>
              <w:spacing w:before="10" w:after="10"/>
            </w:pPr>
            <w:r/>
            <w:r>
              <w:rPr>
                <w:sz w:val="16"/>
              </w:rPr>
              <w:t>$9.79</w:t>
            </w:r>
          </w:p>
        </w:tc>
        <w:tc>
          <w:tcPr>
            <w:tcW w:w="650" w:type="dxa"/>
          </w:tcPr>
          <w:p>
            <w:pPr>
              <w:jc w:val="right"/>
              <w:spacing w:before="10" w:after="10"/>
            </w:pPr>
            <w:r/>
            <w:r>
              <w:rPr>
                <w:sz w:val="16"/>
              </w:rPr>
              <w:t>850</w:t>
            </w:r>
          </w:p>
        </w:tc>
        <w:tc>
          <w:tcPr>
            <w:tcW w:w="550" w:type="dxa"/>
          </w:tcPr>
          <w:p>
            <w:pPr>
              <w:jc w:val="right"/>
              <w:spacing w:before="10" w:after="10"/>
            </w:pPr>
            <w:r/>
            <w:r>
              <w:rPr>
                <w:sz w:val="16"/>
              </w:rPr>
              <w:t>0.7</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$0.190</w:t>
            </w:r>
          </w:p>
        </w:tc>
      </w:tr>
      <w:tr>
        <w:tc>
          <w:tcPr>
            <w:tcW w:w="1500" w:type="dxa"/>
          </w:tcPr>
          <w:p>
            <w:pPr>
              <w:spacing w:before="10" w:after="10"/>
            </w:pPr>
            <w:r/>
            <w:r>
              <w:rPr>
                <w:sz w:val="16"/>
              </w:rPr>
              <w:t>Singapore</w:t>
            </w:r>
          </w:p>
        </w:tc>
        <w:tc>
          <w:tcPr>
            <w:tcW w:w="650" w:type="dxa"/>
          </w:tcPr>
          <w:p>
            <w:pPr>
              <w:spacing w:before="10" w:after="10"/>
            </w:pPr>
            <w:r/>
            <w:r>
              <w:rPr>
                <w:sz w:val="16"/>
              </w:rPr>
              <w:t>$0.145</w:t>
            </w:r>
          </w:p>
        </w:tc>
        <w:tc>
          <w:tcPr>
            <w:tcW w:w="550" w:type="dxa"/>
          </w:tcPr>
          <w:p>
            <w:pPr>
              <w:jc w:val="right"/>
              <w:spacing w:before="10" w:after="10"/>
            </w:pPr>
            <w:r/>
            <w:r>
              <w:rPr>
                <w:sz w:val="16"/>
              </w:rPr>
              <w:t>28.5</w:t>
            </w:r>
          </w:p>
        </w:tc>
        <w:tc>
          <w:tcPr>
            <w:tcW w:w="500" w:type="dxa"/>
          </w:tcPr>
          <w:p>
            <w:pPr>
              <w:jc w:val="right"/>
              <w:spacing w:before="10" w:after="10"/>
            </w:pPr>
            <w:r/>
            <w:r>
              <w:rPr>
                <w:sz w:val="16"/>
              </w:rPr>
              <w:t>1.28</w:t>
            </w:r>
          </w:p>
        </w:tc>
        <w:tc>
          <w:tcPr>
            <w:tcW w:w="650" w:type="dxa"/>
          </w:tcPr>
          <w:p>
            <w:pPr>
              <w:jc w:val="right"/>
              <w:spacing w:before="10" w:after="10"/>
            </w:pPr>
            <w:r/>
            <w:r>
              <w:rPr>
                <w:sz w:val="16"/>
              </w:rPr>
              <w:t>$14.53</w:t>
            </w:r>
          </w:p>
        </w:tc>
        <w:tc>
          <w:tcPr>
            <w:tcW w:w="650" w:type="dxa"/>
          </w:tcPr>
          <w:p>
            <w:pPr>
              <w:jc w:val="right"/>
              <w:spacing w:before="10" w:after="10"/>
            </w:pPr>
            <w:r/>
            <w:r>
              <w:rPr>
                <w:sz w:val="16"/>
              </w:rPr>
              <w:t>1,130</w:t>
            </w:r>
          </w:p>
        </w:tc>
        <w:tc>
          <w:tcPr>
            <w:tcW w:w="550" w:type="dxa"/>
          </w:tcPr>
          <w:p>
            <w:pPr>
              <w:jc w:val="right"/>
              <w:spacing w:before="10" w:after="10"/>
            </w:pPr>
            <w:r/>
            <w:r>
              <w:rPr>
                <w:sz w:val="16"/>
              </w:rPr>
              <w:t>0.9</w:t>
            </w:r>
          </w:p>
        </w:tc>
        <w:tc>
          <w:tcPr>
            <w:tcW w:w="700" w:type="dxa"/>
          </w:tcPr>
          <w:p>
            <w:pPr>
              <w:jc w:val="right"/>
              <w:spacing w:before="10" w:after="10"/>
            </w:pPr>
            <w:r/>
            <w:r>
              <w:rPr>
                <w:sz w:val="16"/>
              </w:rPr>
              <w:t>$1.57</w:t>
            </w:r>
          </w:p>
        </w:tc>
        <w:tc>
          <w:tcPr>
            <w:tcW w:w="750" w:type="dxa"/>
          </w:tcPr>
          <w:p>
            <w:pPr>
              <w:jc w:val="right"/>
              <w:spacing w:before="10" w:after="10"/>
            </w:pPr>
            <w:r>
              <w:rPr>
                <w:b/>
              </w:rPr>
            </w:r>
            <w:r>
              <w:rPr>
                <w:sz w:val="16"/>
                <w:b/>
              </w:rPr>
              <w:t>$0.152</w:t>
            </w:r>
          </w:p>
        </w:tc>
      </w:tr>
      <w:tr>
        <w:tc>
          <w:tcPr>
            <w:tcW w:w="1500" w:type="dxa"/>
          </w:tcPr>
          <w:p>
            <w:pPr>
              <w:spacing w:before="10" w:after="10"/>
            </w:pPr>
            <w:r/>
            <w:r>
              <w:rPr>
                <w:sz w:val="16"/>
              </w:rPr>
              <w:t>Hungary</w:t>
            </w:r>
          </w:p>
        </w:tc>
        <w:tc>
          <w:tcPr>
            <w:tcW w:w="650" w:type="dxa"/>
          </w:tcPr>
          <w:p>
            <w:pPr>
              <w:spacing w:before="10" w:after="10"/>
            </w:pPr>
            <w:r/>
            <w:r>
              <w:rPr>
                <w:sz w:val="16"/>
              </w:rPr>
              <w:t>$0.176</w:t>
            </w:r>
          </w:p>
        </w:tc>
        <w:tc>
          <w:tcPr>
            <w:tcW w:w="550" w:type="dxa"/>
          </w:tcPr>
          <w:p>
            <w:pPr>
              <w:jc w:val="right"/>
              <w:spacing w:before="10" w:after="10"/>
            </w:pPr>
            <w:r/>
            <w:r>
              <w:rPr>
                <w:sz w:val="16"/>
              </w:rPr>
              <w:t>23.6</w:t>
            </w:r>
          </w:p>
        </w:tc>
        <w:tc>
          <w:tcPr>
            <w:tcW w:w="500" w:type="dxa"/>
          </w:tcPr>
          <w:p>
            <w:pPr>
              <w:jc w:val="right"/>
              <w:spacing w:before="10" w:after="10"/>
            </w:pPr>
            <w:r/>
            <w:r>
              <w:rPr>
                <w:sz w:val="16"/>
              </w:rPr>
              <w:t>1.21</w:t>
            </w:r>
          </w:p>
        </w:tc>
        <w:tc>
          <w:tcPr>
            <w:tcW w:w="650" w:type="dxa"/>
          </w:tcPr>
          <w:p>
            <w:pPr>
              <w:jc w:val="right"/>
              <w:spacing w:before="10" w:after="10"/>
            </w:pPr>
            <w:r/>
            <w:r>
              <w:rPr>
                <w:sz w:val="16"/>
              </w:rPr>
              <w:t>$10.73</w:t>
            </w:r>
          </w:p>
        </w:tc>
        <w:tc>
          <w:tcPr>
            <w:tcW w:w="650" w:type="dxa"/>
          </w:tcPr>
          <w:p>
            <w:pPr>
              <w:jc w:val="right"/>
              <w:spacing w:before="10" w:after="10"/>
            </w:pPr>
            <w:r/>
            <w:r>
              <w:rPr>
                <w:sz w:val="16"/>
              </w:rPr>
              <w:t>50</w:t>
            </w:r>
          </w:p>
        </w:tc>
        <w:tc>
          <w:tcPr>
            <w:tcW w:w="550" w:type="dxa"/>
          </w:tcPr>
          <w:p>
            <w:pPr>
              <w:jc w:val="right"/>
              <w:spacing w:before="10" w:after="10"/>
            </w:pPr>
            <w:r/>
            <w:r>
              <w:rPr>
                <w:sz w:val="16"/>
              </w:rPr>
              <w:t>0.0</w:t>
            </w:r>
          </w:p>
        </w:tc>
        <w:tc>
          <w:tcPr>
            <w:tcW w:w="700" w:type="dxa"/>
          </w:tcPr>
          <w:p>
            <w:pPr>
              <w:jc w:val="right"/>
              <w:spacing w:before="10" w:after="10"/>
            </w:pPr>
            <w:r/>
            <w:r>
              <w:rPr>
                <w:sz w:val="16"/>
              </w:rPr>
              <w:t>$1.56</w:t>
            </w:r>
          </w:p>
        </w:tc>
        <w:tc>
          <w:tcPr>
            <w:tcW w:w="750" w:type="dxa"/>
          </w:tcPr>
          <w:p>
            <w:pPr>
              <w:jc w:val="right"/>
              <w:spacing w:before="10" w:after="10"/>
            </w:pPr>
            <w:r>
              <w:rPr>
                <w:b/>
              </w:rPr>
            </w:r>
            <w:r>
              <w:rPr>
                <w:sz w:val="16"/>
                <w:b/>
              </w:rPr>
              <w:t>$0.192</w:t>
            </w:r>
          </w:p>
        </w:tc>
      </w:tr>
      <w:tr>
        <w:tc>
          <w:tcPr>
            <w:tcW w:w="1500" w:type="dxa"/>
          </w:tcPr>
          <w:p>
            <w:pPr>
              <w:spacing w:before="10" w:after="10"/>
            </w:pPr>
            <w:r/>
            <w:r>
              <w:rPr>
                <w:sz w:val="16"/>
              </w:rPr>
              <w:t>Czechia</w:t>
            </w:r>
          </w:p>
        </w:tc>
        <w:tc>
          <w:tcPr>
            <w:tcW w:w="650" w:type="dxa"/>
          </w:tcPr>
          <w:p>
            <w:pPr>
              <w:spacing w:before="10" w:after="10"/>
            </w:pPr>
            <w:r/>
            <w:r>
              <w:rPr>
                <w:sz w:val="16"/>
              </w:rPr>
              <w:t>$0.172</w:t>
            </w:r>
          </w:p>
        </w:tc>
        <w:tc>
          <w:tcPr>
            <w:tcW w:w="550" w:type="dxa"/>
          </w:tcPr>
          <w:p>
            <w:pPr>
              <w:jc w:val="right"/>
              <w:spacing w:before="10" w:after="10"/>
            </w:pPr>
            <w:r/>
            <w:r>
              <w:rPr>
                <w:sz w:val="16"/>
              </w:rPr>
              <w:t>19.1</w:t>
            </w:r>
          </w:p>
        </w:tc>
        <w:tc>
          <w:tcPr>
            <w:tcW w:w="500" w:type="dxa"/>
          </w:tcPr>
          <w:p>
            <w:pPr>
              <w:jc w:val="right"/>
              <w:spacing w:before="10" w:after="10"/>
            </w:pPr>
            <w:r/>
            <w:r>
              <w:rPr>
                <w:sz w:val="16"/>
              </w:rPr>
              <w:t>1.14</w:t>
            </w:r>
          </w:p>
        </w:tc>
        <w:tc>
          <w:tcPr>
            <w:tcW w:w="650" w:type="dxa"/>
          </w:tcPr>
          <w:p>
            <w:pPr>
              <w:jc w:val="right"/>
              <w:spacing w:before="10" w:after="10"/>
            </w:pPr>
            <w:r/>
            <w:r>
              <w:rPr>
                <w:sz w:val="16"/>
              </w:rPr>
              <w:t>$10.93</w:t>
            </w:r>
          </w:p>
        </w:tc>
        <w:tc>
          <w:tcPr>
            <w:tcW w:w="650" w:type="dxa"/>
          </w:tcPr>
          <w:p>
            <w:pPr>
              <w:jc w:val="right"/>
              <w:spacing w:before="10" w:after="10"/>
            </w:pPr>
            <w:r/>
            <w:r>
              <w:rPr>
                <w:sz w:val="16"/>
              </w:rPr>
              <w:t>130</w:t>
            </w:r>
          </w:p>
        </w:tc>
        <w:tc>
          <w:tcPr>
            <w:tcW w:w="550" w:type="dxa"/>
          </w:tcPr>
          <w:p>
            <w:pPr>
              <w:jc w:val="right"/>
              <w:spacing w:before="10" w:after="10"/>
            </w:pPr>
            <w:r/>
            <w:r>
              <w:rPr>
                <w:sz w:val="16"/>
              </w:rPr>
              <w:t>0.1</w:t>
            </w:r>
          </w:p>
        </w:tc>
        <w:tc>
          <w:tcPr>
            <w:tcW w:w="700" w:type="dxa"/>
          </w:tcPr>
          <w:p>
            <w:pPr>
              <w:jc w:val="right"/>
              <w:spacing w:before="10" w:after="10"/>
            </w:pPr>
            <w:r/>
            <w:r>
              <w:rPr>
                <w:sz w:val="16"/>
              </w:rPr>
              <w:t>$1.55</w:t>
            </w:r>
          </w:p>
        </w:tc>
        <w:tc>
          <w:tcPr>
            <w:tcW w:w="750" w:type="dxa"/>
          </w:tcPr>
          <w:p>
            <w:pPr>
              <w:jc w:val="right"/>
              <w:spacing w:before="10" w:after="10"/>
            </w:pPr>
            <w:r>
              <w:rPr>
                <w:b/>
              </w:rPr>
            </w:r>
            <w:r>
              <w:rPr>
                <w:sz w:val="16"/>
                <w:b/>
              </w:rPr>
              <w:t>$0.203</w:t>
            </w:r>
          </w:p>
        </w:tc>
      </w:tr>
      <w:tr>
        <w:tc>
          <w:tcPr>
            <w:tcW w:w="1500" w:type="dxa"/>
          </w:tcPr>
          <w:p>
            <w:pPr>
              <w:spacing w:before="10" w:after="10"/>
            </w:pPr>
            <w:r/>
            <w:r>
              <w:rPr>
                <w:sz w:val="16"/>
              </w:rPr>
              <w:t>Senegal</w:t>
            </w:r>
          </w:p>
        </w:tc>
        <w:tc>
          <w:tcPr>
            <w:tcW w:w="650" w:type="dxa"/>
          </w:tcPr>
          <w:p>
            <w:pPr>
              <w:spacing w:before="10" w:after="10"/>
            </w:pPr>
            <w:r/>
            <w:r>
              <w:rPr>
                <w:sz w:val="16"/>
              </w:rPr>
              <w:t>$0.180</w:t>
            </w:r>
          </w:p>
        </w:tc>
        <w:tc>
          <w:tcPr>
            <w:tcW w:w="550" w:type="dxa"/>
          </w:tcPr>
          <w:p>
            <w:pPr>
              <w:jc w:val="right"/>
              <w:spacing w:before="10" w:after="10"/>
            </w:pPr>
            <w:r/>
            <w:r>
              <w:rPr>
                <w:sz w:val="16"/>
              </w:rPr>
              <w:t>32.4</w:t>
            </w:r>
          </w:p>
        </w:tc>
        <w:tc>
          <w:tcPr>
            <w:tcW w:w="500" w:type="dxa"/>
          </w:tcPr>
          <w:p>
            <w:pPr>
              <w:jc w:val="right"/>
              <w:spacing w:before="10" w:after="10"/>
            </w:pPr>
            <w:r/>
            <w:r>
              <w:rPr>
                <w:sz w:val="16"/>
              </w:rPr>
              <w:t>1.34</w:t>
            </w:r>
          </w:p>
        </w:tc>
        <w:tc>
          <w:tcPr>
            <w:tcW w:w="650" w:type="dxa"/>
          </w:tcPr>
          <w:p>
            <w:pPr>
              <w:jc w:val="right"/>
              <w:spacing w:before="10" w:after="10"/>
            </w:pPr>
            <w:r/>
            <w:r>
              <w:rPr>
                <w:sz w:val="16"/>
              </w:rPr>
              <w:t>$10.50</w:t>
            </w:r>
          </w:p>
        </w:tc>
        <w:tc>
          <w:tcPr>
            <w:tcW w:w="650" w:type="dxa"/>
          </w:tcPr>
          <w:p>
            <w:pPr>
              <w:jc w:val="right"/>
              <w:spacing w:before="10" w:after="10"/>
            </w:pPr>
            <w:r/>
            <w:r>
              <w:rPr>
                <w:sz w:val="16"/>
              </w:rPr>
              <w:t>10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
              <w:rPr>
                <w:sz w:val="16"/>
              </w:rPr>
              <w:t>$0.180</w:t>
            </w:r>
          </w:p>
        </w:tc>
      </w:tr>
      <w:tr>
        <w:tc>
          <w:tcPr>
            <w:tcW w:w="1500" w:type="dxa"/>
          </w:tcPr>
          <w:p>
            <w:pPr>
              <w:spacing w:before="10" w:after="10"/>
            </w:pPr>
            <w:r/>
            <w:r>
              <w:rPr>
                <w:sz w:val="16"/>
              </w:rPr>
              <w:t>Croatia</w:t>
            </w:r>
          </w:p>
        </w:tc>
        <w:tc>
          <w:tcPr>
            <w:tcW w:w="650" w:type="dxa"/>
          </w:tcPr>
          <w:p>
            <w:pPr>
              <w:spacing w:before="10" w:after="10"/>
            </w:pPr>
            <w:r/>
            <w:r>
              <w:rPr>
                <w:sz w:val="16"/>
              </w:rPr>
              <w:t>$0.206</w:t>
            </w:r>
          </w:p>
        </w:tc>
        <w:tc>
          <w:tcPr>
            <w:tcW w:w="550" w:type="dxa"/>
          </w:tcPr>
          <w:p>
            <w:pPr>
              <w:jc w:val="right"/>
              <w:spacing w:before="10" w:after="10"/>
            </w:pPr>
            <w:r/>
            <w:r>
              <w:rPr>
                <w:sz w:val="16"/>
              </w:rPr>
              <w:t>23.7</w:t>
            </w:r>
          </w:p>
        </w:tc>
        <w:tc>
          <w:tcPr>
            <w:tcW w:w="500" w:type="dxa"/>
          </w:tcPr>
          <w:p>
            <w:pPr>
              <w:jc w:val="right"/>
              <w:spacing w:before="10" w:after="10"/>
            </w:pPr>
            <w:r/>
            <w:r>
              <w:rPr>
                <w:sz w:val="16"/>
              </w:rPr>
              <w:t>1.21</w:t>
            </w:r>
          </w:p>
        </w:tc>
        <w:tc>
          <w:tcPr>
            <w:tcW w:w="650" w:type="dxa"/>
          </w:tcPr>
          <w:p>
            <w:pPr>
              <w:jc w:val="right"/>
              <w:spacing w:before="10" w:after="10"/>
            </w:pPr>
            <w:r/>
            <w:r>
              <w:rPr>
                <w:sz w:val="16"/>
              </w:rPr>
              <w:t>$9.77</w:t>
            </w:r>
          </w:p>
        </w:tc>
        <w:tc>
          <w:tcPr>
            <w:tcW w:w="650" w:type="dxa"/>
          </w:tcPr>
          <w:p>
            <w:pPr>
              <w:jc w:val="right"/>
              <w:spacing w:before="10" w:after="10"/>
            </w:pPr>
            <w:r/>
            <w:r>
              <w:rPr>
                <w:sz w:val="16"/>
              </w:rPr>
              <w:t>30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Pr>
                <w:b/>
              </w:rPr>
            </w:r>
            <w:r>
              <w:rPr>
                <w:sz w:val="16"/>
                <w:b/>
              </w:rPr>
              <w:t>$0.218</w:t>
            </w:r>
          </w:p>
        </w:tc>
      </w:tr>
      <w:tr>
        <w:tc>
          <w:tcPr>
            <w:tcW w:w="1500" w:type="dxa"/>
          </w:tcPr>
          <w:p>
            <w:pPr>
              <w:spacing w:before="10" w:after="10"/>
            </w:pPr>
            <w:r/>
            <w:r>
              <w:rPr>
                <w:sz w:val="16"/>
              </w:rPr>
              <w:t>Germany</w:t>
            </w:r>
          </w:p>
        </w:tc>
        <w:tc>
          <w:tcPr>
            <w:tcW w:w="650" w:type="dxa"/>
          </w:tcPr>
          <w:p>
            <w:pPr>
              <w:spacing w:before="10" w:after="10"/>
            </w:pPr>
            <w:r/>
            <w:r>
              <w:rPr>
                <w:sz w:val="16"/>
              </w:rPr>
              <w:t>$0.155</w:t>
            </w:r>
          </w:p>
        </w:tc>
        <w:tc>
          <w:tcPr>
            <w:tcW w:w="550" w:type="dxa"/>
          </w:tcPr>
          <w:p>
            <w:pPr>
              <w:jc w:val="right"/>
              <w:spacing w:before="10" w:after="10"/>
            </w:pPr>
            <w:r/>
            <w:r>
              <w:rPr>
                <w:sz w:val="16"/>
              </w:rPr>
              <w:t>19.0</w:t>
            </w:r>
          </w:p>
        </w:tc>
        <w:tc>
          <w:tcPr>
            <w:tcW w:w="500" w:type="dxa"/>
          </w:tcPr>
          <w:p>
            <w:pPr>
              <w:jc w:val="right"/>
              <w:spacing w:before="10" w:after="10"/>
            </w:pPr>
            <w:r/>
            <w:r>
              <w:rPr>
                <w:sz w:val="16"/>
              </w:rPr>
              <w:t>1.14</w:t>
            </w:r>
          </w:p>
        </w:tc>
        <w:tc>
          <w:tcPr>
            <w:tcW w:w="650" w:type="dxa"/>
          </w:tcPr>
          <w:p>
            <w:pPr>
              <w:jc w:val="right"/>
              <w:spacing w:before="10" w:after="10"/>
            </w:pPr>
            <w:r/>
            <w:r>
              <w:rPr>
                <w:sz w:val="16"/>
              </w:rPr>
              <w:t>$11.54</w:t>
            </w:r>
          </w:p>
        </w:tc>
        <w:tc>
          <w:tcPr>
            <w:tcW w:w="650" w:type="dxa"/>
          </w:tcPr>
          <w:p>
            <w:pPr>
              <w:jc w:val="right"/>
              <w:spacing w:before="10" w:after="10"/>
            </w:pPr>
            <w:r/>
            <w:r>
              <w:rPr>
                <w:sz w:val="16"/>
              </w:rPr>
              <w:t>1,955</w:t>
            </w:r>
          </w:p>
        </w:tc>
        <w:tc>
          <w:tcPr>
            <w:tcW w:w="550" w:type="dxa"/>
          </w:tcPr>
          <w:p>
            <w:pPr>
              <w:jc w:val="right"/>
              <w:spacing w:before="10" w:after="10"/>
            </w:pPr>
            <w:r/>
            <w:r>
              <w:rPr>
                <w:sz w:val="16"/>
              </w:rPr>
              <w:t>1.6</w:t>
            </w:r>
          </w:p>
        </w:tc>
        <w:tc>
          <w:tcPr>
            <w:tcW w:w="700" w:type="dxa"/>
          </w:tcPr>
          <w:p>
            <w:pPr>
              <w:jc w:val="right"/>
              <w:spacing w:before="10" w:after="10"/>
            </w:pPr>
            <w:r/>
            <w:r>
              <w:rPr>
                <w:sz w:val="16"/>
              </w:rPr>
              <w:t>$1.54</w:t>
            </w:r>
          </w:p>
        </w:tc>
        <w:tc>
          <w:tcPr>
            <w:tcW w:w="750" w:type="dxa"/>
          </w:tcPr>
          <w:p>
            <w:pPr>
              <w:jc w:val="right"/>
              <w:spacing w:before="10" w:after="10"/>
            </w:pPr>
            <w:r>
              <w:rPr>
                <w:b/>
              </w:rPr>
            </w:r>
            <w:r>
              <w:rPr>
                <w:sz w:val="16"/>
                <w:b/>
              </w:rPr>
              <w:t>$0.220</w:t>
            </w:r>
          </w:p>
        </w:tc>
      </w:tr>
      <w:tr>
        <w:tc>
          <w:tcPr>
            <w:tcW w:w="1500" w:type="dxa"/>
          </w:tcPr>
          <w:p>
            <w:pPr>
              <w:spacing w:before="10" w:after="10"/>
            </w:pPr>
            <w:r/>
            <w:r>
              <w:rPr>
                <w:sz w:val="16"/>
              </w:rPr>
              <w:t>Ireland</w:t>
            </w:r>
          </w:p>
        </w:tc>
        <w:tc>
          <w:tcPr>
            <w:tcW w:w="650" w:type="dxa"/>
          </w:tcPr>
          <w:p>
            <w:pPr>
              <w:spacing w:before="10" w:after="10"/>
            </w:pPr>
            <w:r/>
            <w:r>
              <w:rPr>
                <w:sz w:val="16"/>
              </w:rPr>
              <w:t>$0.228</w:t>
            </w:r>
          </w:p>
        </w:tc>
        <w:tc>
          <w:tcPr>
            <w:tcW w:w="550" w:type="dxa"/>
          </w:tcPr>
          <w:p>
            <w:pPr>
              <w:jc w:val="right"/>
              <w:spacing w:before="10" w:after="10"/>
            </w:pPr>
            <w:r/>
            <w:r>
              <w:rPr>
                <w:sz w:val="16"/>
              </w:rPr>
              <w:t>15.3</w:t>
            </w:r>
          </w:p>
        </w:tc>
        <w:tc>
          <w:tcPr>
            <w:tcW w:w="500" w:type="dxa"/>
          </w:tcPr>
          <w:p>
            <w:pPr>
              <w:jc w:val="right"/>
              <w:spacing w:before="10" w:after="10"/>
            </w:pPr>
            <w:r/>
            <w:r>
              <w:rPr>
                <w:sz w:val="16"/>
              </w:rPr>
              <w:t>1.08</w:t>
            </w:r>
          </w:p>
        </w:tc>
        <w:tc>
          <w:tcPr>
            <w:tcW w:w="650" w:type="dxa"/>
          </w:tcPr>
          <w:p>
            <w:pPr>
              <w:jc w:val="right"/>
              <w:spacing w:before="10" w:after="10"/>
            </w:pPr>
            <w:r/>
            <w:r>
              <w:rPr>
                <w:sz w:val="16"/>
              </w:rPr>
              <w:t>$10.05</w:t>
            </w:r>
          </w:p>
        </w:tc>
        <w:tc>
          <w:tcPr>
            <w:tcW w:w="650" w:type="dxa"/>
          </w:tcPr>
          <w:p>
            <w:pPr>
              <w:jc w:val="right"/>
              <w:spacing w:before="10" w:after="10"/>
            </w:pPr>
            <w:r/>
            <w:r>
              <w:rPr>
                <w:sz w:val="16"/>
              </w:rPr>
              <w:t>1,260</w:t>
            </w:r>
          </w:p>
        </w:tc>
        <w:tc>
          <w:tcPr>
            <w:tcW w:w="550" w:type="dxa"/>
          </w:tcPr>
          <w:p>
            <w:pPr>
              <w:jc w:val="right"/>
              <w:spacing w:before="10" w:after="10"/>
            </w:pPr>
            <w:r/>
            <w:r>
              <w:rPr>
                <w:sz w:val="16"/>
              </w:rPr>
              <w:t>1.0</w:t>
            </w:r>
          </w:p>
        </w:tc>
        <w:tc>
          <w:tcPr>
            <w:tcW w:w="700" w:type="dxa"/>
          </w:tcPr>
          <w:p>
            <w:pPr>
              <w:jc w:val="right"/>
              <w:spacing w:before="10" w:after="10"/>
            </w:pPr>
            <w:r/>
            <w:r>
              <w:rPr>
                <w:sz w:val="16"/>
              </w:rPr>
              <w:t>$1.58</w:t>
            </w:r>
          </w:p>
        </w:tc>
        <w:tc>
          <w:tcPr>
            <w:tcW w:w="750" w:type="dxa"/>
          </w:tcPr>
          <w:p>
            <w:pPr>
              <w:jc w:val="right"/>
              <w:spacing w:before="10" w:after="10"/>
            </w:pPr>
            <w:r>
              <w:rPr>
                <w:b/>
              </w:rPr>
            </w:r>
            <w:r>
              <w:rPr>
                <w:sz w:val="16"/>
                <w:b/>
              </w:rPr>
              <w:t>$0.249</w:t>
            </w:r>
          </w:p>
        </w:tc>
      </w:tr>
      <w:tr>
        <w:tc>
          <w:tcPr>
            <w:tcW w:w="1500" w:type="dxa"/>
          </w:tcPr>
          <w:p>
            <w:pPr>
              <w:spacing w:before="10" w:after="10"/>
            </w:pPr>
            <w:r/>
            <w:r>
              <w:rPr>
                <w:sz w:val="16"/>
              </w:rPr>
              <w:t>Cyprus</w:t>
            </w:r>
          </w:p>
        </w:tc>
        <w:tc>
          <w:tcPr>
            <w:tcW w:w="650" w:type="dxa"/>
          </w:tcPr>
          <w:p>
            <w:pPr>
              <w:spacing w:before="10" w:after="10"/>
            </w:pPr>
            <w:r/>
            <w:r>
              <w:rPr>
                <w:sz w:val="16"/>
              </w:rPr>
              <w:t>$0.185</w:t>
            </w:r>
          </w:p>
        </w:tc>
        <w:tc>
          <w:tcPr>
            <w:tcW w:w="550" w:type="dxa"/>
          </w:tcPr>
          <w:p>
            <w:pPr>
              <w:jc w:val="right"/>
              <w:spacing w:before="10" w:after="10"/>
            </w:pPr>
            <w:r/>
            <w:r>
              <w:rPr>
                <w:sz w:val="16"/>
              </w:rPr>
              <w:t>28.0</w:t>
            </w:r>
          </w:p>
        </w:tc>
        <w:tc>
          <w:tcPr>
            <w:tcW w:w="500" w:type="dxa"/>
          </w:tcPr>
          <w:p>
            <w:pPr>
              <w:jc w:val="right"/>
              <w:spacing w:before="10" w:after="10"/>
            </w:pPr>
            <w:r/>
            <w:r>
              <w:rPr>
                <w:sz w:val="16"/>
              </w:rPr>
              <w:t>1.27</w:t>
            </w:r>
          </w:p>
        </w:tc>
        <w:tc>
          <w:tcPr>
            <w:tcW w:w="650" w:type="dxa"/>
          </w:tcPr>
          <w:p>
            <w:pPr>
              <w:jc w:val="right"/>
              <w:spacing w:before="10" w:after="10"/>
            </w:pPr>
            <w:r/>
            <w:r>
              <w:rPr>
                <w:sz w:val="16"/>
              </w:rPr>
              <w:t>$10.29</w:t>
            </w:r>
          </w:p>
        </w:tc>
        <w:tc>
          <w:tcPr>
            <w:tcW w:w="650" w:type="dxa"/>
          </w:tcPr>
          <w:p>
            <w:pPr>
              <w:jc w:val="right"/>
              <w:spacing w:before="10" w:after="10"/>
            </w:pPr>
            <w:r/>
            <w:r>
              <w:rPr>
                <w:sz w:val="16"/>
              </w:rPr>
              <w:t>20</w:t>
            </w:r>
          </w:p>
        </w:tc>
        <w:tc>
          <w:tcPr>
            <w:tcW w:w="550" w:type="dxa"/>
          </w:tcPr>
          <w:p>
            <w:pPr>
              <w:jc w:val="right"/>
              <w:spacing w:before="10" w:after="10"/>
            </w:pPr>
            <w:r/>
            <w:r>
              <w:rPr>
                <w:sz w:val="16"/>
              </w:rPr>
              <w:t>0.0</w:t>
            </w:r>
          </w:p>
        </w:tc>
        <w:tc>
          <w:tcPr>
            <w:tcW w:w="700" w:type="dxa"/>
          </w:tcPr>
          <w:p>
            <w:pPr>
              <w:jc w:val="right"/>
              <w:spacing w:before="10" w:after="10"/>
            </w:pPr>
            <w:r/>
            <w:r>
              <w:rPr>
                <w:sz w:val="16"/>
              </w:rPr>
              <w:t>$1.58</w:t>
            </w:r>
          </w:p>
        </w:tc>
        <w:tc>
          <w:tcPr>
            <w:tcW w:w="750" w:type="dxa"/>
          </w:tcPr>
          <w:p>
            <w:pPr>
              <w:jc w:val="right"/>
              <w:spacing w:before="10" w:after="10"/>
            </w:pPr>
            <w:r>
              <w:rPr>
                <w:b/>
              </w:rPr>
            </w:r>
            <w:r>
              <w:rPr>
                <w:sz w:val="16"/>
                <w:b/>
              </w:rPr>
              <w:t>$0.228</w:t>
            </w:r>
          </w:p>
        </w:tc>
      </w:tr>
      <w:tr>
        <w:tc>
          <w:tcPr>
            <w:tcBorders>
              <w:bottom w:val="double" w:sz="4" w:space="0" w:color="auto"/>
            </w:tcBorders>
            <w:tcW w:w="1500" w:type="dxa"/>
          </w:tcPr>
          <w:p>
            <w:pPr>
              <w:spacing w:before="10" w:after="10"/>
            </w:pPr>
            <w:r/>
            <w:r>
              <w:rPr>
                <w:sz w:val="16"/>
              </w:rPr>
              <w:t>Greenland</w:t>
            </w:r>
          </w:p>
        </w:tc>
        <w:tc>
          <w:tcPr>
            <w:tcBorders>
              <w:bottom w:val="double" w:sz="4" w:space="0" w:color="auto"/>
            </w:tcBorders>
            <w:tcW w:w="650" w:type="dxa"/>
          </w:tcPr>
          <w:p>
            <w:pPr>
              <w:spacing w:before="10" w:after="10"/>
            </w:pPr>
            <w:r/>
            <w:r>
              <w:rPr>
                <w:sz w:val="16"/>
              </w:rPr>
              <w:t>$0.263</w:t>
            </w:r>
          </w:p>
        </w:tc>
        <w:tc>
          <w:tcPr>
            <w:tcBorders>
              <w:bottom w:val="double" w:sz="4" w:space="0" w:color="auto"/>
            </w:tcBorders>
            <w:tcW w:w="550" w:type="dxa"/>
          </w:tcPr>
          <w:p>
            <w:pPr>
              <w:jc w:val="right"/>
              <w:spacing w:before="10" w:after="10"/>
            </w:pPr>
            <w:r/>
            <w:r>
              <w:rPr>
                <w:sz w:val="16"/>
              </w:rPr>
              <w:t>-3.1</w:t>
            </w:r>
          </w:p>
        </w:tc>
        <w:tc>
          <w:tcPr>
            <w:tcBorders>
              <w:bottom w:val="double" w:sz="4" w:space="0" w:color="auto"/>
            </w:tcBorders>
            <w:tcW w:w="500" w:type="dxa"/>
          </w:tcPr>
          <w:p>
            <w:pPr>
              <w:jc w:val="right"/>
              <w:spacing w:before="10" w:after="10"/>
            </w:pPr>
            <w:r/>
            <w:r>
              <w:rPr>
                <w:sz w:val="16"/>
              </w:rPr>
              <w:t>1.08</w:t>
            </w:r>
          </w:p>
        </w:tc>
        <w:tc>
          <w:tcPr>
            <w:tcBorders>
              <w:bottom w:val="double" w:sz="4" w:space="0" w:color="auto"/>
            </w:tcBorders>
            <w:tcW w:w="650" w:type="dxa"/>
          </w:tcPr>
          <w:p>
            <w:pPr>
              <w:jc w:val="right"/>
              <w:spacing w:before="10" w:after="10"/>
            </w:pPr>
            <w:r/>
            <w:r>
              <w:rPr>
                <w:sz w:val="16"/>
              </w:rPr>
              <w:t>$11.12</w:t>
            </w:r>
          </w:p>
        </w:tc>
        <w:tc>
          <w:tcPr>
            <w:tcBorders>
              <w:bottom w:val="double" w:sz="4" w:space="0" w:color="auto"/>
            </w:tcBorders>
            <w:tcW w:w="650" w:type="dxa"/>
          </w:tcPr>
          <w:p>
            <w:pPr>
              <w:jc w:val="right"/>
              <w:spacing w:before="10" w:after="10"/>
            </w:pPr>
            <w:r/>
            <w:r>
              <w:rPr>
                <w:sz w:val="16"/>
              </w:rPr>
              <w:t>5</w:t>
            </w:r>
          </w:p>
        </w:tc>
        <w:tc>
          <w:tcPr>
            <w:tcBorders>
              <w:bottom w:val="double" w:sz="4" w:space="0" w:color="auto"/>
            </w:tcBorders>
            <w:tcW w:w="550" w:type="dxa"/>
          </w:tcPr>
          <w:p>
            <w:pPr>
              <w:jc w:val="right"/>
              <w:spacing w:before="10" w:after="10"/>
            </w:pPr>
            <w:r/>
            <w:r>
              <w:rPr>
                <w:sz w:val="16"/>
              </w:rPr>
              <w:t>0.0</w:t>
            </w:r>
          </w:p>
        </w:tc>
        <w:tc>
          <w:tcPr>
            <w:tcBorders>
              <w:bottom w:val="double" w:sz="4" w:space="0" w:color="auto"/>
            </w:tcBorders>
            <w:tcW w:w="700" w:type="dxa"/>
          </w:tcPr>
          <w:p>
            <w:pPr>
              <w:jc w:val="right"/>
              <w:spacing w:before="10" w:after="10"/>
            </w:pPr>
            <w:r/>
            <w:r>
              <w:rPr>
                <w:sz w:val="16"/>
              </w:rPr>
              <w:t>$1.62</w:t>
            </w:r>
          </w:p>
        </w:tc>
        <w:tc>
          <w:tcPr>
            <w:tcBorders>
              <w:bottom w:val="double" w:sz="4" w:space="0" w:color="auto"/>
            </w:tcBorders>
            <w:tcW w:w="750" w:type="dxa"/>
          </w:tcPr>
          <w:p>
            <w:pPr>
              <w:jc w:val="right"/>
              <w:spacing w:before="10" w:after="10"/>
            </w:pPr>
            <w:r/>
            <w:r>
              <w:rPr>
                <w:sz w:val="16"/>
              </w:rPr>
              <w:t>$0.263</w:t>
            </w:r>
          </w:p>
        </w:tc>
      </w:tr>
    </w:tbl>
    <w:p>
      <w:pPr>
        <w:spacing w:before="80" w:after="0" w:line="240" w:lineRule="auto"/>
        <w:ind w:firstLine="0"/>
        <w:jc w:val="left"/>
        <w:sectPr>
          <w:pgSz w:w="15840" w:h="12240" w:orient="landscape"/>
          <w:pgMar w:top="1440" w:right="1440" w:bottom="1440" w:left="1440" w:header="720" w:footer="720"/>
        </w:sectPr>
      </w:pPr>
      <w:r>
        <w:rPr>
          <w:b/>
          <w:sz w:val="20"/>
        </w:rPr>
        <w:t xml:space="preserve">Notes: </w:t>
      </w:r>
      <w:r>
        <w:rPr>
          <w:sz w:val="20"/>
        </w:rPr>
        <w:t xml:space="preserve">Countries sorted by cost-recovery adjusted rank (ascending). pᴱ = national electricity price for industrial/data center consumers ($/kWh). θⱼ = peak summer temperature (°C). PUE = Power Usage Effectiveness. Constr. = predicted data center construction cost ($/W of IT load). k̄ⱼ = installed data center power capacity (MW). ωⱼ = country share of global compute demand from </w:t>
      </w:r>
      <w:bookmarkStart w:id="906" w:name="Eq4txt906"/>
      <w:hyperlink w:anchor="Eq4" w:history="1">
        <w:r>
          <w:rPr>
            <w:sz w:val="20"/>
            <w:color w:val="1F3864"/>
            <w:u w:val="single"/>
          </w:rPr>
          <w:t xml:space="preserve">equation (4)</w:t>
        </w:r>
      </w:hyperlink>
      <w:bookmarkEnd w:id="906"/>
      <w:r>
        <w:rPr>
          <w:sz w:val="20"/>
        </w:rPr>
        <w:t xml:space="preserve">. cⱼ = hourly cost of operating one H100 GPU (electricity + hardware at $1.36/hr + amortized construction; excludes networking η = $0.15/hr, which is added in the equilibrium computations in Section 6). Cost-Rec. pᴱ = cost-recovery electricity price. For 13 countries with subsidized tariffs, this is the estimated long-run marginal cost of electricity generation (shown in bold). For all other countries, the cost-recovery price equals the observed tariff. The 37 DCCI countries span 52 markets: Australia, Austria, Brazil, Canada, Chile, China, Colombia, Denmark, Finland, France, Germany, Greece, India, Indonesia, Ireland, Italy, Japan, Kenya, Malaysia, Mexico, Netherlands, New Zealand, Nigeria, Norway, Poland, Portugal, Saudi Arabia, Singapore, South Africa, South Korea, Spain, Sweden, Switzerland, UAE, UK, Uruguay, and USA. The 95% prediction intervals for imputed countries span about ±$3.50/W, which translates to ±$0.02/hr in total cost (1.5–2% of the mean).</w:t>
      </w:r>
    </w:p>
    <w:p>
      <w:pPr>
        <w:spacing w:before="0" w:after="60" w:line="360" w:lineRule="auto"/>
        <w:ind w:firstLine="0"/>
        <w:jc w:val="both"/>
      </w:pPr>
      <w:bookmarkStart w:id="140" w:name="TableA2"/>
      <w:hyperlink w:anchor="TableA2txt" w:history="1">
        <w:r>
          <w:rPr>
            <w:b/>
            <w:sz w:val="20"/>
            <w:color w:val="1F3864"/>
            <w:u w:val="single"/>
          </w:rPr>
          <w:t>Table A2</w:t>
        </w:r>
      </w:hyperlink>
      <w:bookmarkEnd w:id="140"/>
      <w:r>
        <w:rPr>
          <w:b/>
          <w:sz w:val="20"/>
        </w:rPr>
        <w:t>. Country rankings under alternative cost and sovereignty specifications (all countries)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1080"/>
        <w:gridCol w:w="1080"/>
        <w:gridCol w:w="1080"/>
        <w:gridCol w:w="1080"/>
        <w:gridCol w:w="1080"/>
        <w:gridCol w:w="1080"/>
        <w:gridCol w:w="1080"/>
      </w:tblGrid>
      <w:tr>
        <w:tc>
          <w:tcPr>
            <w:tcBorders>
              <w:top w:val="single" w:sz="4" w:space="0" w:color="auto"/>
              <w:bottom w:val="single" w:sz="4" w:space="0" w:color="auto"/>
            </w:tcBorders>
            <w:tcW w:w="1800" w:type="dxa"/>
          </w:tcPr>
          <w:p>
            <w:pPr>
              <w:jc w:val="center"/>
              <w:spacing w:before="5" w:after="5"/>
            </w:pPr>
            <w:r/>
            <w:r>
              <w:rPr>
                <w:rFonts w:ascii="Times New Roman" w:hAnsi="Times New Roman"/>
                <w:sz w:val="14"/>
              </w:rPr>
            </w:r>
          </w:p>
        </w:tc>
        <w:tc>
          <w:tcPr>
            <w:gridSpan w:val="3"/>
            <w:tcBorders>
              <w:top w:val="single" w:sz="4" w:space="0" w:color="auto"/>
              <w:bottom w:val="single" w:sz="4" w:space="0" w:color="auto"/>
            </w:tcBorders>
            <w:tcW w:w="450" w:type="dxa"/>
          </w:tcPr>
          <w:p>
            <w:pPr>
              <w:jc w:val="center"/>
              <w:spacing w:before="5" w:after="5"/>
            </w:pPr>
            <w:r/>
            <w:r>
              <w:rPr>
                <w:rFonts w:ascii="Times New Roman" w:hAnsi="Times New Roman"/>
                <w:b/>
                <w:sz w:val="14"/>
              </w:rPr>
              <w:t>(1) Raw Electricity</w:t>
            </w:r>
          </w:p>
        </w:tc>
        <w:tc>
          <w:tcPr>
            <w:gridSpan w:val="3"/>
            <w:tcBorders>
              <w:top w:val="single" w:sz="4" w:space="0" w:color="auto"/>
              <w:bottom w:val="single" w:sz="4" w:space="0" w:color="auto"/>
            </w:tcBorders>
            <w:tcW w:w="450" w:type="dxa"/>
          </w:tcPr>
          <w:p>
            <w:pPr>
              <w:jc w:val="center"/>
              <w:spacing w:before="5" w:after="5"/>
            </w:pPr>
            <w:r/>
            <w:r>
              <w:rPr>
                <w:rFonts w:ascii="Times New Roman" w:hAnsi="Times New Roman"/>
                <w:b/>
                <w:sz w:val="14"/>
              </w:rPr>
              <w:t>(2) Cost-Recovery</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(3) Bilateral</w:t>
            </w:r>
          </w:p>
        </w:tc>
      </w:tr>
      <w:tr>
        <w:tc>
          <w:tcPr>
            <w:tcBorders>
              <w:top w:val="single" w:sz="4" w:space="0" w:color="auto"/>
              <w:bottom w:val="single" w:sz="4" w:space="0" w:color="auto"/>
            </w:tcBorders>
            <w:tcW w:w="1800" w:type="dxa"/>
          </w:tcPr>
          <w:p>
            <w:pPr>
              <w:jc w:val="left"/>
              <w:spacing w:before="5" w:after="5"/>
            </w:pPr>
            <w:r/>
            <w:r>
              <w:rPr>
                <w:rFonts w:ascii="Times New Roman" w:hAnsi="Times New Roman"/>
                <w:b/>
                <w:sz w:val="14"/>
              </w:rPr>
              <w:t>Country</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750" w:type="dxa"/>
          </w:tcPr>
          <w:p>
            <w:pPr>
              <w:jc w:val="center"/>
              <w:spacing w:before="5" w:after="5"/>
            </w:pPr>
            <w:r/>
            <w:r>
              <w:rPr>
                <w:rFonts w:ascii="Times New Roman" w:hAnsi="Times New Roman"/>
                <w:b/>
                <w:sz w:val="14"/>
              </w:rPr>
              <w:t>cⱼ</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Rank</w:t>
            </w:r>
          </w:p>
        </w:tc>
        <w:tc>
          <w:tcPr>
            <w:tcBorders>
              <w:top w:val="single" w:sz="4" w:space="0" w:color="auto"/>
              <w:bottom w:val="single" w:sz="4" w:space="0" w:color="auto"/>
            </w:tcBorders>
            <w:tcW w:w="450" w:type="dxa"/>
          </w:tcPr>
          <w:p>
            <w:pPr>
              <w:jc w:val="center"/>
              <w:spacing w:before="5" w:after="5"/>
            </w:pPr>
            <w:r/>
            <w:r>
              <w:rPr>
                <w:rFonts w:ascii="Times New Roman" w:hAnsi="Times New Roman"/>
                <w:b/>
                <w:sz w:val="14"/>
              </w:rPr>
              <w:t>Type</w:t>
            </w:r>
          </w:p>
        </w:tc>
        <w:tc>
          <w:tcPr>
            <w:tcBorders>
              <w:top w:val="single" w:sz="4" w:space="0" w:color="auto"/>
              <w:bottom w:val="single" w:sz="4" w:space="0" w:color="auto"/>
            </w:tcBorders>
            <w:tcW w:w="500" w:type="dxa"/>
          </w:tcPr>
          <w:p>
            <w:pPr>
              <w:jc w:val="center"/>
              <w:spacing w:before="5" w:after="5"/>
            </w:pPr>
            <w:r/>
            <w:r>
              <w:rPr>
                <w:rFonts w:ascii="Times New Roman" w:hAnsi="Times New Roman"/>
                <w:b/>
                <w:sz w:val="14"/>
              </w:rPr>
              <w:t>Type</w:t>
            </w:r>
          </w:p>
        </w:tc>
      </w:tr>
      <w:tr>
        <w:tc>
          <w:tcPr>
            <w:tcW w:w="1800" w:type="dxa"/>
          </w:tcPr>
          <w:p>
            <w:pPr>
              <w:jc w:val="left"/>
              <w:spacing w:before="5" w:after="5"/>
            </w:pPr>
            <w:r/>
            <w:r>
              <w:rPr>
                <w:rFonts w:ascii="Times New Roman" w:hAnsi="Times New Roman"/>
                <w:sz w:val="14"/>
              </w:rPr>
              <w:t>Kyrgyzstan</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Ethiopia</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Kosovo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3</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Canada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4</w:t>
            </w:r>
          </w:p>
        </w:tc>
        <w:tc>
          <w:tcPr>
            <w:tcW w:w="450" w:type="dxa"/>
          </w:tcPr>
          <w:p>
            <w:pPr>
              <w:jc w:val="center"/>
              <w:spacing w:before="5" w:after="5"/>
            </w:pPr>
            <w:r/>
            <w:r>
              <w:rPr>
                <w:rFonts w:ascii="Times New Roman" w:hAnsi="Times New Roman"/>
                <w:sz w:val="14"/>
              </w:rPr>
              <w:t>EE</w:t>
            </w:r>
          </w:p>
        </w:tc>
        <w:tc>
          <w:tcPr>
            <w:tcW w:w="500" w:type="dxa"/>
          </w:tcPr>
          <w:p>
            <w:pPr>
              <w:jc w:val="center"/>
              <w:spacing w:before="5" w:after="5"/>
            </w:pPr>
            <w:r/>
            <w:r>
              <w:rPr>
                <w:rFonts w:ascii="Times New Roman" w:hAnsi="Times New Roman"/>
                <w:sz w:val="14"/>
              </w:rPr>
              <w:t>EE</w:t>
            </w:r>
          </w:p>
        </w:tc>
      </w:tr>
      <w:tr>
        <w:tc>
          <w:tcPr>
            <w:tcW w:w="1800" w:type="dxa"/>
          </w:tcPr>
          <w:p>
            <w:pPr>
              <w:jc w:val="left"/>
              <w:spacing w:before="5" w:after="5"/>
            </w:pPr>
            <w:r/>
            <w:r>
              <w:rPr>
                <w:rFonts w:ascii="Times New Roman" w:hAnsi="Times New Roman"/>
                <w:sz w:val="14"/>
              </w:rPr>
              <w:t>Tajikistan</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Montenegro</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China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Ukraine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Argentina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Colombia</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Azerbaijan</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Russia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12</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Norway</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13</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Algeria</w:t>
            </w:r>
          </w:p>
        </w:tc>
        <w:tc>
          <w:tcPr>
            <w:tcW w:w="750" w:type="dxa"/>
          </w:tcPr>
          <w:p>
            <w:pPr>
              <w:jc w:val="center"/>
              <w:spacing w:before="5" w:after="5"/>
            </w:pPr>
            <w:r/>
            <w:r>
              <w:rPr>
                <w:rFonts w:ascii="Times New Roman" w:hAnsi="Times New Roman"/>
                <w:sz w:val="14"/>
              </w:rPr>
              <w:t>$1.59</w:t>
            </w:r>
          </w:p>
        </w:tc>
        <w:tc>
          <w:tcPr>
            <w:tcW w:w="450" w:type="dxa"/>
          </w:tcPr>
          <w:p>
            <w:pPr>
              <w:jc w:val="center"/>
              <w:spacing w:before="5" w:after="5"/>
            </w:pPr>
            <w:r/>
            <w:r>
              <w:rPr>
                <w:rFonts w:ascii="Times New Roman" w:hAnsi="Times New Roman"/>
                <w:sz w:val="14"/>
              </w:rPr>
              <w:t>6</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Vietnam</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Finland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16</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Brazil</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Turkmenistan</w:t>
            </w:r>
          </w:p>
        </w:tc>
        <w:tc>
          <w:tcPr>
            <w:tcW w:w="750" w:type="dxa"/>
          </w:tcPr>
          <w:p>
            <w:pPr>
              <w:jc w:val="center"/>
              <w:spacing w:before="5" w:after="5"/>
            </w:pPr>
            <w:r/>
            <w:r>
              <w:rPr>
                <w:rFonts w:ascii="Times New Roman" w:hAnsi="Times New Roman"/>
                <w:sz w:val="14"/>
              </w:rPr>
              <w:t>$1.57</w:t>
            </w:r>
          </w:p>
        </w:tc>
        <w:tc>
          <w:tcPr>
            <w:tcW w:w="450" w:type="dxa"/>
          </w:tcPr>
          <w:p>
            <w:pPr>
              <w:jc w:val="center"/>
              <w:spacing w:before="5" w:after="5"/>
            </w:pPr>
            <w:r/>
            <w:r>
              <w:rPr>
                <w:rFonts w:ascii="Times New Roman" w:hAnsi="Times New Roman"/>
                <w:sz w:val="14"/>
              </w:rPr>
              <w:t>2</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18</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Egypt</w:t>
            </w:r>
          </w:p>
        </w:tc>
        <w:tc>
          <w:tcPr>
            <w:tcW w:w="750" w:type="dxa"/>
          </w:tcPr>
          <w:p>
            <w:pPr>
              <w:jc w:val="center"/>
              <w:spacing w:before="5" w:after="5"/>
            </w:pPr>
            <w:r/>
            <w:r>
              <w:rPr>
                <w:rFonts w:ascii="Times New Roman" w:hAnsi="Times New Roman"/>
                <w:sz w:val="14"/>
              </w:rPr>
              <w:t>$1.58</w:t>
            </w:r>
          </w:p>
        </w:tc>
        <w:tc>
          <w:tcPr>
            <w:tcW w:w="450" w:type="dxa"/>
          </w:tcPr>
          <w:p>
            <w:pPr>
              <w:jc w:val="center"/>
              <w:spacing w:before="5" w:after="5"/>
            </w:pPr>
            <w:r/>
            <w:r>
              <w:rPr>
                <w:rFonts w:ascii="Times New Roman" w:hAnsi="Times New Roman"/>
                <w:sz w:val="14"/>
              </w:rPr>
              <w:t>5</w:t>
            </w:r>
          </w:p>
        </w:tc>
        <w:tc>
          <w:tcPr>
            <w:tcW w:w="450" w:type="dxa"/>
          </w:tcPr>
          <w:p>
            <w:pPr>
              <w:jc w:val="center"/>
              <w:spacing w:before="5" w:after="5"/>
            </w:pPr>
            <w:r/>
            <w:r>
              <w:rPr>
                <w:rFonts w:ascii="Times New Roman" w:hAnsi="Times New Roman"/>
                <w:sz w:val="14"/>
              </w:rPr>
              <w:t>EE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19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India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Indonesia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IE</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IE</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Sweden</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IE</w:t>
            </w:r>
          </w:p>
        </w:tc>
      </w:tr>
      <w:tr>
        <w:tc>
          <w:tcPr>
            <w:tcW w:w="1800" w:type="dxa"/>
          </w:tcPr>
          <w:p>
            <w:pPr>
              <w:jc w:val="left"/>
              <w:spacing w:before="5" w:after="5"/>
            </w:pPr>
            <w:r/>
            <w:r>
              <w:rPr>
                <w:rFonts w:ascii="Times New Roman" w:hAnsi="Times New Roman"/>
                <w:sz w:val="14"/>
              </w:rPr>
              <w:t>Kazakhstan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Iran</w:t>
            </w:r>
          </w:p>
        </w:tc>
        <w:tc>
          <w:tcPr>
            <w:tcW w:w="750" w:type="dxa"/>
          </w:tcPr>
          <w:p>
            <w:pPr>
              <w:jc w:val="center"/>
              <w:spacing w:before="5" w:after="5"/>
            </w:pPr>
            <w:r/>
            <w:r>
              <w:rPr>
                <w:rFonts w:ascii="Times New Roman" w:hAnsi="Times New Roman"/>
                <w:sz w:val="14"/>
              </w:rPr>
              <w:t>$1.56</w:t>
            </w:r>
          </w:p>
        </w:tc>
        <w:tc>
          <w:tcPr>
            <w:tcW w:w="450" w:type="dxa"/>
          </w:tcPr>
          <w:p>
            <w:pPr>
              <w:jc w:val="center"/>
              <w:spacing w:before="5" w:after="5"/>
            </w:pPr>
            <w:r/>
            <w:r>
              <w:rPr>
                <w:rFonts w:ascii="Times New Roman" w:hAnsi="Times New Roman"/>
                <w:sz w:val="14"/>
              </w:rPr>
              <w:t>1</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24</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Georgia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Uzbekistan</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26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Kenya</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Turkey</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Bosnia and Herz.</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29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Nigeria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11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South Africa</w:t>
            </w:r>
          </w:p>
        </w:tc>
        <w:tc>
          <w:tcPr>
            <w:tcW w:w="750" w:type="dxa"/>
          </w:tcPr>
          <w:p>
            <w:pPr>
              <w:jc w:val="center"/>
              <w:spacing w:before="5" w:after="5"/>
            </w:pPr>
            <w:r/>
            <w:r>
              <w:rPr>
                <w:rFonts w:ascii="Times New Roman" w:hAnsi="Times New Roman"/>
                <w:sz w:val="14"/>
              </w:rPr>
              <w:t>$1.60</w:t>
            </w:r>
          </w:p>
        </w:tc>
        <w:tc>
          <w:tcPr>
            <w:tcW w:w="450" w:type="dxa"/>
          </w:tcPr>
          <w:p>
            <w:pPr>
              <w:jc w:val="center"/>
              <w:spacing w:before="5" w:after="5"/>
            </w:pPr>
            <w:r/>
            <w:r>
              <w:rPr>
                <w:rFonts w:ascii="Times New Roman" w:hAnsi="Times New Roman"/>
                <w:sz w:val="14"/>
              </w:rPr>
              <w:t>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Iceland</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$1.64</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Belarus</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DD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33</w:t>
            </w:r>
          </w:p>
        </w:tc>
        <w:tc>
          <w:tcPr>
            <w:tcW w:w="450" w:type="dxa"/>
          </w:tcPr>
          <w:p>
            <w:pPr>
              <w:jc w:val="center"/>
              <w:spacing w:before="5" w:after="5"/>
            </w:pPr>
            <w:r/>
            <w:r>
              <w:rPr>
                <w:rFonts w:ascii="Times New Roman" w:hAnsi="Times New Roman"/>
                <w:sz w:val="14"/>
              </w:rPr>
              <w:t>DD</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Australia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Morocco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Mexico</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United States of A.</w:t>
            </w:r>
          </w:p>
        </w:tc>
        <w:tc>
          <w:tcPr>
            <w:tcW w:w="750" w:type="dxa"/>
          </w:tcPr>
          <w:p>
            <w:pPr>
              <w:jc w:val="center"/>
              <w:spacing w:before="5" w:after="5"/>
            </w:pPr>
            <w:r/>
            <w:r>
              <w:rPr>
                <w:rFonts w:ascii="Times New Roman" w:hAnsi="Times New Roman"/>
                <w:sz w:val="14"/>
              </w:rPr>
              <w:t>$1.63</w:t>
            </w:r>
          </w:p>
        </w:tc>
        <w:tc>
          <w:tcPr>
            <w:tcW w:w="450" w:type="dxa"/>
          </w:tcPr>
          <w:p>
            <w:pPr>
              <w:jc w:val="center"/>
              <w:spacing w:before="5" w:after="5"/>
            </w:pPr>
            <w:r/>
            <w:r>
              <w:rPr>
                <w:rFonts w:ascii="Times New Roman" w:hAnsi="Times New Roman"/>
                <w:sz w:val="14"/>
              </w:rPr>
              <w:t>32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Armenia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New Zealand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UAE</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DD</w:t>
            </w:r>
          </w:p>
        </w:tc>
      </w:tr>
      <w:tr>
        <w:tc>
          <w:tcPr>
            <w:tcW w:w="1800" w:type="dxa"/>
          </w:tcPr>
          <w:p>
            <w:pPr>
              <w:jc w:val="left"/>
              <w:spacing w:before="5" w:after="5"/>
            </w:pPr>
            <w:r/>
            <w:r>
              <w:rPr>
                <w:rFonts w:ascii="Times New Roman" w:hAnsi="Times New Roman"/>
                <w:sz w:val="14"/>
              </w:rPr>
              <w:t>Chile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UK</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37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Malaysia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Philippines</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Israel</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Thailand</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Portugal</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France</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Serbia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Latvia</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Pakistan</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Saudi Arabia</w:t>
            </w:r>
          </w:p>
        </w:tc>
        <w:tc>
          <w:tcPr>
            <w:tcW w:w="750" w:type="dxa"/>
          </w:tcPr>
          <w:p>
            <w:pPr>
              <w:jc w:val="center"/>
              <w:spacing w:before="5" w:after="5"/>
            </w:pPr>
            <w:r/>
            <w:r>
              <w:rPr>
                <w:rFonts w:ascii="Times New Roman" w:hAnsi="Times New Roman"/>
                <w:sz w:val="14"/>
              </w:rPr>
              <w:t>$1.62</w:t>
            </w:r>
          </w:p>
        </w:tc>
        <w:tc>
          <w:tcPr>
            <w:tcW w:w="450" w:type="dxa"/>
          </w:tcPr>
          <w:p>
            <w:pPr>
              <w:jc w:val="center"/>
              <w:spacing w:before="5" w:after="5"/>
            </w:pPr>
            <w:r/>
            <w:r>
              <w:rPr>
                <w:rFonts w:ascii="Times New Roman" w:hAnsi="Times New Roman"/>
                <w:sz w:val="14"/>
              </w:rPr>
              <w:t>25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Qatar</w:t>
            </w:r>
          </w:p>
        </w:tc>
        <w:tc>
          <w:tcPr>
            <w:tcW w:w="750" w:type="dxa"/>
          </w:tcPr>
          <w:p>
            <w:pPr>
              <w:jc w:val="center"/>
              <w:spacing w:before="5" w:after="5"/>
            </w:pPr>
            <w:r/>
            <w:r>
              <w:rPr>
                <w:rFonts w:ascii="Times New Roman" w:hAnsi="Times New Roman"/>
                <w:sz w:val="14"/>
              </w:rPr>
              <w:t>$1.61</w:t>
            </w:r>
          </w:p>
        </w:tc>
        <w:tc>
          <w:tcPr>
            <w:tcW w:w="450" w:type="dxa"/>
          </w:tcPr>
          <w:p>
            <w:pPr>
              <w:jc w:val="center"/>
              <w:spacing w:before="5" w:after="5"/>
            </w:pPr>
            <w:r/>
            <w:r>
              <w:rPr>
                <w:rFonts w:ascii="Times New Roman" w:hAnsi="Times New Roman"/>
                <w:sz w:val="14"/>
              </w:rPr>
              <w:t>15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Luxembourg</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Moldova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 Macedonia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Ghana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Spain</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Belgium</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55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Malta</w:t>
            </w:r>
          </w:p>
        </w:tc>
        <w:tc>
          <w:tcPr>
            <w:tcW w:w="750" w:type="dxa"/>
          </w:tcPr>
          <w:p>
            <w:pPr>
              <w:jc w:val="center"/>
              <w:spacing w:before="5" w:after="5"/>
            </w:pPr>
            <w:r/>
            <w:r>
              <w:rPr>
                <w:rFonts w:ascii="Times New Roman" w:hAnsi="Times New Roman"/>
                <w:sz w:val="14"/>
              </w:rPr>
              <w:t>$1.66</w:t>
            </w:r>
          </w:p>
        </w:tc>
        <w:tc>
          <w:tcPr>
            <w:tcW w:w="450" w:type="dxa"/>
          </w:tcPr>
          <w:p>
            <w:pPr>
              <w:jc w:val="center"/>
              <w:spacing w:before="5" w:after="5"/>
            </w:pPr>
            <w:r/>
            <w:r>
              <w:rPr>
                <w:rFonts w:ascii="Times New Roman" w:hAnsi="Times New Roman"/>
                <w:sz w:val="14"/>
              </w:rPr>
              <w:t>49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Denmark</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Lithuania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Albania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South Korea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Poland</w:t>
            </w:r>
          </w:p>
        </w:tc>
        <w:tc>
          <w:tcPr>
            <w:tcW w:w="750" w:type="dxa"/>
          </w:tcPr>
          <w:p>
            <w:pPr>
              <w:jc w:val="center"/>
              <w:spacing w:before="5" w:after="5"/>
            </w:pPr>
            <w:r/>
            <w:r>
              <w:rPr>
                <w:rFonts w:ascii="Times New Roman" w:hAnsi="Times New Roman"/>
                <w:sz w:val="14"/>
              </w:rPr>
              <w:t>$1.65</w:t>
            </w:r>
          </w:p>
        </w:tc>
        <w:tc>
          <w:tcPr>
            <w:tcW w:w="450" w:type="dxa"/>
          </w:tcPr>
          <w:p>
            <w:pPr>
              <w:jc w:val="center"/>
              <w:spacing w:before="5" w:after="5"/>
            </w:pPr>
            <w:r/>
            <w:r>
              <w:rPr>
                <w:rFonts w:ascii="Times New Roman" w:hAnsi="Times New Roman"/>
                <w:sz w:val="14"/>
              </w:rPr>
              <w:t>46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Slovenia</w:t>
            </w:r>
          </w:p>
        </w:tc>
        <w:tc>
          <w:tcPr>
            <w:tcW w:w="750" w:type="dxa"/>
          </w:tcPr>
          <w:p>
            <w:pPr>
              <w:jc w:val="center"/>
              <w:spacing w:before="5" w:after="5"/>
            </w:pPr>
            <w:r/>
            <w:r>
              <w:rPr>
                <w:rFonts w:ascii="Times New Roman" w:hAnsi="Times New Roman"/>
                <w:sz w:val="14"/>
              </w:rPr>
              <w:t>$1.68</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Netherlands</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59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Estonia</w:t>
            </w:r>
          </w:p>
        </w:tc>
        <w:tc>
          <w:tcPr>
            <w:tcW w:w="750" w:type="dxa"/>
          </w:tcPr>
          <w:p>
            <w:pPr>
              <w:jc w:val="center"/>
              <w:spacing w:before="5" w:after="5"/>
            </w:pPr>
            <w:r/>
            <w:r>
              <w:rPr>
                <w:rFonts w:ascii="Times New Roman" w:hAnsi="Times New Roman"/>
                <w:sz w:val="14"/>
              </w:rPr>
              <w:t>$1.67</w:t>
            </w:r>
          </w:p>
        </w:tc>
        <w:tc>
          <w:tcPr>
            <w:tcW w:w="450" w:type="dxa"/>
          </w:tcPr>
          <w:p>
            <w:pPr>
              <w:jc w:val="center"/>
              <w:spacing w:before="5" w:after="5"/>
            </w:pPr>
            <w:r/>
            <w:r>
              <w:rPr>
                <w:rFonts w:ascii="Times New Roman" w:hAnsi="Times New Roman"/>
                <w:sz w:val="14"/>
              </w:rPr>
              <w:t>60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Romania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69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Japan</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Slovakia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Austria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Switzerland</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Greece</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Bulgaria</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Italy</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75</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76</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Singapore</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$1.72</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Hungary</w:t>
            </w:r>
          </w:p>
        </w:tc>
        <w:tc>
          <w:tcPr>
            <w:tcW w:w="750" w:type="dxa"/>
          </w:tcPr>
          <w:p>
            <w:pPr>
              <w:jc w:val="center"/>
              <w:spacing w:before="5" w:after="5"/>
            </w:pPr>
            <w:r/>
            <w:r>
              <w:rPr>
                <w:rFonts w:ascii="Times New Roman" w:hAnsi="Times New Roman"/>
                <w:sz w:val="14"/>
              </w:rPr>
              <w:t>$1.71</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78</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Czechia</w:t>
            </w:r>
          </w:p>
        </w:tc>
        <w:tc>
          <w:tcPr>
            <w:tcW w:w="750" w:type="dxa"/>
          </w:tcPr>
          <w:p>
            <w:pPr>
              <w:jc w:val="center"/>
              <w:spacing w:before="5" w:after="5"/>
            </w:pPr>
            <w:r/>
            <w:r>
              <w:rPr>
                <w:rFonts w:ascii="Times New Roman" w:hAnsi="Times New Roman"/>
                <w:sz w:val="14"/>
              </w:rPr>
              <w:t>$1.70</w:t>
            </w:r>
          </w:p>
        </w:tc>
        <w:tc>
          <w:tcPr>
            <w:tcW w:w="450" w:type="dxa"/>
          </w:tcPr>
          <w:p>
            <w:pPr>
              <w:jc w:val="center"/>
              <w:spacing w:before="5" w:after="5"/>
            </w:pPr>
            <w:r/>
            <w:r>
              <w:rPr>
                <w:rFonts w:ascii="Times New Roman" w:hAnsi="Times New Roman"/>
                <w:sz w:val="14"/>
              </w:rPr>
              <w:t>77</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79</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Senegal</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80</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Croatia</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$1.74</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Germany</w:t>
            </w:r>
          </w:p>
        </w:tc>
        <w:tc>
          <w:tcPr>
            <w:tcW w:w="750" w:type="dxa"/>
          </w:tcPr>
          <w:p>
            <w:pPr>
              <w:jc w:val="center"/>
              <w:spacing w:before="5" w:after="5"/>
            </w:pPr>
            <w:r/>
            <w:r>
              <w:rPr>
                <w:rFonts w:ascii="Times New Roman" w:hAnsi="Times New Roman"/>
                <w:sz w:val="14"/>
              </w:rPr>
              <w:t>$1.69</w:t>
            </w:r>
          </w:p>
        </w:tc>
        <w:tc>
          <w:tcPr>
            <w:tcW w:w="450" w:type="dxa"/>
          </w:tcPr>
          <w:p>
            <w:pPr>
              <w:jc w:val="center"/>
              <w:spacing w:before="5" w:after="5"/>
            </w:pPr>
            <w:r/>
            <w:r>
              <w:rPr>
                <w:rFonts w:ascii="Times New Roman" w:hAnsi="Times New Roman"/>
                <w:sz w:val="14"/>
              </w:rPr>
              <w:t>70</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82</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Ireland</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$1.75</w:t>
            </w:r>
          </w:p>
        </w:tc>
        <w:tc>
          <w:tcPr>
            <w:tcW w:w="450" w:type="dxa"/>
          </w:tcPr>
          <w:p>
            <w:pPr>
              <w:jc w:val="center"/>
              <w:spacing w:before="5" w:after="5"/>
            </w:pPr>
            <w:r/>
            <w:r>
              <w:rPr>
                <w:rFonts w:ascii="Times New Roman" w:hAnsi="Times New Roman"/>
                <w:sz w:val="14"/>
              </w:rPr>
              <w:t>83</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W w:w="1800" w:type="dxa"/>
          </w:tcPr>
          <w:p>
            <w:pPr>
              <w:jc w:val="left"/>
              <w:spacing w:before="5" w:after="5"/>
            </w:pPr>
            <w:r/>
            <w:r>
              <w:rPr>
                <w:rFonts w:ascii="Times New Roman" w:hAnsi="Times New Roman"/>
                <w:sz w:val="14"/>
              </w:rPr>
              <w:t>Cyprus</w:t>
            </w:r>
          </w:p>
        </w:tc>
        <w:tc>
          <w:tcPr>
            <w:tcW w:w="750" w:type="dxa"/>
          </w:tcPr>
          <w:p>
            <w:pPr>
              <w:jc w:val="center"/>
              <w:spacing w:before="5" w:after="5"/>
            </w:pPr>
            <w:r/>
            <w:r>
              <w:rPr>
                <w:rFonts w:ascii="Times New Roman" w:hAnsi="Times New Roman"/>
                <w:sz w:val="14"/>
              </w:rPr>
              <w:t>$1.73</w:t>
            </w:r>
          </w:p>
        </w:tc>
        <w:tc>
          <w:tcPr>
            <w:tcW w:w="450" w:type="dxa"/>
          </w:tcPr>
          <w:p>
            <w:pPr>
              <w:jc w:val="center"/>
              <w:spacing w:before="5" w:after="5"/>
            </w:pPr>
            <w:r/>
            <w:r>
              <w:rPr>
                <w:rFonts w:ascii="Times New Roman" w:hAnsi="Times New Roman"/>
                <w:sz w:val="14"/>
              </w:rPr>
              <w:t>81</w:t>
            </w:r>
          </w:p>
        </w:tc>
        <w:tc>
          <w:tcPr>
            <w:tcW w:w="450" w:type="dxa"/>
          </w:tcPr>
          <w:p>
            <w:pPr>
              <w:jc w:val="center"/>
              <w:spacing w:before="5" w:after="5"/>
            </w:pPr>
            <w:r/>
            <w:r>
              <w:rPr>
                <w:rFonts w:ascii="Times New Roman" w:hAnsi="Times New Roman"/>
                <w:sz w:val="14"/>
              </w:rPr>
              <w:t>II</w:t>
            </w:r>
          </w:p>
        </w:tc>
        <w:tc>
          <w:tcPr>
            <w:tcW w:w="750" w:type="dxa"/>
          </w:tcPr>
          <w:p>
            <w:pPr>
              <w:jc w:val="center"/>
              <w:spacing w:before="5" w:after="5"/>
            </w:pPr>
            <w:r/>
            <w:r>
              <w:rPr>
                <w:rFonts w:ascii="Times New Roman" w:hAnsi="Times New Roman"/>
                <w:sz w:val="14"/>
              </w:rPr>
              <w:t>$1.77</w:t>
            </w:r>
          </w:p>
        </w:tc>
        <w:tc>
          <w:tcPr>
            <w:tcW w:w="450" w:type="dxa"/>
          </w:tcPr>
          <w:p>
            <w:pPr>
              <w:jc w:val="center"/>
              <w:spacing w:before="5" w:after="5"/>
            </w:pPr>
            <w:r/>
            <w:r>
              <w:rPr>
                <w:rFonts w:ascii="Times New Roman" w:hAnsi="Times New Roman"/>
                <w:sz w:val="14"/>
              </w:rPr>
              <w:t>84</w:t>
            </w:r>
          </w:p>
        </w:tc>
        <w:tc>
          <w:tcPr>
            <w:tcW w:w="450" w:type="dxa"/>
          </w:tcPr>
          <w:p>
            <w:pPr>
              <w:jc w:val="center"/>
              <w:spacing w:before="5" w:after="5"/>
            </w:pPr>
            <w:r/>
            <w:r>
              <w:rPr>
                <w:rFonts w:ascii="Times New Roman" w:hAnsi="Times New Roman"/>
                <w:sz w:val="14"/>
              </w:rPr>
              <w:t>II</w:t>
            </w:r>
          </w:p>
        </w:tc>
        <w:tc>
          <w:tcPr>
            <w:tcW w:w="500" w:type="dxa"/>
          </w:tcPr>
          <w:p>
            <w:pPr>
              <w:jc w:val="center"/>
              <w:spacing w:before="5" w:after="5"/>
            </w:pPr>
            <w:r/>
            <w:r>
              <w:rPr>
                <w:rFonts w:ascii="Times New Roman" w:hAnsi="Times New Roman"/>
                <w:sz w:val="14"/>
              </w:rPr>
              <w:t>II</w:t>
            </w:r>
          </w:p>
        </w:tc>
      </w:tr>
      <w:tr>
        <w:tc>
          <w:tcPr>
            <w:tcBorders>
              <w:bottom w:val="double" w:sz="4" w:space="0" w:color="auto"/>
            </w:tcBorders>
            <w:tcW w:w="1800" w:type="dxa"/>
          </w:tcPr>
          <w:p>
            <w:pPr>
              <w:jc w:val="left"/>
              <w:spacing w:before="5" w:after="5"/>
            </w:pPr>
            <w:r/>
            <w:r>
              <w:rPr>
                <w:rFonts w:ascii="Times New Roman" w:hAnsi="Times New Roman"/>
                <w:sz w:val="14"/>
              </w:rPr>
              <w:t>Greenland</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750" w:type="dxa"/>
          </w:tcPr>
          <w:p>
            <w:pPr>
              <w:jc w:val="center"/>
              <w:spacing w:before="5" w:after="5"/>
            </w:pPr>
            <w:r/>
            <w:r>
              <w:rPr>
                <w:rFonts w:ascii="Times New Roman" w:hAnsi="Times New Roman"/>
                <w:sz w:val="14"/>
              </w:rPr>
              <w:t>$1.77</w:t>
            </w:r>
          </w:p>
        </w:tc>
        <w:tc>
          <w:tcPr>
            <w:tcBorders>
              <w:bottom w:val="double" w:sz="4" w:space="0" w:color="auto"/>
            </w:tcBorders>
            <w:tcW w:w="450" w:type="dxa"/>
          </w:tcPr>
          <w:p>
            <w:pPr>
              <w:jc w:val="center"/>
              <w:spacing w:before="5" w:after="5"/>
            </w:pPr>
            <w:r/>
            <w:r>
              <w:rPr>
                <w:rFonts w:ascii="Times New Roman" w:hAnsi="Times New Roman"/>
                <w:sz w:val="14"/>
              </w:rPr>
              <w:t>85</w:t>
            </w:r>
          </w:p>
        </w:tc>
        <w:tc>
          <w:tcPr>
            <w:tcBorders>
              <w:bottom w:val="double" w:sz="4" w:space="0" w:color="auto"/>
            </w:tcBorders>
            <w:tcW w:w="450" w:type="dxa"/>
          </w:tcPr>
          <w:p>
            <w:pPr>
              <w:jc w:val="center"/>
              <w:spacing w:before="5" w:after="5"/>
            </w:pPr>
            <w:r/>
            <w:r>
              <w:rPr>
                <w:rFonts w:ascii="Times New Roman" w:hAnsi="Times New Roman"/>
                <w:sz w:val="14"/>
              </w:rPr>
              <w:t>II</w:t>
            </w:r>
          </w:p>
        </w:tc>
        <w:tc>
          <w:tcPr>
            <w:tcBorders>
              <w:bottom w:val="double" w:sz="4" w:space="0" w:color="auto"/>
            </w:tcBorders>
            <w:tcW w:w="500" w:type="dxa"/>
          </w:tcPr>
          <w:p>
            <w:pPr>
              <w:jc w:val="center"/>
              <w:spacing w:before="5" w:after="5"/>
            </w:pPr>
            <w:r/>
            <w:r>
              <w:rPr>
                <w:rFonts w:ascii="Times New Roman" w:hAnsi="Times New Roman"/>
                <w:sz w:val="14"/>
              </w:rPr>
              <w:t>II</w:t>
            </w:r>
          </w:p>
        </w:tc>
      </w:tr>
    </w:tbl>
    <w:p>
      <w:pPr>
        <w:spacing w:before="40" w:after="120" w:line="240" w:lineRule="auto"/>
        <w:ind w:firstLine="0"/>
        <w:jc w:val="left"/>
        <w:sectPr>
          <w:pgSz w:w="15840" w:h="12240" w:orient="landscape"/>
          <w:pgMar w:top="1080" w:right="1080" w:bottom="1080" w:left="1080" w:header="720" w:footer="720"/>
        </w:sectPr>
      </w:pPr>
      <w:r>
        <w:rPr>
          <w:b/>
          <w:sz w:val="20"/>
        </w:rPr>
        <w:t xml:space="preserve">Notes: </w:t>
      </w:r>
      <w:r>
        <w:rPr>
          <w:sz w:val="20"/>
        </w:rPr>
        <w:t xml:space="preserve">See </w:t>
      </w:r>
      <w:hyperlink w:anchor="Table3" w:history="1">
        <w:r>
          <w:rPr>
            <w:sz w:val="20"/>
            <w:color w:val="1F3864"/>
            <w:u w:val="single"/>
          </w:rPr>
          <w:t xml:space="preserve">Table 3</w:t>
        </w:r>
      </w:hyperlink>
      <w:r>
        <w:rPr>
          <w:sz w:val="20"/>
        </w:rPr>
        <w:t xml:space="preserve"> notes for column definitions. Countries sorted by specification (2) rank (ascending). </w:t>
      </w:r>
    </w:p>
    <w:p>
      <w:pPr>
        <w:pStyle w:val="Heading1"/>
      </w:pPr>
      <w:r>
        <w:rPr>
          <w:rFonts w:ascii="Times New Roman" w:hAnsi="Times New Roman"/>
          <w:color w:val="2F5496"/>
          <w:sz w:val="28"/>
        </w:rPr>
        <w:t>Appendix B: Model Derivation</w:t>
      </w:r>
    </w:p>
    <w:p>
      <w:pPr>
        <w:spacing w:before="0" w:after="160" w:line="360" w:lineRule="auto"/>
        <w:ind w:firstLine="0"/>
        <w:jc w:val="both"/>
      </w:pPr>
      <w:r>
        <w:t>This appendix provides the full derivation of the capacity-constrained Ricardian model summarized in Sections 3–4.</w:t>
      </w:r>
    </w:p>
    <w:p>
      <w:pPr>
        <w:pStyle w:val="Heading2"/>
      </w:pPr>
      <w:r>
        <w:rPr>
          <w:rFonts w:ascii="Times New Roman" w:hAnsi="Times New Roman"/>
          <w:b w:val="0"/>
          <w:i/>
          <w:color w:val="2F5496"/>
          <w:sz w:val="24"/>
        </w:rPr>
        <w:t>B.1 Primitives</w:t>
      </w:r>
    </w:p>
    <w:p>
      <w:pPr>
        <w:spacing w:before="0" w:after="160" w:line="360" w:lineRule="auto"/>
        <w:ind w:firstLine="0"/>
        <w:jc w:val="both"/>
      </w:pPr>
      <w:r>
        <w:t xml:space="preserve">Each country </w:t>
      </w:r>
      <m:oMath>
        <m:r>
          <m:rPr>
            <m:sty m:val="i"/>
          </m:rPr>
          <w:rPr>
            <w:rFonts w:ascii="Cambria Math" w:hAnsi="Cambria Math"/>
          </w:rPr>
          <m:t xml:space="preserve">j</m:t>
        </m:r>
      </m:oMath>
      <w:r>
        <w:t xml:space="preserve"> is endowed with a capacity ceiling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(GPU-hours per period), representing the maximum volume of compute it can supply. Country </w:t>
      </w:r>
      <m:oMath>
        <m:r>
          <m:rPr>
            <m:sty m:val="i"/>
          </m:rPr>
          <w:rPr>
            <w:rFonts w:ascii="Cambria Math" w:hAnsi="Cambria Math"/>
          </w:rPr>
          <m:t xml:space="preserve">j</m:t>
        </m:r>
      </m:oMath>
      <w:r>
        <w:t xml:space="preserve"> faces unit production cost </w:t>
      </w:r>
      <m:oMath>
        <m:sSub>
          <m:sSubPr/>
          <m:e>
            <m:r>
              <m:rPr>
                <m:sty m:val="i"/>
              </m:rPr>
              <w:rPr>
                <w:rFonts w:ascii="Cambria Math" w:hAnsi="Cambria Math"/>
              </w:rPr>
              <m:t xml:space="preserve">c</m:t>
            </m:r>
          </m:e>
          <m:sub>
            <m:r>
              <m:rPr>
                <m:sty m:val="i"/>
              </m:rPr>
              <w:rPr>
                <w:rFonts w:ascii="Cambria Math" w:hAnsi="Cambria Math"/>
              </w:rPr>
              <m:t xml:space="preserve">j</m:t>
            </m:r>
          </m:sub>
        </m:sSub>
      </m:oMath>
      <w:r>
        <w:t xml:space="preserve"> from </w:t>
      </w:r>
      <w:bookmarkStart w:id="907" w:name="Eq1txt907"/>
      <w:hyperlink w:anchor="Eq1" w:history="1">
        <w:r>
          <w:rPr>
            <w:color w:val="1F3864"/>
            <w:u w:val="single"/>
          </w:rPr>
          <w:t xml:space="preserve">equation (1)</w:t>
        </w:r>
      </w:hyperlink>
      <w:bookmarkEnd w:id="907"/>
      <w:r>
        <w:t xml:space="preserve">. On the demand side, total compute demand from country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q</m:t>
            </m:r>
          </m:e>
          <m:sub>
            <m:r>
              <m:rPr>
                <m:sty m:val="i"/>
              </m:rPr>
              <w:rPr>
                <w:rFonts w:ascii="Cambria Math" w:hAnsi="Cambria Math"/>
              </w:rPr>
              <m:t xml:space="preserve">k</m:t>
            </m:r>
          </m:sub>
        </m:sSub>
      </m:oMath>
      <w:r>
        <w:t xml:space="preserve"> from </w:t>
      </w:r>
      <w:bookmarkStart w:id="908" w:name="Eq4txt908"/>
      <w:hyperlink w:anchor="Eq4" w:history="1">
        <w:r>
          <w:rPr>
            <w:color w:val="1F3864"/>
            <w:u w:val="single"/>
          </w:rPr>
          <w:t xml:space="preserve">equation (4)</w:t>
        </w:r>
      </w:hyperlink>
      <w:bookmarkEnd w:id="908"/>
      <w:r>
        <w:t xml:space="preserve">. Training demand is </w:t>
      </w:r>
      <m:oMath>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and inference demand is </w:t>
      </w:r>
      <m:oMath>
        <m:sSub>
          <m:sSubPr/>
          <m:e>
            <m:r>
              <m:rPr>
                <m:sty m:val="i"/>
              </m:rPr>
              <w:rPr>
                <w:rFonts w:ascii="Cambria Math" w:hAnsi="Cambria Math"/>
              </w:rPr>
              <m:t xml:space="preserve">q</m:t>
            </m:r>
          </m:e>
          <m:sub>
            <m:r>
              <m:rPr>
                <m:sty m:val="i"/>
              </m:rPr>
              <w:rPr>
                <w:rFonts w:ascii="Cambria Math" w:hAnsi="Cambria Math"/>
              </w:rPr>
              <m:t xml:space="preserve">Ik</m:t>
            </m:r>
          </m:sub>
        </m:sSub>
        <m:r>
          <m:rPr>
            <m:sty m:val="p"/>
          </m:rPr>
          <w:rPr>
            <w:rFonts w:ascii="Cambria Math" w:hAnsi="Cambria Math"/>
          </w:rPr>
          <m:t xml:space="preserve"> = (1 − </m:t>
        </m:r>
        <m:r>
          <m:rPr>
            <m:sty m:val="i"/>
          </m:rPr>
          <w:rPr>
            <w:rFonts w:ascii="Cambria Math" w:hAnsi="Cambria Math"/>
          </w:rPr>
          <m:t xml:space="preserve">α</m:t>
        </m:r>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k</m:t>
            </m:r>
          </m:sub>
        </m:sSub>
      </m:oMath>
      <w:r>
        <w:t xml:space="preserve">. Countries are ordered by cost: </w:t>
      </w:r>
      <m:oMath>
        <m:sSub>
          <m:sSubPr/>
          <m:e>
            <m:r>
              <m:rPr>
                <m:sty m:val="i"/>
              </m:rPr>
              <w:rPr>
                <w:rFonts w:ascii="Cambria Math" w:hAnsi="Cambria Math"/>
              </w:rPr>
              <m:t xml:space="preserve">c</m:t>
            </m:r>
          </m:e>
          <m:sub>
            <m:r>
              <m:rPr>
                <m:sty m:val="i"/>
              </m:rPr>
              <w:rPr>
                <w:rFonts w:ascii="Cambria Math" w:hAnsi="Cambria Math"/>
              </w:rPr>
              <m:t xml:space="preserve">(1)</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(2)</m:t>
            </m:r>
          </m:sub>
        </m:sSub>
        <m:r>
          <m:rPr>
            <m:sty m:val="p"/>
          </m:rPr>
          <w:rPr>
            <w:rFonts w:ascii="Cambria Math" w:hAnsi="Cambria Math"/>
          </w:rPr>
          <m:t xml:space="preserve"> ≤ … ≤ </m:t>
        </m:r>
        <m:sSub>
          <m:sSubPr/>
          <m:e>
            <m:r>
              <m:rPr>
                <m:sty m:val="i"/>
              </m:rPr>
              <w:rPr>
                <w:rFonts w:ascii="Cambria Math" w:hAnsi="Cambria Math"/>
              </w:rPr>
              <m:t xml:space="preserve">c</m:t>
            </m:r>
          </m:e>
          <m:sub>
            <m:r>
              <m:rPr>
                <m:sty m:val="i"/>
              </m:rPr>
              <w:rPr>
                <w:rFonts w:ascii="Cambria Math" w:hAnsi="Cambria Math"/>
              </w:rPr>
              <m:t xml:space="preserve">(N)</m:t>
            </m:r>
          </m:sub>
        </m:sSub>
      </m:oMath>
      <w:r>
        <w:t>.</w:t>
      </w:r>
    </w:p>
    <w:p>
      <w:pPr>
        <w:pStyle w:val="Heading2"/>
      </w:pPr>
      <w:r>
        <w:rPr>
          <w:rFonts w:ascii="Times New Roman" w:hAnsi="Times New Roman"/>
          <w:b w:val="0"/>
          <w:i/>
          <w:color w:val="2F5496"/>
          <w:sz w:val="24"/>
        </w:rPr>
        <w:t>B.2 The Training Market</w:t>
      </w:r>
    </w:p>
    <w:p>
      <w:pPr>
        <w:spacing w:before="0" w:after="80" w:line="360" w:lineRule="auto"/>
        <w:ind w:firstLine="0"/>
        <w:jc w:val="both"/>
      </w:pPr>
      <w:r>
        <w:t xml:space="preserve">Country </w:t>
      </w:r>
      <m:oMath>
        <m:r>
          <m:rPr>
            <m:sty m:val="i"/>
          </m:rPr>
          <w:rPr>
            <w:rFonts w:ascii="Cambria Math" w:hAnsi="Cambria Math"/>
          </w:rPr>
          <m:t xml:space="preserve">k</m:t>
        </m:r>
      </m:oMath>
      <w:r>
        <w:t xml:space="preserve"> imports training if and only if </w:t>
      </w:r>
      <m:oMath>
        <m:r>
          <m:rPr>
            <m:sty m:val="p"/>
          </m:rPr>
          <w:rPr>
            <w:rFonts w:ascii="Cambria Math" w:hAnsi="Cambria Math"/>
          </w:rPr>
          <m:t xml:space="preserve">(1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oMath>
      <w:r>
        <w:t xml:space="preserve">, where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is the bilateral sovereignty premium from </w:t>
      </w:r>
      <w:bookmarkStart w:id="909" w:name="Eq2txt909"/>
      <w:hyperlink w:anchor="Eq2" w:history="1">
        <w:r>
          <w:rPr>
            <w:color w:val="1F3864"/>
            <w:u w:val="single"/>
          </w:rPr>
          <w:t xml:space="preserve">equation (2)</w:t>
        </w:r>
      </w:hyperlink>
      <w:bookmarkEnd w:id="909"/>
      <w:r>
        <w:t xml:space="preserve">. The set of training importers is </w:t>
      </w: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&gt; (1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m:t>
        </m:r>
      </m:oMath>
      <w:r>
        <w:t xml:space="preserve"> and total training export demand is </w:t>
      </w:r>
      <m:oMath>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e>
        </m:nary>
      </m:oMath>
      <w:r>
        <w:t xml:space="preserve">. The marginal training exporter </w:t>
      </w:r>
      <m:oMath>
        <m:sSub>
          <m:sSubPr/>
          <m:e>
            <m:r>
              <m:rPr>
                <m:sty m:val="i"/>
              </m:rPr>
              <w:rPr>
                <w:rFonts w:ascii="Cambria Math" w:hAnsi="Cambria Math"/>
              </w:rPr>
              <m:t xml:space="preserve">m</m:t>
            </m:r>
          </m:e>
          <m:sub>
            <m:r>
              <m:rPr>
                <m:sty m:val="i"/>
              </m:rPr>
              <w:rPr>
                <w:rFonts w:ascii="Cambria Math" w:hAnsi="Cambria Math"/>
              </w:rPr>
              <m:t xml:space="preserve">T</m:t>
            </m:r>
          </m:sub>
        </m:sSub>
      </m:oMath>
      <w:r>
        <w:t xml:space="preserve"> is defined by: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 = min { </m:t>
              </m:r>
              <m:r>
                <m:rPr>
                  <m:sty m:val="i"/>
                </m:rPr>
                <w:rPr>
                  <w:rFonts w:ascii="Cambria Math" w:hAnsi="Cambria Math"/>
                </w:rPr>
                <m:t xml:space="preserve">m</m:t>
              </m:r>
              <m:r>
                <m:rPr>
                  <m:sty m:val="p"/>
                </m:rPr>
                <w:rPr>
                  <w:rFonts w:ascii="Cambria Math" w:hAnsi="Cambria Math"/>
                </w:rPr>
                <m:t xml:space="preserve"> : </m:t>
              </m:r>
              <m:nary>
                <m:naryPr>
                  <m:chr m:val="∑"/>
                </m:naryPr>
                <m:sub>
                  <m:r>
                    <m:rPr>
                      <m:sty m:val="i"/>
                    </m:rPr>
                    <w:rPr>
                      <w:rFonts w:ascii="Cambria Math" w:hAnsi="Cambria Math"/>
                    </w:rPr>
                    <m:t xml:space="preserve">i</m:t>
                  </m:r>
                  <m:r>
                    <m:rPr>
                      <m:sty m:val="p"/>
                    </m:rPr>
                    <w:rPr>
                      <w:rFonts w:ascii="Cambria Math" w:hAnsi="Cambria Math"/>
                    </w:rPr>
                    <m:t xml:space="preserve"> = 1</m:t>
                  </m:r>
                </m:sub>
                <m:sup>
                  <m:r>
                    <m:rPr>
                      <m:sty m:val="i"/>
                    </m:rPr>
                    <w:rPr>
                      <w:rFonts w:ascii="Cambria Math" w:hAnsi="Cambria Math"/>
                    </w:rPr>
                    <m:t xml:space="preserve">m</m:t>
                  </m:r>
                </m:sup>
                <m:e>
                  <m:sSub>
                    <m:sSubPr/>
                    <m:e>
                      <m:r>
                        <m:rPr>
                          <m:sty m:val="i"/>
                        </m:rPr>
                        <w:rPr>
                          <w:rFonts w:ascii="Cambria Math" w:hAnsi="Cambria Math"/>
                        </w:rPr>
                        <m:t xml:space="preserve">K</m:t>
                      </m:r>
                    </m:e>
                    <m:sub>
                      <m:r>
                        <m:rPr>
                          <m:sty m:val="i"/>
                        </m:rPr>
                        <w:rPr>
                          <w:rFonts w:ascii="Cambria Math" w:hAnsi="Cambria Math"/>
                        </w:rPr>
                        <m:t xml:space="preserve">T,(i)</m:t>
                      </m:r>
                    </m:sub>
                  </m:sSub>
                </m:e>
              </m:nary>
              <m:r>
                <m:rPr>
                  <m:sty m:val="p"/>
                </m:rPr>
                <w:rPr>
                  <w:rFonts w:ascii="Cambria Math" w:hAnsi="Cambria Math"/>
                </w:rPr>
                <m:t xml:space="preserve"> ≥ </m:t>
              </m:r>
              <m:sSub>
                <m:sSubPr/>
                <m:e>
                  <m:r>
                    <m:rPr>
                      <m:sty m:val="i"/>
                    </m:rPr>
                    <w:rPr>
                      <w:rFonts w:ascii="Cambria Math" w:hAnsi="Cambria Math"/>
                    </w:rPr>
                    <m:t xml:space="preserve">Q</m:t>
                  </m:r>
                </m:e>
                <m:sub>
                  <m:r>
                    <m:rPr>
                      <m:sty m:val="i"/>
                    </m:rPr>
                    <w:rPr>
                      <w:rFonts w:ascii="Cambria Math" w:hAnsi="Cambria Math"/>
                    </w:rPr>
                    <m:t xml:space="preserve">T,X</m:t>
                  </m:r>
                </m:sub>
              </m:sSub>
              <m:r>
                <m:rPr>
                  <m:sty m:val="p"/>
                </m:rPr>
                <w:rPr>
                  <w:rFonts w:ascii="Cambria Math" w:hAnsi="Cambria Math"/>
                </w:rPr>
                <m:t xml:space="preserve"> }.</m:t>
              </m:r>
            </m:oMath>
          </w:p>
        </w:tc>
        <w:tc>
          <w:tcPr>
            <w:tcW w:w="720" w:type="dxa"/>
            <w:vAlign w:val="center"/>
          </w:tcPr>
          <w:p>
            <w:pPr>
              <w:jc w:val="right"/>
              <w:spacing w:before="60" w:after="60"/>
            </w:pPr>
            <w:bookmarkStart w:id="1701" w:name="EqB.1"/>
            <w:r>
              <w:t>(B.1)</w:t>
            </w:r>
            <w:bookmarkEnd w:id="1701"/>
          </w:p>
        </w:tc>
      </w:tr>
    </w:tbl>
    <w:p>
      <w:pPr>
        <w:spacing w:before="80" w:after="160" w:line="360" w:lineRule="auto"/>
        <w:ind w:firstLine="0"/>
        <w:jc w:val="both"/>
      </w:pPr>
      <w:r>
        <w:t xml:space="preserve">The equilibrium training price is </w:t>
      </w:r>
      <m:oMath>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m:t>
            </m:r>
          </m:sub>
        </m:sSub>
        <m:sSub>
          <m:sSubPr/>
          <m:e>
            <m:r>
              <m:rPr>
                <m:sty m:val="i"/>
              </m:rPr>
              <w:rPr>
                <w:rFonts w:ascii="Cambria Math" w:hAnsi="Cambria Math"/>
              </w:rPr>
              <m:t xml:space="preserve">m</m:t>
            </m:r>
          </m:e>
          <m:sub>
            <m:r>
              <m:rPr>
                <m:sty m:val="i"/>
              </m:rPr>
              <w:rPr>
                <w:rFonts w:ascii="Cambria Math" w:hAnsi="Cambria Math"/>
              </w:rPr>
              <m:t xml:space="preserve">T</m:t>
            </m:r>
          </m:sub>
        </m:sSub>
        <m:r>
          <m:rPr>
            <m:sty m:val="p"/>
          </m:rPr>
          <w:rPr>
            <w:rFonts w:ascii="Cambria Math" w:hAnsi="Cambria Math"/>
          </w:rPr>
          <m:t xml:space="preserve">)</m:t>
        </m:r>
      </m:oMath>
      <w:r>
        <w:t xml:space="preserve">. Training rent for country </w:t>
      </w:r>
      <m:oMath>
        <m:r>
          <m:rPr>
            <m:sty m:val="i"/>
          </m:rPr>
          <w:rPr>
            <w:rFonts w:ascii="Cambria Math" w:hAnsi="Cambria Math"/>
          </w:rPr>
          <m:t xml:space="preserve">j</m:t>
        </m:r>
      </m:oMath>
      <w:r>
        <w:t xml:space="preserve"> with </w:t>
      </w:r>
      <m:oMath>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&lt; </m:t>
        </m:r>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is </w:t>
      </w:r>
      <m:oMath>
        <m:sSub>
          <m:sSubPr/>
          <m:e>
            <m:r>
              <m:rPr>
                <m:sty m:val="i"/>
              </m:rPr>
              <w:rPr>
                <w:rFonts w:ascii="Cambria Math" w:hAnsi="Cambria Math"/>
              </w:rPr>
              <m:t xml:space="preserve">π</m:t>
            </m:r>
          </m:e>
          <m:sub>
            <m:r>
              <m:rPr>
                <m:sty m:val="i"/>
              </m:rPr>
              <w:rPr>
                <w:rFonts w:ascii="Cambria Math" w:hAnsi="Cambria Math"/>
              </w:rPr>
              <m:t xml:space="preserve">Tj</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oMath>
      <w:r>
        <w:t>.</w:t>
      </w:r>
    </w:p>
    <w:p>
      <w:pPr>
        <w:pStyle w:val="Heading2"/>
      </w:pPr>
      <w:r>
        <w:rPr>
          <w:rFonts w:ascii="Times New Roman" w:hAnsi="Times New Roman"/>
          <w:b w:val="0"/>
          <w:i/>
          <w:color w:val="2F5496"/>
          <w:sz w:val="24"/>
        </w:rPr>
        <w:t>B.3 The Inference Market</w:t>
      </w:r>
    </w:p>
    <w:p>
      <w:pPr>
        <w:spacing w:before="0" w:after="80" w:line="360" w:lineRule="auto"/>
        <w:ind w:firstLine="0"/>
        <w:jc w:val="both"/>
      </w:pPr>
      <w:r>
        <w:t xml:space="preserve">The feasible supplier set for demand center </w:t>
      </w:r>
      <m:oMath>
        <m:r>
          <m:rPr>
            <m:sty m:val="i"/>
          </m:rPr>
          <w:rPr>
            <w:rFonts w:ascii="Cambria Math" w:hAnsi="Cambria Math"/>
          </w:rPr>
          <m:t xml:space="preserve">k</m:t>
        </m:r>
      </m:oMath>
      <w:r>
        <w:t xml:space="preserve"> is </w:t>
      </w:r>
      <m:oMath>
        <m:r>
          <m:rPr>
            <m:sty m:val="i"/>
          </m:rPr>
          <w:rPr>
            <w:rFonts w:ascii="Cambria Math" w:hAnsi="Cambria Math"/>
          </w:rPr>
          <m:t xml:space="preserve">S</m:t>
        </m:r>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 </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r>
          <m:rPr>
            <m:sty m:val="p"/>
          </m:rPr>
          <w:rPr>
            <w:rFonts w:ascii="Cambria Math" w:hAnsi="Cambria Math"/>
          </w:rPr>
          <m:t xml:space="preserve"> }</m:t>
        </m:r>
      </m:oMath>
      <w:r>
        <w:t xml:space="preserve">. The marginal cost of delivering one effective unit of inference from </w:t>
      </w:r>
      <m:oMath>
        <m:r>
          <m:rPr>
            <m:sty m:val="i"/>
          </m:rPr>
          <w:rPr>
            <w:rFonts w:ascii="Cambria Math" w:hAnsi="Cambria Math"/>
          </w:rPr>
          <m:t xml:space="preserve">j</m:t>
        </m:r>
      </m:oMath>
      <w:r>
        <w:t xml:space="preserve"> to </w:t>
      </w:r>
      <m:oMath>
        <m:r>
          <m:rPr>
            <m:sty m:val="i"/>
          </m:rPr>
          <w:rPr>
            <w:rFonts w:ascii="Cambria Math" w:hAnsi="Cambria Math"/>
          </w:rPr>
          <m:t xml:space="preserve">k</m:t>
        </m:r>
      </m:oMath>
      <w:r>
        <w:t xml:space="preserve">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MC</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r>
                <m:rPr>
                  <m:sty m:val="p"/>
                </m:rPr>
                <w:rPr>
                  <w:rFonts w:ascii="Cambria Math" w:hAnsi="Cambria Math"/>
                </w:rPr>
                <m:t xml:space="preserve">.</m:t>
              </m:r>
            </m:oMath>
          </w:p>
        </w:tc>
        <w:tc>
          <w:tcPr>
            <w:tcW w:w="720" w:type="dxa"/>
            <w:vAlign w:val="center"/>
          </w:tcPr>
          <w:p>
            <w:pPr>
              <w:jc w:val="right"/>
              <w:spacing w:before="60" w:after="60"/>
            </w:pPr>
            <w:bookmarkStart w:id="1702" w:name="EqB.2"/>
            <w:r>
              <w:t>(B.2)</w:t>
            </w:r>
            <w:bookmarkEnd w:id="1702"/>
          </w:p>
        </w:tc>
      </w:tr>
    </w:tbl>
    <w:p>
      <w:pPr>
        <w:spacing w:before="80" w:after="160" w:line="360" w:lineRule="auto"/>
        <w:ind w:firstLine="0"/>
        <w:jc w:val="both"/>
      </w:pPr>
      <w:r>
        <w:t xml:space="preserve">The inference rent per GPU-hour allocated to serving </w:t>
      </w:r>
      <m:oMath>
        <m:r>
          <m:rPr>
            <m:sty m:val="i"/>
          </m:rPr>
          <w:rPr>
            <w:rFonts w:ascii="Cambria Math" w:hAnsi="Cambria Math"/>
          </w:rPr>
          <m:t xml:space="preserve">k</m:t>
        </m:r>
      </m:oMath>
      <w:r>
        <w:t xml:space="preserve"> is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B.4 Capacity Allocation</w:t>
      </w:r>
    </w:p>
    <w:p>
      <w:pPr>
        <w:spacing w:before="0" w:after="80" w:line="360" w:lineRule="auto"/>
        <w:ind w:firstLine="0"/>
        <w:jc w:val="both"/>
      </w:pPr>
      <w:r>
        <w:t xml:space="preserve">Let </w:t>
      </w:r>
      <m:oMath>
        <m:sSub>
          <m:sSubPr/>
          <m:e>
            <m:r>
              <m:rPr>
                <m:sty m:val="i"/>
              </m:rPr>
              <w:rPr>
                <w:rFonts w:ascii="Cambria Math" w:hAnsi="Cambria Math"/>
              </w:rPr>
              <m:t xml:space="preserve">K</m:t>
            </m:r>
          </m:e>
          <m:sub>
            <m:r>
              <m:rPr>
                <m:sty m:val="i"/>
              </m:rPr>
              <w:rPr>
                <w:rFonts w:ascii="Cambria Math" w:hAnsi="Cambria Math"/>
              </w:rPr>
              <m:t xml:space="preserve">T,j</m:t>
            </m:r>
          </m:sub>
        </m:sSub>
      </m:oMath>
      <w:r>
        <w:t xml:space="preserve"> denote the GPU-hours country </w:t>
      </w:r>
      <m:oMath>
        <m:r>
          <m:rPr>
            <m:sty m:val="i"/>
          </m:rPr>
          <w:rPr>
            <w:rFonts w:ascii="Cambria Math" w:hAnsi="Cambria Math"/>
          </w:rPr>
          <m:t xml:space="preserve">j</m:t>
        </m:r>
      </m:oMath>
      <w:r>
        <w:t xml:space="preserve"> allocates to training exports and </w:t>
      </w:r>
      <m:oMath>
        <m:sSub>
          <m:sSubPr/>
          <m:e>
            <m:r>
              <m:rPr>
                <m:sty m:val="i"/>
              </m:rPr>
              <w:rPr>
                <w:rFonts w:ascii="Cambria Math" w:hAnsi="Cambria Math"/>
              </w:rPr>
              <m:t xml:space="preserve">K</m:t>
            </m:r>
          </m:e>
          <m:sub>
            <m:r>
              <m:rPr>
                <m:sty m:val="i"/>
              </m:rPr>
              <w:rPr>
                <w:rFonts w:ascii="Cambria Math" w:hAnsi="Cambria Math"/>
              </w:rPr>
              <m:t xml:space="preserve">I,j→k</m:t>
            </m:r>
          </m:sub>
        </m:sSub>
      </m:oMath>
      <w:r>
        <w:t xml:space="preserve"> the GPU-hours it allocates to inference exports to buyer </w:t>
      </w:r>
      <m:oMath>
        <m:r>
          <m:rPr>
            <m:sty m:val="i"/>
          </m:rPr>
          <w:rPr>
            <w:rFonts w:ascii="Cambria Math" w:hAnsi="Cambria Math"/>
          </w:rPr>
          <m:t xml:space="preserve">k</m:t>
        </m:r>
      </m:oMath>
      <w:r>
        <w:t xml:space="preserve">, so that total capacity used by country </w:t>
      </w:r>
      <m:oMath>
        <m:r>
          <m:rPr>
            <m:sty m:val="i"/>
          </m:rPr>
          <w:rPr>
            <w:rFonts w:ascii="Cambria Math" w:hAnsi="Cambria Math"/>
          </w:rPr>
          <m:t xml:space="preserve">j</m:t>
        </m:r>
      </m:oMath>
      <w:r>
        <w:t xml:space="preserve"> is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r>
              <m:rPr>
                <m:sty m:val="i"/>
              </m:rPr>
              <w:rPr>
                <w:rFonts w:ascii="Cambria Math" w:hAnsi="Cambria Math"/>
              </w:rPr>
              <m:t xml:space="preserve">K</m:t>
            </m:r>
          </m:e>
          <m:sub>
            <m:r>
              <m:rPr>
                <m:sty m:val="i"/>
              </m:rPr>
              <w:rPr>
                <w:rFonts w:ascii="Cambria Math" w:hAnsi="Cambria Math"/>
              </w:rPr>
              <m:t xml:space="preserve">T,j</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sub>
          <m:sup/>
          <m:e>
            <m:sSub>
              <m:sSubPr/>
              <m:e>
                <m:r>
                  <m:rPr>
                    <m:sty m:val="i"/>
                  </m:rPr>
                  <w:rPr>
                    <w:rFonts w:ascii="Cambria Math" w:hAnsi="Cambria Math"/>
                  </w:rPr>
                  <m:t xml:space="preserve">K</m:t>
                </m:r>
              </m:e>
              <m:sub>
                <m:r>
                  <m:rPr>
                    <m:sty m:val="i"/>
                  </m:rPr>
                  <w:rPr>
                    <w:rFonts w:ascii="Cambria Math" w:hAnsi="Cambria Math"/>
                  </w:rPr>
                  <m:t xml:space="preserve">I,j→k</m:t>
                </m:r>
              </m:sub>
            </m:sSub>
          </m:e>
        </m:nary>
      </m:oMath>
      <w:r>
        <w:t xml:space="preserve">. Each GPU-hour is allocated to its highest-margin use. The margins per GPU-hour are: training exports </w:t>
      </w:r>
      <m:oMath>
        <m:sSub>
          <m:sSubPr/>
          <m:e>
            <m:r>
              <m:rPr>
                <m:sty m:val="i"/>
              </m:rPr>
              <w:rPr>
                <w:rFonts w:ascii="Cambria Math" w:hAnsi="Cambria Math"/>
              </w:rPr>
              <m:t xml:space="preserve">r</m:t>
            </m:r>
          </m:e>
          <m:sub>
            <m:r>
              <m:rPr>
                <m:sty m:val="i"/>
              </m:rPr>
              <w:rPr>
                <w:rFonts w:ascii="Cambria Math" w:hAnsi="Cambria Math"/>
              </w:rPr>
              <m:t xml:space="preserve">T</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inference exports to </w:t>
      </w:r>
      <m:oMath>
        <m:r>
          <m:rPr>
            <m:sty m:val="i"/>
          </m:rPr>
          <w:rPr>
            <w:rFonts w:ascii="Cambria Math" w:hAnsi="Cambria Math"/>
          </w:rPr>
          <m:t xml:space="preserve">k</m:t>
        </m:r>
      </m:oMath>
      <w:r>
        <w:t xml:space="preserve">: </w:t>
      </w:r>
      <m:oMath>
        <m:sSub>
          <m:sSubPr/>
          <m:e>
            <m:r>
              <m:rPr>
                <m:sty m:val="i"/>
              </m:rPr>
              <w:rPr>
                <w:rFonts w:ascii="Cambria Math" w:hAnsi="Cambria Math"/>
              </w:rPr>
              <m:t xml:space="preserve">r</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j</m:t>
        </m:r>
        <m:r>
          <m:rPr>
            <m:sty m:val="p"/>
          </m:rPr>
          <w:rPr>
            <w:rFonts w:ascii="Cambria Math" w:hAnsi="Cambria Math"/>
          </w:rPr>
          <m:t xml:space="preserve">, </m:t>
        </m:r>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 / (1 + </m:t>
        </m:r>
        <m:r>
          <m:rPr>
            <m:sty m:val="i"/>
          </m:rPr>
          <w:rPr>
            <w:rFonts w:ascii="Cambria Math" w:hAnsi="Cambria Math"/>
          </w:rPr>
          <m:t xml:space="preserve">τ</m:t>
        </m:r>
        <m:r>
          <m:rPr>
            <m:sty m:val="p"/>
          </m:rPr>
          <w:rPr>
            <w:rFonts w:ascii="Cambria Math" w:hAnsi="Cambria Math"/>
          </w:rPr>
          <m:t xml:space="preserve"> · </m:t>
        </m:r>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j</m:t>
            </m:r>
          </m:sub>
        </m:sSub>
      </m:oMath>
      <w:r>
        <w:t xml:space="preserve">. Total rent from operating </w:t>
      </w:r>
      <m:oMath>
        <m:sSub>
          <m:sSubPr/>
          <m:e>
            <m:r>
              <m:rPr>
                <m:sty m:val="i"/>
              </m:rPr>
              <w:rPr>
                <w:rFonts w:ascii="Cambria Math" w:hAnsi="Cambria Math"/>
              </w:rPr>
              <m:t xml:space="preserve">K</m:t>
            </m:r>
          </m:e>
          <m:sub>
            <m:r>
              <m:rPr>
                <m:sty m:val="i"/>
              </m:rPr>
              <w:rPr>
                <w:rFonts w:ascii="Cambria Math" w:hAnsi="Cambria Math"/>
              </w:rPr>
              <m:t xml:space="preserve">j</m:t>
            </m:r>
          </m:sub>
        </m:sSub>
      </m:oMath>
      <w:r>
        <w:t xml:space="preserve"> GPU-hours is:</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Π</m:t>
                  </m:r>
                </m:e>
                <m:sub>
                  <m:r>
                    <m:rPr>
                      <m:sty m:val="i"/>
                    </m:rPr>
                    <w:rPr>
                      <w:rFonts w:ascii="Cambria Math" w:hAnsi="Cambria Math"/>
                    </w:rPr>
                    <m:t xml:space="preserve">j</m:t>
                  </m:r>
                </m:sub>
              </m:sSub>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nary>
                <m:naryPr>
                  <m:chr m:val="∑"/>
                </m:naryPr>
                <m:sub>
                  <m:r>
                    <m:rPr>
                      <m:sty m:val="i"/>
                    </m:rPr>
                    <w:rPr>
                      <w:rFonts w:ascii="Cambria Math" w:hAnsi="Cambria Math"/>
                    </w:rPr>
                    <m:t xml:space="preserve">n</m:t>
                  </m:r>
                  <m:r>
                    <m:rPr>
                      <m:sty m:val="p"/>
                    </m:rPr>
                    <w:rPr>
                      <w:rFonts w:ascii="Cambria Math" w:hAnsi="Cambria Math"/>
                    </w:rPr>
                    <m:t xml:space="preserve"> = 1</m:t>
                  </m:r>
                </m:sub>
                <m:sup>
                  <m:sSub>
                    <m:sSubPr/>
                    <m:e>
                      <m:r>
                        <m:rPr>
                          <m:sty m:val="i"/>
                        </m:rPr>
                        <w:rPr>
                          <w:rFonts w:ascii="Cambria Math" w:hAnsi="Cambria Math"/>
                        </w:rPr>
                        <m:t xml:space="preserve">K</m:t>
                      </m:r>
                    </m:e>
                    <m:sub>
                      <m:r>
                        <m:rPr>
                          <m:sty m:val="i"/>
                        </m:rPr>
                        <w:rPr>
                          <w:rFonts w:ascii="Cambria Math" w:hAnsi="Cambria Math"/>
                        </w:rPr>
                        <m:t xml:space="preserve">j</m:t>
                      </m:r>
                    </m:sub>
                  </m:sSub>
                </m:sup>
                <m:e>
                  <m:sSubSup>
                    <m:sSubSupPr/>
                    <m:e>
                      <m:r>
                        <m:rPr>
                          <m:sty m:val="i"/>
                        </m:rPr>
                        <w:rPr>
                          <w:rFonts w:ascii="Cambria Math" w:hAnsi="Cambria Math"/>
                        </w:rPr>
                        <m:t xml:space="preserve">r</m:t>
                      </m:r>
                    </m:e>
                    <m:sub>
                      <m:r>
                        <m:rPr>
                          <m:sty m:val="i"/>
                        </m:rPr>
                        <w:rPr>
                          <w:rFonts w:ascii="Cambria Math" w:hAnsi="Cambria Math"/>
                        </w:rPr>
                        <m:t xml:space="preserve">j</m:t>
                      </m:r>
                    </m:sub>
                    <m:sup>
                      <m:r>
                        <m:rPr>
                          <m:sty m:val="i"/>
                        </m:rPr>
                        <w:rPr>
                          <w:rFonts w:ascii="Cambria Math" w:hAnsi="Cambria Math"/>
                        </w:rPr>
                        <m:t xml:space="preserve">(n)</m:t>
                      </m:r>
                    </m:sup>
                  </m:sSubSup>
                </m:e>
              </m:nary>
              <m:r>
                <m:rPr>
                  <m:sty m:val="p"/>
                </m:rPr>
                <w:rPr>
                  <w:rFonts w:ascii="Cambria Math" w:hAnsi="Cambria Math"/>
                </w:rPr>
                <m:t xml:space="preserve">,</m:t>
              </m:r>
            </m:oMath>
          </w:p>
        </w:tc>
        <w:tc>
          <w:tcPr>
            <w:tcW w:w="720" w:type="dxa"/>
            <w:vAlign w:val="center"/>
          </w:tcPr>
          <w:p>
            <w:pPr>
              <w:jc w:val="right"/>
              <w:spacing w:before="60" w:after="60"/>
            </w:pPr>
            <w:bookmarkStart w:id="1703" w:name="EqB.3"/>
            <w:r>
              <w:t>(B.3)</w:t>
            </w:r>
            <w:bookmarkEnd w:id="1703"/>
          </w:p>
        </w:tc>
      </w:tr>
    </w:tbl>
    <w:p>
      <w:pPr>
        <w:spacing w:before="80" w:after="160" w:line="360" w:lineRule="auto"/>
        <w:ind w:firstLine="0"/>
        <w:jc w:val="both"/>
      </w:pPr>
      <w:r>
        <w:t xml:space="preserve">which is concave and piecewise linear in </w:t>
      </w:r>
      <m:oMath>
        <m:sSub>
          <m:sSubPr/>
          <m:e>
            <m:r>
              <m:rPr>
                <m:sty m:val="i"/>
              </m:rPr>
              <w:rPr>
                <w:rFonts w:ascii="Cambria Math" w:hAnsi="Cambria Math"/>
              </w:rPr>
              <m:t xml:space="preserve">K</m:t>
            </m:r>
          </m:e>
          <m:sub>
            <m:r>
              <m:rPr>
                <m:sty m:val="i"/>
              </m:rPr>
              <w:rPr>
                <w:rFonts w:ascii="Cambria Math" w:hAnsi="Cambria Math"/>
              </w:rPr>
              <m:t xml:space="preserve">j</m:t>
            </m:r>
          </m:sub>
        </m:sSub>
      </m:oMath>
      <w:r>
        <w:t>.</w:t>
      </w:r>
    </w:p>
    <w:p>
      <w:pPr>
        <w:pStyle w:val="Heading2"/>
      </w:pPr>
      <w:r>
        <w:rPr>
          <w:rFonts w:ascii="Times New Roman" w:hAnsi="Times New Roman"/>
          <w:b w:val="0"/>
          <w:i/>
          <w:color w:val="2F5496"/>
          <w:sz w:val="24"/>
        </w:rPr>
        <w:t>B.5 Equilibrium Definition and Existence</w:t>
      </w:r>
    </w:p>
    <w:p>
      <w:pPr>
        <w:spacing w:before="0" w:after="160" w:line="360" w:lineRule="auto"/>
        <w:ind w:firstLine="0"/>
        <w:jc w:val="both"/>
      </w:pPr>
      <w:r>
        <w:t xml:space="preserve">A competitive equilibrium consists of a training price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inference prices </w:t>
      </w:r>
      <m:oMath>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I</m:t>
            </m:r>
          </m:sub>
        </m:sSub>
        <m:r>
          <m:rPr>
            <m:sty m:val="p"/>
          </m:rPr>
          <w:rPr>
            <w:rFonts w:ascii="Cambria Math" w:hAnsi="Cambria Math"/>
          </w:rPr>
          <m:t xml:space="preserve">(</m:t>
        </m:r>
        <m:r>
          <m:rPr>
            <m:sty m:val="i"/>
          </m:rPr>
          <w:rPr>
            <w:rFonts w:ascii="Cambria Math" w:hAnsi="Cambria Math"/>
          </w:rPr>
          <m:t xml:space="preserve">k</m:t>
        </m:r>
        <m:r>
          <m:rPr>
            <m:sty m:val="p"/>
          </m:rPr>
          <w:rPr>
            <w:rFonts w:ascii="Cambria Math" w:hAnsi="Cambria Math"/>
          </w:rPr>
          <m:t xml:space="preserve">)}</m:t>
        </m:r>
      </m:oMath>
      <w:r>
        <w:t xml:space="preserve">, and capacity allocations </w:t>
      </w:r>
      <m:oMath>
        <m:r>
          <m:rPr>
            <m:sty m:val="p"/>
          </m:rPr>
          <w:rPr>
            <w:rFonts w:ascii="Cambria Math" w:hAnsi="Cambria Math"/>
          </w:rPr>
          <m:t xml:space="preserve">{</m:t>
        </m:r>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m:t>
        </m:r>
      </m:oMath>
      <w:r>
        <w:t xml:space="preserve"> such that: (i) each GPU-hour is allocated to its highest-margin use; (ii) training and inference markets clear; (iii) all allocations are feasible (</w:t>
      </w:r>
      <m:oMath>
        <m:sSub>
          <m:sSubPr/>
          <m:e>
            <m:r>
              <m:rPr>
                <m:sty m:val="i"/>
              </m:rPr>
              <w:rPr>
                <w:rFonts w:ascii="Cambria Math" w:hAnsi="Cambria Math"/>
              </w:rPr>
              <m:t xml:space="preserve">K</m:t>
            </m:r>
          </m:e>
          <m:sub>
            <m:r>
              <m:rPr>
                <m:sty m:val="i"/>
              </m:rPr>
              <w:rPr>
                <w:rFonts w:ascii="Cambria Math" w:hAnsi="Cambria Math"/>
              </w:rPr>
              <m:t xml:space="preserve">j</m:t>
            </m:r>
          </m:sub>
        </m:sSub>
        <m:r>
          <m:rPr>
            <m:sty m:val="p"/>
          </m:rPr>
          <w:rPr>
            <w:rFonts w:ascii="Cambria Math" w:hAnsi="Cambria Math"/>
          </w:rPr>
          <m:t xml:space="preserve"> ≤ </m:t>
        </m:r>
        <m:sSub>
          <m:sSubPr/>
          <m:e>
            <m:bar>
              <m:barPr>
                <m:pos m:val="top"/>
              </m:barPr>
              <m:e>
                <m:r>
                  <m:rPr>
                    <m:sty m:val="i"/>
                  </m:rPr>
                  <w:rPr>
                    <w:rFonts w:ascii="Cambria Math" w:hAnsi="Cambria Math"/>
                  </w:rPr>
                  <m:t xml:space="preserve">K</m:t>
                </m:r>
              </m:e>
            </m:bar>
          </m:e>
          <m:sub>
            <m:r>
              <m:rPr>
                <m:sty m:val="i"/>
              </m:rPr>
              <w:rPr>
                <w:rFonts w:ascii="Cambria Math" w:hAnsi="Cambria Math"/>
              </w:rPr>
              <m:t xml:space="preserve">j</m:t>
            </m:r>
          </m:sub>
        </m:sSub>
      </m:oMath>
      <w:r>
        <w:t xml:space="preserve">). Existence follows from a fixed-point argument: the training supply curve is a step function with steps at </w:t>
      </w:r>
      <m:oMath>
        <m:sSub>
          <m:sSubPr/>
          <m:e>
            <m:r>
              <m:rPr>
                <m:sty m:val="i"/>
              </m:rPr>
              <w:rPr>
                <w:rFonts w:ascii="Cambria Math" w:hAnsi="Cambria Math"/>
              </w:rPr>
              <m:t xml:space="preserve">c</m:t>
            </m:r>
          </m:e>
          <m:sub>
            <m:r>
              <m:rPr>
                <m:sty m:val="i"/>
              </m:rPr>
              <w:rPr>
                <w:rFonts w:ascii="Cambria Math" w:hAnsi="Cambria Math"/>
              </w:rPr>
              <m:t xml:space="preserve">(i)</m:t>
            </m:r>
          </m:sub>
        </m:sSub>
      </m:oMath>
      <w:r>
        <w:t xml:space="preserve"> and widths </w:t>
      </w:r>
      <m:oMath>
        <m:sSub>
          <m:sSubPr/>
          <m:e>
            <m:bar>
              <m:barPr>
                <m:pos m:val="top"/>
              </m:barPr>
              <m:e>
                <m:r>
                  <m:rPr>
                    <m:sty m:val="i"/>
                  </m:rPr>
                  <w:rPr>
                    <w:rFonts w:ascii="Cambria Math" w:hAnsi="Cambria Math"/>
                  </w:rPr>
                  <m:t xml:space="preserve">K</m:t>
                </m:r>
              </m:e>
            </m:bar>
          </m:e>
          <m:sub>
            <m:r>
              <m:rPr>
                <m:sty m:val="i"/>
              </m:rPr>
              <w:rPr>
                <w:rFonts w:ascii="Cambria Math" w:hAnsi="Cambria Math"/>
              </w:rPr>
              <m:t xml:space="preserve">(i)</m:t>
            </m:r>
          </m:sub>
        </m:sSub>
      </m:oMath>
      <w:r>
        <w:t xml:space="preserve">; intersection with the demand curve pins down </w:t>
      </w:r>
      <m:oMath>
        <m:sSub>
          <m:sSubPr/>
          <m:e>
            <m:r>
              <m:rPr>
                <m:sty m:val="i"/>
              </m:rPr>
              <w:rPr>
                <w:rFonts w:ascii="Cambria Math" w:hAnsi="Cambria Math"/>
              </w:rPr>
              <m:t xml:space="preserve">p</m:t>
            </m:r>
          </m:e>
          <m:sub>
            <m:r>
              <m:rPr>
                <m:sty m:val="i"/>
              </m:rPr>
              <w:rPr>
                <w:rFonts w:ascii="Cambria Math" w:hAnsi="Cambria Math"/>
              </w:rPr>
              <m:t xml:space="preserve">T</m:t>
            </m:r>
          </m:sub>
        </m:sSub>
      </m:oMath>
      <w:r>
        <w:t>.</w:t>
      </w:r>
    </w:p>
    <w:p>
      <w:pPr>
        <w:pStyle w:val="Heading2"/>
      </w:pPr>
      <w:r>
        <w:rPr>
          <w:rFonts w:ascii="Times New Roman" w:hAnsi="Times New Roman"/>
          <w:b w:val="0"/>
          <w:i/>
          <w:color w:val="2F5496"/>
          <w:sz w:val="24"/>
        </w:rPr>
        <w:t>B.6 Welfare Cost of Sovereignty</w:t>
      </w:r>
    </w:p>
    <w:p>
      <w:pPr>
        <w:spacing w:before="0" w:after="80" w:line="360" w:lineRule="auto"/>
        <w:ind w:firstLine="0"/>
        <w:jc w:val="both"/>
      </w:pPr>
      <w:r>
        <w:t xml:space="preserve">The welfare cost has two components. For each importing country </w:t>
      </w:r>
      <m:oMath>
        <m:r>
          <m:rPr>
            <m:sty m:val="i"/>
          </m:rPr>
          <w:rPr>
            <w:rFonts w:ascii="Cambria Math" w:hAnsi="Cambria Math"/>
          </w:rPr>
          <m:t xml:space="preserve">k</m:t>
        </m:r>
      </m:oMath>
      <w:r>
        <w:t xml:space="preserve">, let </w:t>
      </w:r>
      <m:oMath>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xml:space="preserve"> denote its equilibrium supplier (the seller minimizing delivered cost), and write </w:t>
      </w:r>
      <m:oMath>
        <m:sSub>
          <m:sSubPr/>
          <m:e>
            <m:r>
              <m:rPr>
                <m:sty m:val="i"/>
              </m:rPr>
              <w:rPr>
                <w:rFonts w:ascii="Cambria Math" w:hAnsi="Cambria Math"/>
              </w:rPr>
              <m:t xml:space="preserve">λ</m:t>
            </m:r>
          </m:e>
          <m:sub>
            <m:r>
              <m:rPr>
                <m:sty m:val="i"/>
              </m:rPr>
              <w:rPr>
                <w:rFonts w:ascii="Cambria Math" w:hAnsi="Cambria Math"/>
              </w:rPr>
              <m:t xml:space="preserve">jk</m:t>
            </m:r>
          </m:sub>
        </m:sSub>
      </m:oMath>
      <w:r>
        <w:t xml:space="preserve"> evaluated at </w:t>
      </w:r>
      <m:oMath>
        <m:r>
          <m:rPr>
            <m:sty m:val="i"/>
          </m:rPr>
          <w:rPr>
            <w:rFonts w:ascii="Cambria Math" w:hAnsi="Cambria Math"/>
          </w:rPr>
          <m:t xml:space="preserve">j</m:t>
        </m:r>
        <m:r>
          <m:rPr>
            <m:sty m:val="p"/>
          </m:rPr>
          <w:rPr>
            <w:rFonts w:ascii="Cambria Math" w:hAnsi="Cambria Math"/>
          </w:rPr>
          <m:t xml:space="preserve"> = </m:t>
        </m:r>
        <m:sSubSup>
          <m:sSubSupPr/>
          <m:e>
            <m:r>
              <m:rPr>
                <m:sty m:val="i"/>
              </m:rPr>
              <w:rPr>
                <w:rFonts w:ascii="Cambria Math" w:hAnsi="Cambria Math"/>
              </w:rPr>
              <m:t xml:space="preserve">j</m:t>
            </m:r>
          </m:e>
          <m:sub>
            <m:r>
              <m:rPr>
                <m:sty m:val="i"/>
              </m:rPr>
              <w:rPr>
                <w:rFonts w:ascii="Cambria Math" w:hAnsi="Cambria Math"/>
              </w:rPr>
              <m:t xml:space="preserve">k</m:t>
            </m:r>
          </m:sub>
          <m:sup>
            <m:r>
              <m:rPr>
                <m:sty m:val="i"/>
              </m:rPr>
              <w:rPr>
                <w:rFonts w:ascii="Cambria Math" w:hAnsi="Cambria Math"/>
              </w:rPr>
              <m:t xml:space="preserve">*</m:t>
            </m:r>
          </m:sup>
        </m:sSubSup>
      </m:oMath>
      <w:r>
        <w:t>. Import markup:</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M</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e>
              </m:nary>
              <m:r>
                <m:rPr>
                  <m:sty m:val="p"/>
                </m:rPr>
                <w:rPr>
                  <w:rFonts w:ascii="Cambria Math" w:hAnsi="Cambria Math"/>
                </w:rPr>
                <m:t xml:space="preserve">.</m:t>
              </m:r>
            </m:oMath>
          </w:p>
        </w:tc>
        <w:tc>
          <w:tcPr>
            <w:tcW w:w="720" w:type="dxa"/>
            <w:vAlign w:val="center"/>
          </w:tcPr>
          <w:p>
            <w:pPr>
              <w:jc w:val="right"/>
              <w:spacing w:before="60" w:after="60"/>
            </w:pPr>
            <w:bookmarkStart w:id="1704" w:name="EqB.4"/>
            <w:r>
              <w:t>(B.4)</w:t>
            </w:r>
            <w:bookmarkEnd w:id="1704"/>
          </w:p>
        </w:tc>
      </w:tr>
    </w:tbl>
    <w:p>
      <w:pPr>
        <w:spacing w:before="80" w:after="80" w:line="360" w:lineRule="auto"/>
        <w:ind w:firstLine="0"/>
        <w:jc w:val="both"/>
      </w:pPr>
      <w:r>
        <w:t>Allocative inefficiency:</w:t>
      </w:r>
    </w:p>
    <w:tbl>
      <w:tblPr>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4320"/>
        <w:gridCol w:w="4320"/>
      </w:tblGrid>
      <w:tr>
        <w:tc>
          <w:tcPr>
            <w:tcW w:w="8640" w:type="dxa"/>
            <w:vAlign w:val="center"/>
          </w:tcPr>
          <w:p>
            <w:pPr>
              <w:jc w:val="center"/>
              <w:spacing w:before="60" w:after="60"/>
            </w:pPr>
            <m:oMath>
              <m:sSub>
                <m:sSubPr/>
                <m:e>
                  <m:r>
                    <m:rPr>
                      <m:sty m:val="i"/>
                    </m:rPr>
                    <w:rPr>
                      <w:rFonts w:ascii="Cambria Math" w:hAnsi="Cambria Math"/>
                    </w:rPr>
                    <m:t xml:space="preserve">DWL</m:t>
                  </m:r>
                </m:e>
                <m:sub>
                  <m:r>
                    <m:rPr>
                      <m:sty m:val="i"/>
                    </m:rPr>
                    <w:rPr>
                      <w:rFonts w:ascii="Cambria Math" w:hAnsi="Cambria Math"/>
                    </w:rPr>
                    <m:t xml:space="preserve">alloc</m:t>
                  </m:r>
                </m:sub>
              </m:sSub>
              <m:r>
                <m:rPr>
                  <m:sty m:val="p"/>
                </m:rPr>
                <w:rPr>
                  <w:rFonts w:ascii="Cambria Math" w:hAnsi="Cambria Math"/>
                </w:rPr>
                <m:t xml:space="preserve"> = </m:t>
              </m:r>
              <m:nary>
                <m:naryPr>
                  <m:chr m:val="∑"/>
                  <m:supHide m:val="1"/>
                </m:naryPr>
                <m:sub>
                  <m:r>
                    <m:rPr>
                      <m:sty m:val="i"/>
                    </m:rPr>
                    <w:rPr>
                      <w:rFonts w:ascii="Cambria Math" w:hAnsi="Cambria Math"/>
                    </w:rPr>
                    <m:t xml:space="preserve">k</m:t>
                  </m:r>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 &lt;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(1+</m:t>
                  </m:r>
                  <m:limLow>
                    <m:limLowPr/>
                    <m:e>
                      <m:r>
                        <m:rPr>
                          <m:sty m:val="p"/>
                        </m:rPr>
                        <w:rPr>
                          <w:rFonts w:ascii="Cambria Math" w:hAnsi="Cambria Math"/>
                        </w:rPr>
                        <m:t xml:space="preserve">min</m:t>
                      </m:r>
                    </m:e>
                    <m:lim>
                      <m:r>
                        <m:rPr>
                          <m:sty m:val="i"/>
                        </m:rPr>
                        <w:rPr>
                          <w:rFonts w:ascii="Cambria Math" w:hAnsi="Cambria Math"/>
                        </w:rPr>
                        <m:t xml:space="preserve">j</m:t>
                      </m:r>
                    </m:lim>
                  </m:limLow>
                  <m:r>
                    <m:rPr>
                      <m:sty m:val="p"/>
                    </m:rPr>
                    <w:rPr>
                      <w:rFonts w:ascii="Cambria Math" w:hAnsi="Cambria Math"/>
                    </w:rPr>
                    <m:t xml:space="preserve"> </m:t>
                  </m:r>
                  <m:sSub>
                    <m:sSubPr/>
                    <m:e>
                      <m:r>
                        <m:rPr>
                          <m:sty m:val="i"/>
                        </m:rPr>
                        <w:rPr>
                          <w:rFonts w:ascii="Cambria Math" w:hAnsi="Cambria Math"/>
                        </w:rPr>
                        <m:t xml:space="preserve">λ</m:t>
                      </m:r>
                    </m:e>
                    <m:sub>
                      <m:r>
                        <m:rPr>
                          <m:sty m:val="i"/>
                        </m:rPr>
                        <w:rPr>
                          <w:rFonts w:ascii="Cambria Math" w:hAnsi="Cambria Math"/>
                        </w:rPr>
                        <m:t xml:space="preserve">jk</m:t>
                      </m:r>
                    </m:sub>
                  </m:sSub>
                  <m:r>
                    <m:rPr>
                      <m:sty m:val="p"/>
                    </m:rPr>
                    <w:rPr>
                      <w:rFonts w:ascii="Cambria Math" w:hAnsi="Cambria Math"/>
                    </w:rPr>
                    <m:t xml:space="preserve">)</m:t>
                  </m:r>
                  <m:sSub>
                    <m:sSubPr/>
                    <m:e>
                      <m:r>
                        <m:rPr>
                          <m:sty m:val="i"/>
                        </m:rPr>
                        <w:rPr>
                          <w:rFonts w:ascii="Cambria Math" w:hAnsi="Cambria Math"/>
                        </w:rPr>
                        <m:t xml:space="preserve">p</m:t>
                      </m:r>
                    </m:e>
                    <m:sub>
                      <m:r>
                        <m:rPr>
                          <m:sty m:val="i"/>
                        </m:rPr>
                        <w:rPr>
                          <w:rFonts w:ascii="Cambria Math" w:hAnsi="Cambria Math"/>
                        </w:rPr>
                        <m:t xml:space="preserve">T</m:t>
                      </m:r>
                    </m:sub>
                  </m:sSub>
                </m:sub>
                <m:sup/>
                <m:e>
                  <m:sSub>
                    <m:sSubPr/>
                    <m:e>
                      <m:r>
                        <m:rPr>
                          <m:sty m:val="i"/>
                        </m:rPr>
                        <w:rPr>
                          <w:rFonts w:ascii="Cambria Math" w:hAnsi="Cambria Math"/>
                        </w:rPr>
                        <m:t xml:space="preserve">q</m:t>
                      </m:r>
                    </m:e>
                    <m:sub>
                      <m:r>
                        <m:rPr>
                          <m:sty m:val="i"/>
                        </m:rPr>
                        <w:rPr>
                          <w:rFonts w:ascii="Cambria Math" w:hAnsi="Cambria Math"/>
                        </w:rPr>
                        <m:t xml:space="preserve">Tk</m:t>
                      </m:r>
                    </m:sub>
                  </m:sSub>
                  <m:r>
                    <m:rPr>
                      <m:sty m:val="p"/>
                    </m:rPr>
                    <w:rPr>
                      <w:rFonts w:ascii="Cambria Math" w:hAnsi="Cambria Math"/>
                    </w:rPr>
                    <m:t xml:space="preserve"> · (</m:t>
                  </m:r>
                  <m:sSub>
                    <m:sSubPr/>
                    <m:e>
                      <m:r>
                        <m:rPr>
                          <m:sty m:val="i"/>
                        </m:rPr>
                        <w:rPr>
                          <w:rFonts w:ascii="Cambria Math" w:hAnsi="Cambria Math"/>
                        </w:rPr>
                        <m:t xml:space="preserve">c</m:t>
                      </m:r>
                    </m:e>
                    <m:sub>
                      <m:r>
                        <m:rPr>
                          <m:sty m:val="i"/>
                        </m:rPr>
                        <w:rPr>
                          <w:rFonts w:ascii="Cambria Math" w:hAnsi="Cambria Math"/>
                        </w:rPr>
                        <m:t xml:space="preserve">k</m:t>
                      </m:r>
                    </m:sub>
                  </m:sSub>
                  <m:r>
                    <m:rPr>
                      <m:sty m:val="p"/>
                    </m:rPr>
                    <w:rPr>
                      <w:rFonts w:ascii="Cambria Math" w:hAnsi="Cambria Math"/>
                    </w:rPr>
                    <m:t xml:space="preserve"> − </m:t>
                  </m:r>
                  <m:sSub>
                    <m:sSubPr/>
                    <m:e>
                      <m:r>
                        <m:rPr>
                          <m:sty m:val="i"/>
                        </m:rPr>
                        <w:rPr>
                          <w:rFonts w:ascii="Cambria Math" w:hAnsi="Cambria Math"/>
                        </w:rPr>
                        <m:t xml:space="preserve">p</m:t>
                      </m:r>
                    </m:e>
                    <m:sub>
                      <m:r>
                        <m:rPr>
                          <m:sty m:val="i"/>
                        </m:rPr>
                        <w:rPr>
                          <w:rFonts w:ascii="Cambria Math" w:hAnsi="Cambria Math"/>
                        </w:rPr>
                        <m:t xml:space="preserve">T</m:t>
                      </m:r>
                    </m:sub>
                  </m:sSub>
                  <m:r>
                    <m:rPr>
                      <m:sty m:val="p"/>
                    </m:rPr>
                    <w:rPr>
                      <w:rFonts w:ascii="Cambria Math" w:hAnsi="Cambria Math"/>
                    </w:rPr>
                    <m:t xml:space="preserve">).</m:t>
                  </m:r>
                </m:e>
              </m:nary>
            </m:oMath>
          </w:p>
        </w:tc>
        <w:tc>
          <w:tcPr>
            <w:tcW w:w="720" w:type="dxa"/>
            <w:vAlign w:val="center"/>
          </w:tcPr>
          <w:p>
            <w:pPr>
              <w:jc w:val="right"/>
              <w:spacing w:before="60" w:after="60"/>
            </w:pPr>
            <w:bookmarkStart w:id="1705" w:name="EqB.5"/>
            <w:r>
              <w:t>(B.5)</w:t>
            </w:r>
            <w:bookmarkEnd w:id="1705"/>
          </w:p>
        </w:tc>
      </w:tr>
    </w:tbl>
    <w:p>
      <w:pPr>
        <w:spacing w:before="80" w:after="160" w:line="360" w:lineRule="auto"/>
        <w:ind w:firstLine="0"/>
        <w:jc w:val="both"/>
      </w:pPr>
      <w:r>
        <w:t xml:space="preserve">Total: </w:t>
      </w:r>
      <m:oMath>
        <m:r>
          <m:rPr>
            <m:sty m:val="p"/>
          </m:rPr>
          <w:rPr>
            <w:rFonts w:ascii="Cambria Math" w:hAnsi="Cambria Math"/>
          </w:rPr>
          <m:t xml:space="preserve">DWL = </m:t>
        </m:r>
        <m:sSub>
          <m:sSubPr/>
          <m:e>
            <m:r>
              <m:rPr>
                <m:sty m:val="i"/>
              </m:rPr>
              <w:rPr>
                <w:rFonts w:ascii="Cambria Math" w:hAnsi="Cambria Math"/>
              </w:rPr>
              <m:t xml:space="preserve">DWL</m:t>
            </m:r>
          </m:e>
          <m:sub>
            <m:r>
              <m:rPr>
                <m:sty m:val="i"/>
              </m:rPr>
              <w:rPr>
                <w:rFonts w:ascii="Cambria Math" w:hAnsi="Cambria Math"/>
              </w:rPr>
              <m:t xml:space="preserve">import</m:t>
            </m:r>
          </m:sub>
        </m:sSub>
        <m:r>
          <m:rPr>
            <m:sty m:val="p"/>
          </m:rPr>
          <w:rPr>
            <w:rFonts w:ascii="Cambria Math" w:hAnsi="Cambria Math"/>
          </w:rPr>
          <m:t xml:space="preserve"> + </m:t>
        </m:r>
        <m:sSub>
          <m:sSubPr/>
          <m:e>
            <m:r>
              <m:rPr>
                <m:sty m:val="i"/>
              </m:rPr>
              <w:rPr>
                <w:rFonts w:ascii="Cambria Math" w:hAnsi="Cambria Math"/>
              </w:rPr>
              <m:t xml:space="preserve">DWL</m:t>
            </m:r>
          </m:e>
          <m:sub>
            <m:r>
              <m:rPr>
                <m:sty m:val="i"/>
              </m:rPr>
              <w:rPr>
                <w:rFonts w:ascii="Cambria Math" w:hAnsi="Cambria Math"/>
              </w:rPr>
              <m:t xml:space="preserve">alloc</m:t>
            </m:r>
          </m:sub>
        </m:sSub>
      </m:oMath>
      <w:r>
        <w:t xml:space="preserve">. Under capacity constraints, both components are smaller because the higher </w:t>
      </w:r>
      <m:oMath>
        <m:sSub>
          <m:sSubPr/>
          <m:e>
            <m:r>
              <m:rPr>
                <m:sty m:val="i"/>
              </m:rPr>
              <w:rPr>
                <w:rFonts w:ascii="Cambria Math" w:hAnsi="Cambria Math"/>
              </w:rPr>
              <m:t xml:space="preserve">p</m:t>
            </m:r>
          </m:e>
          <m:sub>
            <m:r>
              <m:rPr>
                <m:sty m:val="i"/>
              </m:rPr>
              <w:rPr>
                <w:rFonts w:ascii="Cambria Math" w:hAnsi="Cambria Math"/>
              </w:rPr>
              <m:t xml:space="preserve">T</m:t>
            </m:r>
          </m:sub>
        </m:sSub>
      </m:oMath>
      <w:r>
        <w:t xml:space="preserve"> narrows the gap between domestic and import costs.</w:t>
      </w:r>
    </w:p>
    <w:p>
      <w:pPr>
        <w:pStyle w:val="Heading1"/>
      </w:pPr>
      <w:r>
        <w:rPr>
          <w:rFonts w:ascii="Times New Roman" w:hAnsi="Times New Roman"/>
          <w:color w:val="2F5496"/>
          <w:sz w:val="28"/>
        </w:rPr>
        <w:t>Appendix C: Sensitivity Analysis</w:t>
      </w:r>
    </w:p>
    <w:p>
      <w:pPr>
        <w:spacing w:before="0" w:after="160" w:line="360" w:lineRule="auto"/>
        <w:ind w:firstLine="0"/>
        <w:jc w:val="both"/>
      </w:pPr>
      <w:hyperlink w:anchor="TableA3" w:history="1">
        <w:r>
          <w:rPr>
            <w:color w:val="1F3864"/>
            <w:u w:val="single"/>
          </w:rPr>
          <w:t xml:space="preserve">Table A3</w:t>
        </w:r>
      </w:hyperlink>
      <w:r>
        <w:t xml:space="preserve"> reports cost-recovery rankings under three robustness specifications. The baseline uses the calibrated hardware cost; the alternative scenarios vary the hardware cost share to test sensitivity of the rankings.</w:t>
      </w:r>
    </w:p>
    <w:p>
      <w:pPr>
        <w:spacing w:before="0" w:after="60" w:line="360" w:lineRule="auto"/>
        <w:ind w:firstLine="0"/>
        <w:jc w:val="both"/>
      </w:pPr>
      <w:bookmarkStart w:id="142" w:name="TableA3"/>
      <w:hyperlink w:anchor="TableA3txt" w:history="1">
        <w:r>
          <w:rPr>
            <w:b/>
            <w:sz w:val="20"/>
            <w:color w:val="1F3864"/>
            <w:u w:val="single"/>
          </w:rPr>
          <w:t>Table A3</w:t>
        </w:r>
      </w:hyperlink>
      <w:bookmarkEnd w:id="142"/>
      <w:r>
        <w:rPr>
          <w:b/>
          <w:sz w:val="20"/>
        </w:rPr>
        <w:t>. Sensitivity of cost-recovery rankings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Borders>
              <w:top w:val="single" w:sz="4" w:space="0" w:color="auto"/>
              <w:bottom w:val="single" w:sz="4" w:space="0" w:color="auto"/>
            </w:tcBorders>
            <w:tcW w:w="2000" w:type="dxa"/>
          </w:tcPr>
          <w:p>
            <w:pPr>
              <w:jc w:val="center"/>
              <w:spacing w:before="10" w:after="10"/>
            </w:pPr>
            <w:r/>
            <w:r>
              <w:rPr>
                <w:b/>
                <w:sz w:val="16"/>
              </w:rPr>
              <w:t>Scenario</w:t>
            </w:r>
          </w:p>
        </w:tc>
        <w:tc>
          <w:tcPr>
            <w:tcBorders>
              <w:top w:val="single" w:sz="4" w:space="0" w:color="auto"/>
              <w:bottom w:val="single" w:sz="4" w:space="0" w:color="auto"/>
            </w:tcBorders>
            <w:tcW w:w="2200" w:type="dxa"/>
          </w:tcPr>
          <w:p>
            <w:pPr>
              <w:jc w:val="center"/>
              <w:spacing w:before="10" w:after="10"/>
            </w:pPr>
            <w:r/>
            <w:r>
              <w:rPr>
                <w:b/>
                <w:sz w:val="16"/>
              </w:rPr>
              <w:t>Parameter change</w:t>
            </w:r>
          </w:p>
        </w:tc>
        <w:tc>
          <w:tcPr>
            <w:tcBorders>
              <w:top w:val="single" w:sz="4" w:space="0" w:color="auto"/>
              <w:bottom w:val="single" w:sz="4" w:space="0" w:color="auto"/>
            </w:tcBorders>
            <w:tcW w:w="700" w:type="dxa"/>
          </w:tcPr>
          <w:p>
            <w:pPr>
              <w:jc w:val="center"/>
              <w:spacing w:before="10" w:after="10"/>
            </w:pPr>
            <w:r/>
            <w:r>
              <w:rPr>
                <w:b/>
                <w:sz w:val="16"/>
              </w:rPr>
              <w:t>Dev top 15</w:t>
            </w:r>
          </w:p>
        </w:tc>
        <w:tc>
          <w:tcPr>
            <w:tcBorders>
              <w:top w:val="single" w:sz="4" w:space="0" w:color="auto"/>
              <w:bottom w:val="single" w:sz="4" w:space="0" w:color="auto"/>
            </w:tcBorders>
            <w:tcW w:w="700" w:type="dxa"/>
          </w:tcPr>
          <w:p>
            <w:pPr>
              <w:jc w:val="center"/>
              <w:spacing w:before="10" w:after="10"/>
            </w:pPr>
            <w:r/>
            <w:r>
              <w:rPr>
                <w:b/>
                <w:sz w:val="16"/>
              </w:rPr>
              <w:t>Max spread</w:t>
            </w:r>
          </w:p>
        </w:tc>
        <w:tc>
          <w:tcPr>
            <w:tcBorders>
              <w:top w:val="single" w:sz="4" w:space="0" w:color="auto"/>
              <w:bottom w:val="single" w:sz="4" w:space="0" w:color="auto"/>
            </w:tcBorders>
            <w:tcW w:w="900" w:type="dxa"/>
          </w:tcPr>
          <w:p>
            <w:pPr>
              <w:jc w:val="center"/>
              <w:spacing w:before="10" w:after="10"/>
            </w:pPr>
            <w:r/>
            <w:r>
              <w:rPr>
                <w:b/>
                <w:sz w:val="16"/>
              </w:rPr>
              <w:t>Spearman ρ vs baseline</w:t>
            </w:r>
          </w:p>
        </w:tc>
        <w:tc>
          <w:tcPr>
            <w:tcBorders>
              <w:top w:val="single" w:sz="4" w:space="0" w:color="auto"/>
              <w:bottom w:val="single" w:sz="4" w:space="0" w:color="auto"/>
            </w:tcBorders>
            <w:tcW w:w="2300" w:type="dxa"/>
          </w:tcPr>
          <w:p>
            <w:pPr>
              <w:jc w:val="center"/>
              <w:spacing w:before="10" w:after="10"/>
            </w:pPr>
            <w:r/>
            <w:r>
              <w:rPr>
                <w:b/>
                <w:sz w:val="16"/>
              </w:rPr>
              <w:t>Top 5</w:t>
            </w:r>
          </w:p>
        </w:tc>
      </w:tr>
      <w:tr>
        <w:tc>
          <w:tcPr>
            <w:tcW w:w="2000" w:type="dxa"/>
          </w:tcPr>
          <w:p>
            <w:pPr>
              <w:spacing w:before="10" w:after="10"/>
            </w:pPr>
            <w:r/>
            <w:r>
              <w:rPr>
                <w:sz w:val="16"/>
              </w:rPr>
              <w:t>Baseline (ρ=$1.36)</w:t>
            </w:r>
          </w:p>
        </w:tc>
        <w:tc>
          <w:tcPr>
            <w:tcW w:w="2200" w:type="dxa"/>
          </w:tcPr>
          <w:p>
            <w:pPr>
              <w:spacing w:before="10" w:after="10"/>
            </w:pPr>
            <w:r/>
            <w:r>
              <w:rPr>
                <w:sz w:val="16"/>
              </w:rPr>
              <w:t>ρ=$1.36</w:t>
            </w:r>
          </w:p>
        </w:tc>
        <w:tc>
          <w:tcPr>
            <w:tcW w:w="700" w:type="dxa"/>
          </w:tcPr>
          <w:p>
            <w:pPr>
              <w:jc w:val="right"/>
              <w:spacing w:before="10" w:after="10"/>
            </w:pPr>
            <w:r/>
            <w:r>
              <w:rPr>
                <w:sz w:val="16"/>
              </w:rPr>
              <w:t>11</w:t>
            </w:r>
          </w:p>
        </w:tc>
        <w:tc>
          <w:tcPr>
            <w:tcW w:w="700" w:type="dxa"/>
          </w:tcPr>
          <w:p>
            <w:pPr>
              <w:jc w:val="right"/>
              <w:spacing w:before="10" w:after="10"/>
            </w:pPr>
            <w:r/>
            <w:r>
              <w:rPr>
                <w:sz w:val="16"/>
              </w:rPr>
              <w:t>11.9%</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Ethiopia, Kosovo, Canada, Tajikistan</w:t>
            </w:r>
          </w:p>
        </w:tc>
      </w:tr>
      <w:tr>
        <w:tc>
          <w:tcPr>
            <w:tcW w:w="2000" w:type="dxa"/>
          </w:tcPr>
          <w:p>
            <w:pPr>
              <w:spacing w:before="10" w:after="10"/>
            </w:pPr>
            <w:r/>
            <w:r>
              <w:rPr>
                <w:sz w:val="16"/>
              </w:rPr>
              <w:t>Low hardware share (ρ=$1.30)</w:t>
            </w:r>
          </w:p>
        </w:tc>
        <w:tc>
          <w:tcPr>
            <w:tcW w:w="2200" w:type="dxa"/>
          </w:tcPr>
          <w:p>
            <w:pPr>
              <w:spacing w:before="10" w:after="10"/>
            </w:pPr>
            <w:r/>
            <w:r>
              <w:rPr>
                <w:sz w:val="16"/>
              </w:rPr>
              <w:t>ρ=$1.30 (−4.4%)</w:t>
            </w:r>
          </w:p>
        </w:tc>
        <w:tc>
          <w:tcPr>
            <w:tcW w:w="700" w:type="dxa"/>
          </w:tcPr>
          <w:p>
            <w:pPr>
              <w:jc w:val="right"/>
              <w:spacing w:before="10" w:after="10"/>
            </w:pPr>
            <w:r/>
            <w:r>
              <w:rPr>
                <w:sz w:val="16"/>
              </w:rPr>
              <w:t>11</w:t>
            </w:r>
          </w:p>
        </w:tc>
        <w:tc>
          <w:tcPr>
            <w:tcW w:w="700" w:type="dxa"/>
          </w:tcPr>
          <w:p>
            <w:pPr>
              <w:jc w:val="right"/>
              <w:spacing w:before="10" w:after="10"/>
            </w:pPr>
            <w:r/>
            <w:r>
              <w:rPr>
                <w:sz w:val="16"/>
              </w:rPr>
              <w:t>12.3%</w:t>
            </w:r>
          </w:p>
        </w:tc>
        <w:tc>
          <w:tcPr>
            <w:tcW w:w="900" w:type="dxa"/>
          </w:tcPr>
          <w:p>
            <w:pPr>
              <w:jc w:val="right"/>
              <w:spacing w:before="10" w:after="10"/>
            </w:pPr>
            <w:r/>
            <w:r>
              <w:rPr>
                <w:sz w:val="16"/>
              </w:rPr>
              <w:t>1.00</w:t>
            </w:r>
          </w:p>
        </w:tc>
        <w:tc>
          <w:tcPr>
            <w:tcW w:w="2300" w:type="dxa"/>
          </w:tcPr>
          <w:p>
            <w:pPr>
              <w:jc w:val="right"/>
              <w:spacing w:before="10" w:after="10"/>
            </w:pPr>
            <w:r/>
            <w:r>
              <w:rPr>
                <w:sz w:val="16"/>
              </w:rPr>
              <w:t>Kyrgyzstan, Ethiopia, Kosovo, Canada, Tajikistan</w:t>
            </w:r>
          </w:p>
        </w:tc>
      </w:tr>
      <w:tr>
        <w:tc>
          <w:tcPr>
            <w:tcBorders>
              <w:bottom w:val="double" w:sz="4" w:space="0" w:color="auto"/>
            </w:tcBorders>
            <w:tcW w:w="2000" w:type="dxa"/>
          </w:tcPr>
          <w:p>
            <w:pPr>
              <w:spacing w:before="10" w:after="10"/>
            </w:pPr>
            <w:r/>
            <w:r>
              <w:rPr>
                <w:sz w:val="16"/>
              </w:rPr>
              <w:t>High hardware share (ρ=$1.42)</w:t>
            </w:r>
          </w:p>
        </w:tc>
        <w:tc>
          <w:tcPr>
            <w:tcBorders>
              <w:bottom w:val="double" w:sz="4" w:space="0" w:color="auto"/>
            </w:tcBorders>
            <w:tcW w:w="2200" w:type="dxa"/>
          </w:tcPr>
          <w:p>
            <w:pPr>
              <w:spacing w:before="10" w:after="10"/>
            </w:pPr>
            <w:r/>
            <w:r>
              <w:rPr>
                <w:sz w:val="16"/>
              </w:rPr>
              <w:t>ρ=$1.42 (+4.4%)</w:t>
            </w:r>
          </w:p>
        </w:tc>
        <w:tc>
          <w:tcPr>
            <w:tcBorders>
              <w:bottom w:val="double" w:sz="4" w:space="0" w:color="auto"/>
            </w:tcBorders>
            <w:tcW w:w="700" w:type="dxa"/>
          </w:tcPr>
          <w:p>
            <w:pPr>
              <w:jc w:val="right"/>
              <w:spacing w:before="10" w:after="10"/>
            </w:pPr>
            <w:r/>
            <w:r>
              <w:rPr>
                <w:sz w:val="16"/>
              </w:rPr>
              <w:t>11</w:t>
            </w:r>
          </w:p>
        </w:tc>
        <w:tc>
          <w:tcPr>
            <w:tcBorders>
              <w:bottom w:val="double" w:sz="4" w:space="0" w:color="auto"/>
            </w:tcBorders>
            <w:tcW w:w="700" w:type="dxa"/>
          </w:tcPr>
          <w:p>
            <w:pPr>
              <w:jc w:val="right"/>
              <w:spacing w:before="10" w:after="10"/>
            </w:pPr>
            <w:r/>
            <w:r>
              <w:rPr>
                <w:sz w:val="16"/>
              </w:rPr>
              <w:t>11.4%</w:t>
            </w:r>
          </w:p>
        </w:tc>
        <w:tc>
          <w:tcPr>
            <w:tcBorders>
              <w:bottom w:val="double" w:sz="4" w:space="0" w:color="auto"/>
            </w:tcBorders>
            <w:tcW w:w="900" w:type="dxa"/>
          </w:tcPr>
          <w:p>
            <w:pPr>
              <w:jc w:val="right"/>
              <w:spacing w:before="10" w:after="10"/>
            </w:pPr>
            <w:r/>
            <w:r>
              <w:rPr>
                <w:sz w:val="16"/>
              </w:rPr>
              <w:t>1.00</w:t>
            </w:r>
          </w:p>
        </w:tc>
        <w:tc>
          <w:tcPr>
            <w:tcBorders>
              <w:bottom w:val="double" w:sz="4" w:space="0" w:color="auto"/>
            </w:tcBorders>
            <w:tcW w:w="2300" w:type="dxa"/>
          </w:tcPr>
          <w:p>
            <w:pPr>
              <w:jc w:val="right"/>
              <w:spacing w:before="10" w:after="10"/>
            </w:pPr>
            <w:r/>
            <w:r>
              <w:rPr>
                <w:sz w:val="16"/>
              </w:rPr>
              <w:t>Kyrgyzstan, Ethiopia, Kosovo, Canada, Tajikistan</w:t>
            </w:r>
          </w:p>
        </w:tc>
      </w:tr>
    </w:tbl>
    <w:p>
      <w:pPr>
        <w:spacing w:before="40" w:after="0" w:line="240" w:lineRule="auto"/>
        <w:ind w:firstLine="0"/>
        <w:jc w:val="left"/>
      </w:pPr>
      <w:r>
        <w:rPr>
          <w:sz w:val="20"/>
        </w:rPr>
        <w:t>Notes: Each row uses cost-recovery pricing (subsidized tariffs replaced with LRMC). Dev top 15 = number of developing countries in top 15. Max spread = maximum percentage difference between costliest and cheapest producer. Spearman ρ vs baseline = rank correlation with baseline scenario.</w:t>
      </w:r>
    </w:p>
    <w:p>
      <w:pPr>
        <w:pStyle w:val="Heading1"/>
      </w:pPr>
      <w:r>
        <w:rPr>
          <w:rFonts w:ascii="Times New Roman" w:hAnsi="Times New Roman"/>
          <w:color w:val="2F5496"/>
          <w:sz w:val="28"/>
        </w:rPr>
        <w:t>Appendix D: Data Center Investment Model — Kyrgyzstan</w:t>
      </w:r>
    </w:p>
    <w:p>
      <w:pPr>
        <w:spacing w:before="0" w:after="160" w:line="360" w:lineRule="auto"/>
        <w:ind w:firstLine="0"/>
        <w:jc w:val="both"/>
      </w:pPr>
      <w:bookmarkStart w:id="145" w:name="TableA4txt"/>
      <w:bookmarkEnd w:id="145"/>
      <w:bookmarkStart w:id="147" w:name="TableA5txt"/>
      <w:bookmarkEnd w:id="147"/>
      <w:bookmarkStart w:id="149" w:name="TableA6txt"/>
      <w:bookmarkEnd w:id="149"/>
      <w:r>
        <w:t xml:space="preserve">This appendix presents a 15-year discounted cash flow (DCF) analysis for a hypothetical 40 MW data center in Kyrgyzstan, the lowest-cost seller in the cost-recovery-adjusted calibration. </w:t>
      </w:r>
      <w:hyperlink w:anchor="TableA4" w:history="1">
        <w:r>
          <w:rPr>
            <w:color w:val="1F3864"/>
            <w:u w:val="single"/>
          </w:rPr>
          <w:t xml:space="preserve">Table A4</w:t>
        </w:r>
      </w:hyperlink>
      <w:r>
        <w:t xml:space="preserve"> summarizes facility parameters, </w:t>
      </w:r>
      <w:hyperlink w:anchor="TableA5" w:history="1">
        <w:r>
          <w:rPr>
            <w:color w:val="1F3864"/>
            <w:u w:val="single"/>
          </w:rPr>
          <w:t xml:space="preserve">Table A5</w:t>
        </w:r>
      </w:hyperlink>
      <w:r>
        <w:t xml:space="preserve"> presents the year-by-year cash flow, and </w:t>
      </w:r>
      <w:hyperlink w:anchor="TableA6" w:history="1">
        <w:r>
          <w:rPr>
            <w:color w:val="1F3864"/>
            <w:u w:val="single"/>
          </w:rPr>
          <w:t xml:space="preserve">Table A6</w:t>
        </w:r>
      </w:hyperlink>
      <w:r>
        <w:t xml:space="preserve"> reports sensitivity to parameter variation.</w:t>
      </w:r>
    </w:p>
    <w:p>
      <w:pPr>
        <w:spacing w:before="0" w:after="60" w:line="360" w:lineRule="auto"/>
        <w:ind w:firstLine="0"/>
        <w:jc w:val="both"/>
      </w:pPr>
      <w:bookmarkStart w:id="144" w:name="TableA4"/>
      <w:hyperlink w:anchor="TableA4txt" w:history="1">
        <w:r>
          <w:rPr>
            <w:b/>
            <w:sz w:val="20"/>
            <w:color w:val="1F3864"/>
            <w:u w:val="single"/>
          </w:rPr>
          <w:t>Table A4</w:t>
        </w:r>
      </w:hyperlink>
      <w:bookmarkEnd w:id="144"/>
      <w:r>
        <w:rPr>
          <w:b/>
          <w:sz w:val="20"/>
        </w:rPr>
        <w:t>. Facility specification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Borders>
              <w:top w:val="single" w:sz="4" w:space="0" w:color="auto"/>
              <w:bottom w:val="single" w:sz="4" w:space="0" w:color="auto"/>
            </w:tcBorders>
            <w:tcW w:w="3500" w:type="dxa"/>
          </w:tcPr>
          <w:p>
            <w:pPr>
              <w:jc w:val="center"/>
              <w:spacing w:before="10" w:after="10"/>
            </w:pPr>
            <w:r/>
            <w:r>
              <w:rPr>
                <w:b/>
                <w:sz w:val="16"/>
              </w:rPr>
              <w:t>Parameter</w:t>
            </w:r>
          </w:p>
        </w:tc>
        <w:tc>
          <w:tcPr>
            <w:tcBorders>
              <w:top w:val="single" w:sz="4" w:space="0" w:color="auto"/>
              <w:bottom w:val="single" w:sz="4" w:space="0" w:color="auto"/>
            </w:tcBorders>
            <w:tcW w:w="5300" w:type="dxa"/>
          </w:tcPr>
          <w:p>
            <w:pPr>
              <w:jc w:val="center"/>
              <w:spacing w:before="10" w:after="10"/>
            </w:pPr>
            <w:r/>
            <w:r>
              <w:rPr>
                <w:b/>
                <w:sz w:val="16"/>
              </w:rPr>
              <w:t>Value</w:t>
            </w:r>
          </w:p>
        </w:tc>
      </w:tr>
      <w:tr>
        <w:tc>
          <w:tcPr>
            <w:tcW w:w="3500" w:type="dxa"/>
          </w:tcPr>
          <w:p>
            <w:pPr>
              <w:spacing w:before="10" w:after="10"/>
            </w:pPr>
            <w:r/>
            <w:r>
              <w:rPr>
                <w:sz w:val="16"/>
              </w:rPr>
              <w:t>IT capacity</w:t>
            </w:r>
          </w:p>
        </w:tc>
        <w:tc>
          <w:tcPr>
            <w:tcW w:w="5300" w:type="dxa"/>
          </w:tcPr>
          <w:p>
            <w:pPr>
              <w:spacing w:before="10" w:after="10"/>
            </w:pPr>
            <w:r/>
            <w:r>
              <w:rPr>
                <w:sz w:val="16"/>
              </w:rPr>
              <w:t>40 MW</w:t>
            </w:r>
          </w:p>
        </w:tc>
      </w:tr>
      <w:tr>
        <w:tc>
          <w:tcPr>
            <w:tcW w:w="3500" w:type="dxa"/>
          </w:tcPr>
          <w:p>
            <w:pPr>
              <w:spacing w:before="10" w:after="10"/>
            </w:pPr>
            <w:r/>
            <w:r>
              <w:rPr>
                <w:sz w:val="16"/>
              </w:rPr>
              <w:t>Total power (with cooling)</w:t>
            </w:r>
          </w:p>
        </w:tc>
        <w:tc>
          <w:tcPr>
            <w:tcW w:w="5300" w:type="dxa"/>
          </w:tcPr>
          <w:p>
            <w:pPr>
              <w:spacing w:before="10" w:after="10"/>
            </w:pPr>
            <w:r/>
            <w:r>
              <w:rPr>
                <w:sz w:val="16"/>
              </w:rPr>
              <w:t>43.2 MW (PUE = 1.08)</w:t>
            </w:r>
          </w:p>
        </w:tc>
      </w:tr>
      <w:tr>
        <w:tc>
          <w:tcPr>
            <w:tcW w:w="3500" w:type="dxa"/>
          </w:tcPr>
          <w:p>
            <w:pPr>
              <w:spacing w:before="10" w:after="10"/>
            </w:pPr>
            <w:r/>
            <w:r>
              <w:rPr>
                <w:sz w:val="16"/>
              </w:rPr>
              <w:t>GPU count</w:t>
            </w:r>
          </w:p>
        </w:tc>
        <w:tc>
          <w:tcPr>
            <w:tcW w:w="5300" w:type="dxa"/>
          </w:tcPr>
          <w:p>
            <w:pPr>
              <w:spacing w:before="10" w:after="10"/>
            </w:pPr>
            <w:r/>
            <w:r>
              <w:rPr>
                <w:sz w:val="16"/>
              </w:rPr>
              <w:t>57,142 (H100-class, 700W each)</w:t>
            </w:r>
          </w:p>
        </w:tc>
      </w:tr>
      <w:tr>
        <w:tc>
          <w:tcPr>
            <w:tcW w:w="3500" w:type="dxa"/>
          </w:tcPr>
          <w:p>
            <w:pPr>
              <w:spacing w:before="10" w:after="10"/>
            </w:pPr>
            <w:r/>
            <w:r>
              <w:rPr>
                <w:sz w:val="16"/>
              </w:rPr>
              <w:t>GPU cost / lifetime</w:t>
            </w:r>
          </w:p>
        </w:tc>
        <w:tc>
          <w:tcPr>
            <w:tcW w:w="5300" w:type="dxa"/>
          </w:tcPr>
          <w:p>
            <w:pPr>
              <w:spacing w:before="10" w:after="10"/>
            </w:pPr>
            <w:r/>
            <w:r>
              <w:rPr>
                <w:sz w:val="16"/>
              </w:rPr>
              <w:t>$25,000 / 3 yr (−10% per generation)</w:t>
            </w:r>
          </w:p>
        </w:tc>
      </w:tr>
      <w:tr>
        <w:tc>
          <w:tcPr>
            <w:tcW w:w="3500" w:type="dxa"/>
          </w:tcPr>
          <w:p>
            <w:pPr>
              <w:spacing w:before="10" w:after="10"/>
            </w:pPr>
            <w:r/>
            <w:r>
              <w:rPr>
                <w:sz w:val="16"/>
              </w:rPr>
              <w:t>Construction cost</w:t>
            </w:r>
          </w:p>
        </w:tc>
        <w:tc>
          <w:tcPr>
            <w:tcW w:w="5300" w:type="dxa"/>
          </w:tcPr>
          <w:p>
            <w:pPr>
              <w:spacing w:before="10" w:after="10"/>
            </w:pPr>
            <w:r/>
            <w:r>
              <w:rPr>
                <w:sz w:val="16"/>
              </w:rPr>
              <w:t>$313M ($7.83/W)</w:t>
            </w:r>
          </w:p>
        </w:tc>
      </w:tr>
      <w:tr>
        <w:tc>
          <w:tcPr>
            <w:tcW w:w="3500" w:type="dxa"/>
          </w:tcPr>
          <w:p>
            <w:pPr>
              <w:spacing w:before="10" w:after="10"/>
            </w:pPr>
            <w:r/>
            <w:r>
              <w:rPr>
                <w:sz w:val="16"/>
              </w:rPr>
              <w:t>Electricity price</w:t>
            </w:r>
          </w:p>
        </w:tc>
        <w:tc>
          <w:tcPr>
            <w:tcW w:w="5300" w:type="dxa"/>
          </w:tcPr>
          <w:p>
            <w:pPr>
              <w:spacing w:before="10" w:after="10"/>
            </w:pPr>
            <w:r/>
            <w:r>
              <w:rPr>
                <w:sz w:val="16"/>
              </w:rPr>
              <w:t>$0.038/kWh (+2%/yr real)</w:t>
            </w:r>
          </w:p>
        </w:tc>
      </w:tr>
      <w:tr>
        <w:tc>
          <w:tcPr>
            <w:tcW w:w="3500" w:type="dxa"/>
          </w:tcPr>
          <w:p>
            <w:pPr>
              <w:spacing w:before="10" w:after="10"/>
            </w:pPr>
            <w:r/>
            <w:r>
              <w:rPr>
                <w:sz w:val="16"/>
              </w:rPr>
              <w:t>Revenue price</w:t>
            </w:r>
          </w:p>
        </w:tc>
        <w:tc>
          <w:tcPr>
            <w:tcW w:w="5300" w:type="dxa"/>
          </w:tcPr>
          <w:p>
            <w:pPr>
              <w:spacing w:before="10" w:after="10"/>
            </w:pPr>
            <w:r/>
            <w:r>
              <w:rPr>
                <w:sz w:val="16"/>
              </w:rPr>
              <w:t>$2.00/GPU-hr (wholesale)</w:t>
            </w:r>
          </w:p>
        </w:tc>
      </w:tr>
      <w:tr>
        <w:tc>
          <w:tcPr>
            <w:tcW w:w="3500" w:type="dxa"/>
          </w:tcPr>
          <w:p>
            <w:pPr>
              <w:spacing w:before="10" w:after="10"/>
            </w:pPr>
            <w:r/>
            <w:r>
              <w:rPr>
                <w:sz w:val="16"/>
              </w:rPr>
              <w:t>Utilization</w:t>
            </w:r>
          </w:p>
        </w:tc>
        <w:tc>
          <w:tcPr>
            <w:tcW w:w="5300" w:type="dxa"/>
          </w:tcPr>
          <w:p>
            <w:pPr>
              <w:spacing w:before="10" w:after="10"/>
            </w:pPr>
            <w:r/>
            <w:r>
              <w:rPr>
                <w:sz w:val="16"/>
              </w:rPr>
              <w:t>70% steady-state (40% yr 1, 60% yr 2)</w:t>
            </w:r>
          </w:p>
        </w:tc>
      </w:tr>
      <w:tr>
        <w:tc>
          <w:tcPr>
            <w:tcBorders>
              <w:bottom w:val="double" w:sz="4" w:space="0" w:color="auto"/>
            </w:tcBorders>
            <w:tcW w:w="3500" w:type="dxa"/>
          </w:tcPr>
          <w:p>
            <w:pPr>
              <w:spacing w:before="10" w:after="10"/>
            </w:pPr>
            <w:r/>
            <w:r>
              <w:rPr>
                <w:sz w:val="16"/>
              </w:rPr>
              <w:t>WACC</w:t>
            </w:r>
          </w:p>
        </w:tc>
        <w:tc>
          <w:tcPr>
            <w:tcBorders>
              <w:bottom w:val="double" w:sz="4" w:space="0" w:color="auto"/>
            </w:tcBorders>
            <w:tcW w:w="5300" w:type="dxa"/>
          </w:tcPr>
          <w:p>
            <w:pPr>
              <w:spacing w:before="10" w:after="10"/>
            </w:pPr>
            <w:r/>
            <w:r>
              <w:rPr>
                <w:sz w:val="16"/>
              </w:rPr>
              <w:t>12.6%</w:t>
            </w:r>
          </w:p>
        </w:tc>
      </w:tr>
    </w:tbl>
    <w:p>
      <w:pPr>
        <w:spacing w:before="40" w:after="80" w:line="240" w:lineRule="auto"/>
        <w:ind w:firstLine="0"/>
        <w:jc w:val="left"/>
      </w:pPr>
      <w:r>
        <w:rPr>
          <w:sz w:val="20"/>
        </w:rPr>
        <w:t>Notes: WACC = 60% × 15% (cost of equity) + 40% × 10% × (1 − 10%) (after-tax debt) = 12.6%. Cost of equity includes a 4% country risk premium and 6% emerging-market equity premium over the 5% risk-free rate.</w:t>
      </w:r>
    </w:p>
    <w:p>
      <w:pPr>
        <w:spacing w:before="0" w:after="60" w:line="360" w:lineRule="auto"/>
        <w:ind w:firstLine="0"/>
        <w:jc w:val="both"/>
      </w:pPr>
      <w:bookmarkStart w:id="146" w:name="TableA5"/>
      <w:hyperlink w:anchor="TableA5txt" w:history="1">
        <w:r>
          <w:rPr>
            <w:b/>
            <w:sz w:val="20"/>
            <w:color w:val="1F3864"/>
            <w:u w:val="single"/>
          </w:rPr>
          <w:t>Table A5</w:t>
        </w:r>
      </w:hyperlink>
      <w:bookmarkEnd w:id="146"/>
      <w:r>
        <w:rPr>
          <w:b/>
          <w:sz w:val="20"/>
        </w:rPr>
        <w:t>. Year-by-year cash flow ($ millions)</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234"/>
        <w:gridCol w:w="1234"/>
        <w:gridCol w:w="1234"/>
        <w:gridCol w:w="1234"/>
        <w:gridCol w:w="1234"/>
        <w:gridCol w:w="1234"/>
        <w:gridCol w:w="1234"/>
      </w:tblGrid>
      <w:tr>
        <w:tc>
          <w:tcPr>
            <w:tcBorders>
              <w:top w:val="single" w:sz="4" w:space="0" w:color="auto"/>
              <w:bottom w:val="single" w:sz="4" w:space="0" w:color="auto"/>
            </w:tcBorders>
            <w:tcW w:w="700" w:type="dxa"/>
          </w:tcPr>
          <w:p>
            <w:pPr>
              <w:jc w:val="center"/>
              <w:spacing w:before="10" w:after="10"/>
            </w:pPr>
            <w:r/>
            <w:r>
              <w:rPr>
                <w:b/>
                <w:sz w:val="16"/>
              </w:rPr>
              <w:t>Year</w:t>
            </w:r>
          </w:p>
        </w:tc>
        <w:tc>
          <w:tcPr>
            <w:tcBorders>
              <w:top w:val="single" w:sz="4" w:space="0" w:color="auto"/>
              <w:bottom w:val="single" w:sz="4" w:space="0" w:color="auto"/>
            </w:tcBorders>
            <w:tcW w:w="1400" w:type="dxa"/>
          </w:tcPr>
          <w:p>
            <w:pPr>
              <w:jc w:val="center"/>
              <w:spacing w:before="10" w:after="10"/>
            </w:pPr>
            <w:r/>
            <w:r>
              <w:rPr>
                <w:b/>
                <w:sz w:val="16"/>
              </w:rPr>
              <w:t>CAPEX</w:t>
            </w:r>
          </w:p>
        </w:tc>
        <w:tc>
          <w:tcPr>
            <w:tcBorders>
              <w:top w:val="single" w:sz="4" w:space="0" w:color="auto"/>
              <w:bottom w:val="single" w:sz="4" w:space="0" w:color="auto"/>
            </w:tcBorders>
            <w:tcW w:w="1400" w:type="dxa"/>
          </w:tcPr>
          <w:p>
            <w:pPr>
              <w:jc w:val="center"/>
              <w:spacing w:before="10" w:after="10"/>
            </w:pPr>
            <w:r/>
            <w:r>
              <w:rPr>
                <w:b/>
                <w:sz w:val="16"/>
              </w:rPr>
              <w:t>Revenue</w:t>
            </w:r>
          </w:p>
        </w:tc>
        <w:tc>
          <w:tcPr>
            <w:tcBorders>
              <w:top w:val="single" w:sz="4" w:space="0" w:color="auto"/>
              <w:bottom w:val="single" w:sz="4" w:space="0" w:color="auto"/>
            </w:tcBorders>
            <w:tcW w:w="1400" w:type="dxa"/>
          </w:tcPr>
          <w:p>
            <w:pPr>
              <w:jc w:val="center"/>
              <w:spacing w:before="10" w:after="10"/>
            </w:pPr>
            <w:r/>
            <w:r>
              <w:rPr>
                <w:b/>
                <w:sz w:val="16"/>
              </w:rPr>
              <w:t>OPEX</w:t>
            </w:r>
          </w:p>
        </w:tc>
        <w:tc>
          <w:tcPr>
            <w:tcBorders>
              <w:top w:val="single" w:sz="4" w:space="0" w:color="auto"/>
              <w:bottom w:val="single" w:sz="4" w:space="0" w:color="auto"/>
            </w:tcBorders>
            <w:tcW w:w="1400" w:type="dxa"/>
          </w:tcPr>
          <w:p>
            <w:pPr>
              <w:jc w:val="center"/>
              <w:spacing w:before="10" w:after="10"/>
            </w:pPr>
            <w:r/>
            <w:r>
              <w:rPr>
                <w:b/>
                <w:sz w:val="16"/>
              </w:rPr>
              <w:t>EBITDA</w:t>
            </w:r>
          </w:p>
        </w:tc>
        <w:tc>
          <w:tcPr>
            <w:tcBorders>
              <w:top w:val="single" w:sz="4" w:space="0" w:color="auto"/>
              <w:bottom w:val="single" w:sz="4" w:space="0" w:color="auto"/>
            </w:tcBorders>
            <w:tcW w:w="1400" w:type="dxa"/>
          </w:tcPr>
          <w:p>
            <w:pPr>
              <w:jc w:val="center"/>
              <w:spacing w:before="10" w:after="10"/>
            </w:pPr>
            <w:r/>
            <w:r>
              <w:rPr>
                <w:b/>
                <w:sz w:val="16"/>
              </w:rPr>
              <w:t>FCF</w:t>
            </w:r>
          </w:p>
        </w:tc>
        <w:tc>
          <w:tcPr>
            <w:tcBorders>
              <w:top w:val="single" w:sz="4" w:space="0" w:color="auto"/>
              <w:bottom w:val="single" w:sz="4" w:space="0" w:color="auto"/>
            </w:tcBorders>
            <w:tcW w:w="1100" w:type="dxa"/>
          </w:tcPr>
          <w:p>
            <w:pPr>
              <w:jc w:val="center"/>
              <w:spacing w:before="10" w:after="10"/>
            </w:pPr>
            <w:r/>
            <w:r>
              <w:rPr>
                <w:b/>
                <w:sz w:val="16"/>
              </w:rPr>
              <w:t>Cum. CF</w:t>
            </w:r>
          </w:p>
        </w:tc>
      </w:tr>
      <w:tr>
        <w:tc>
          <w:tcPr>
            <w:tcW w:w="700" w:type="dxa"/>
          </w:tcPr>
          <w:p>
            <w:pPr>
              <w:spacing w:before="10" w:after="10"/>
            </w:pPr>
            <w:r/>
            <w:r>
              <w:rPr>
                <w:sz w:val="16"/>
              </w:rPr>
              <w:t>0</w:t>
            </w:r>
          </w:p>
        </w:tc>
        <w:tc>
          <w:tcPr>
            <w:tcW w:w="1400" w:type="dxa"/>
          </w:tcPr>
          <w:p>
            <w:pPr>
              <w:spacing w:before="10" w:after="10"/>
            </w:pPr>
            <w:r/>
            <w:r>
              <w:rPr>
                <w:sz w:val="16"/>
              </w:rPr>
              <w:t>313.2</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0.0</w:t>
            </w:r>
          </w:p>
        </w:tc>
        <w:tc>
          <w:tcPr>
            <w:tcW w:w="1400" w:type="dxa"/>
          </w:tcPr>
          <w:p>
            <w:pPr>
              <w:jc w:val="right"/>
              <w:spacing w:before="10" w:after="10"/>
            </w:pPr>
            <w:r/>
            <w:r>
              <w:rPr>
                <w:sz w:val="16"/>
              </w:rPr>
              <w:t>-313.2</w:t>
            </w:r>
          </w:p>
        </w:tc>
        <w:tc>
          <w:tcPr>
            <w:tcW w:w="1100" w:type="dxa"/>
          </w:tcPr>
          <w:p>
            <w:pPr>
              <w:jc w:val="right"/>
              <w:spacing w:before="10" w:after="10"/>
            </w:pPr>
            <w:r/>
            <w:r>
              <w:rPr>
                <w:sz w:val="16"/>
              </w:rPr>
              <w:t>-313.2</w:t>
            </w:r>
          </w:p>
        </w:tc>
      </w:tr>
      <w:tr>
        <w:tc>
          <w:tcPr>
            <w:tcW w:w="700" w:type="dxa"/>
          </w:tcPr>
          <w:p>
            <w:pPr>
              <w:spacing w:before="10" w:after="10"/>
            </w:pPr>
            <w:r/>
            <w:r>
              <w:rPr>
                <w:sz w:val="16"/>
              </w:rPr>
              <w:t>1</w:t>
            </w:r>
          </w:p>
        </w:tc>
        <w:tc>
          <w:tcPr>
            <w:tcW w:w="1400" w:type="dxa"/>
          </w:tcPr>
          <w:p>
            <w:pPr>
              <w:spacing w:before="10" w:after="10"/>
            </w:pPr>
            <w:r/>
            <w:r>
              <w:rPr>
                <w:sz w:val="16"/>
              </w:rPr>
              <w:t>1542.8</w:t>
            </w:r>
          </w:p>
        </w:tc>
        <w:tc>
          <w:tcPr>
            <w:tcW w:w="1400" w:type="dxa"/>
          </w:tcPr>
          <w:p>
            <w:pPr>
              <w:jc w:val="right"/>
              <w:spacing w:before="10" w:after="10"/>
            </w:pPr>
            <w:r/>
            <w:r>
              <w:rPr>
                <w:sz w:val="16"/>
              </w:rPr>
              <w:t>400.7</w:t>
            </w:r>
          </w:p>
        </w:tc>
        <w:tc>
          <w:tcPr>
            <w:tcW w:w="1400" w:type="dxa"/>
          </w:tcPr>
          <w:p>
            <w:pPr>
              <w:jc w:val="right"/>
              <w:spacing w:before="10" w:after="10"/>
            </w:pPr>
            <w:r/>
            <w:r>
              <w:rPr>
                <w:sz w:val="16"/>
              </w:rPr>
              <w:t>32.4</w:t>
            </w:r>
          </w:p>
        </w:tc>
        <w:tc>
          <w:tcPr>
            <w:tcW w:w="1400" w:type="dxa"/>
          </w:tcPr>
          <w:p>
            <w:pPr>
              <w:jc w:val="right"/>
              <w:spacing w:before="10" w:after="10"/>
            </w:pPr>
            <w:r/>
            <w:r>
              <w:rPr>
                <w:sz w:val="16"/>
              </w:rPr>
              <w:t>368.4</w:t>
            </w:r>
          </w:p>
        </w:tc>
        <w:tc>
          <w:tcPr>
            <w:tcW w:w="1400" w:type="dxa"/>
          </w:tcPr>
          <w:p>
            <w:pPr>
              <w:jc w:val="right"/>
              <w:spacing w:before="10" w:after="10"/>
            </w:pPr>
            <w:r/>
            <w:r>
              <w:rPr>
                <w:sz w:val="16"/>
              </w:rPr>
              <w:t>-1174.5</w:t>
            </w:r>
          </w:p>
        </w:tc>
        <w:tc>
          <w:tcPr>
            <w:tcW w:w="1100" w:type="dxa"/>
          </w:tcPr>
          <w:p>
            <w:pPr>
              <w:jc w:val="right"/>
              <w:spacing w:before="10" w:after="10"/>
            </w:pPr>
            <w:r/>
            <w:r>
              <w:rPr>
                <w:sz w:val="16"/>
              </w:rPr>
              <w:t>-1487.7</w:t>
            </w:r>
          </w:p>
        </w:tc>
      </w:tr>
      <w:tr>
        <w:tc>
          <w:tcPr>
            <w:tcW w:w="700" w:type="dxa"/>
          </w:tcPr>
          <w:p>
            <w:pPr>
              <w:spacing w:before="10" w:after="10"/>
            </w:pPr>
            <w:r/>
            <w:r>
              <w:rPr>
                <w:sz w:val="16"/>
              </w:rPr>
              <w:t>2</w:t>
            </w:r>
          </w:p>
        </w:tc>
        <w:tc>
          <w:tcPr>
            <w:tcW w:w="1400" w:type="dxa"/>
          </w:tcPr>
          <w:p>
            <w:pPr>
              <w:spacing w:before="10" w:after="10"/>
            </w:pPr>
            <w:r/>
            <w:r>
              <w:rPr>
                <w:sz w:val="16"/>
              </w:rPr>
              <w:t>0.0</w:t>
            </w:r>
          </w:p>
        </w:tc>
        <w:tc>
          <w:tcPr>
            <w:tcW w:w="1400" w:type="dxa"/>
          </w:tcPr>
          <w:p>
            <w:pPr>
              <w:jc w:val="right"/>
              <w:spacing w:before="10" w:after="10"/>
            </w:pPr>
            <w:r/>
            <w:r>
              <w:rPr>
                <w:sz w:val="16"/>
              </w:rPr>
              <w:t>601.1</w:t>
            </w:r>
          </w:p>
        </w:tc>
        <w:tc>
          <w:tcPr>
            <w:tcW w:w="1400" w:type="dxa"/>
          </w:tcPr>
          <w:p>
            <w:pPr>
              <w:jc w:val="right"/>
              <w:spacing w:before="10" w:after="10"/>
            </w:pPr>
            <w:r/>
            <w:r>
              <w:rPr>
                <w:sz w:val="16"/>
              </w:rPr>
              <w:t>30.3</w:t>
            </w:r>
          </w:p>
        </w:tc>
        <w:tc>
          <w:tcPr>
            <w:tcW w:w="1400" w:type="dxa"/>
          </w:tcPr>
          <w:p>
            <w:pPr>
              <w:jc w:val="right"/>
              <w:spacing w:before="10" w:after="10"/>
            </w:pPr>
            <w:r/>
            <w:r>
              <w:rPr>
                <w:sz w:val="16"/>
              </w:rPr>
              <w:t>570.8</w:t>
            </w:r>
          </w:p>
        </w:tc>
        <w:tc>
          <w:tcPr>
            <w:tcW w:w="1400" w:type="dxa"/>
          </w:tcPr>
          <w:p>
            <w:pPr>
              <w:jc w:val="right"/>
              <w:spacing w:before="10" w:after="10"/>
            </w:pPr>
            <w:r/>
            <w:r>
              <w:rPr>
                <w:sz w:val="16"/>
              </w:rPr>
              <w:t>563.4</w:t>
            </w:r>
          </w:p>
        </w:tc>
        <w:tc>
          <w:tcPr>
            <w:tcW w:w="1100" w:type="dxa"/>
          </w:tcPr>
          <w:p>
            <w:pPr>
              <w:jc w:val="right"/>
              <w:spacing w:before="10" w:after="10"/>
            </w:pPr>
            <w:r/>
            <w:r>
              <w:rPr>
                <w:sz w:val="16"/>
              </w:rPr>
              <w:t>-924.2</w:t>
            </w:r>
          </w:p>
        </w:tc>
      </w:tr>
      <w:tr>
        <w:tc>
          <w:tcPr>
            <w:tcW w:w="700" w:type="dxa"/>
          </w:tcPr>
          <w:p>
            <w:pPr>
              <w:spacing w:before="10" w:after="10"/>
            </w:pPr>
            <w:r/>
            <w:r>
              <w:rPr>
                <w:sz w:val="16"/>
              </w:rPr>
              <w:t>3</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28.2</w:t>
            </w:r>
          </w:p>
        </w:tc>
        <w:tc>
          <w:tcPr>
            <w:tcW w:w="1400" w:type="dxa"/>
          </w:tcPr>
          <w:p>
            <w:pPr>
              <w:jc w:val="right"/>
              <w:spacing w:before="10" w:after="10"/>
            </w:pPr>
            <w:r/>
            <w:r>
              <w:rPr>
                <w:sz w:val="16"/>
              </w:rPr>
              <w:t>673.1</w:t>
            </w:r>
          </w:p>
        </w:tc>
        <w:tc>
          <w:tcPr>
            <w:tcW w:w="1400" w:type="dxa"/>
          </w:tcPr>
          <w:p>
            <w:pPr>
              <w:jc w:val="right"/>
              <w:spacing w:before="10" w:after="10"/>
            </w:pPr>
            <w:r/>
            <w:r>
              <w:rPr>
                <w:sz w:val="16"/>
              </w:rPr>
              <w:t>655.5</w:t>
            </w:r>
          </w:p>
        </w:tc>
        <w:tc>
          <w:tcPr>
            <w:tcW w:w="1100" w:type="dxa"/>
          </w:tcPr>
          <w:p>
            <w:pPr>
              <w:jc w:val="right"/>
              <w:spacing w:before="10" w:after="10"/>
            </w:pPr>
            <w:r/>
            <w:r>
              <w:rPr>
                <w:sz w:val="16"/>
              </w:rPr>
              <w:t>-268.8</w:t>
            </w:r>
          </w:p>
        </w:tc>
      </w:tr>
      <w:tr>
        <w:tc>
          <w:tcPr>
            <w:tcW w:w="700" w:type="dxa"/>
          </w:tcPr>
          <w:p>
            <w:pPr>
              <w:spacing w:before="10" w:after="10"/>
            </w:pPr>
            <w:r/>
            <w:r>
              <w:rPr>
                <w:sz w:val="16"/>
              </w:rPr>
              <w:t>4</w:t>
            </w:r>
          </w:p>
        </w:tc>
        <w:tc>
          <w:tcPr>
            <w:tcW w:w="1400" w:type="dxa"/>
          </w:tcPr>
          <w:p>
            <w:pPr>
              <w:spacing w:before="10" w:after="10"/>
            </w:pPr>
            <w:r/>
            <w:r>
              <w:rPr>
                <w:sz w:val="16"/>
              </w:rPr>
              <w:t>1285.7</w:t>
            </w:r>
          </w:p>
        </w:tc>
        <w:tc>
          <w:tcPr>
            <w:tcW w:w="1400" w:type="dxa"/>
          </w:tcPr>
          <w:p>
            <w:pPr>
              <w:jc w:val="right"/>
              <w:spacing w:before="10" w:after="10"/>
            </w:pPr>
            <w:r/>
            <w:r>
              <w:rPr>
                <w:sz w:val="16"/>
              </w:rPr>
              <w:t>701.3</w:t>
            </w:r>
          </w:p>
        </w:tc>
        <w:tc>
          <w:tcPr>
            <w:tcW w:w="1400" w:type="dxa"/>
          </w:tcPr>
          <w:p>
            <w:pPr>
              <w:jc w:val="right"/>
              <w:spacing w:before="10" w:after="10"/>
            </w:pPr>
            <w:r/>
            <w:r>
              <w:rPr>
                <w:sz w:val="16"/>
              </w:rPr>
              <w:t>32.6</w:t>
            </w:r>
          </w:p>
        </w:tc>
        <w:tc>
          <w:tcPr>
            <w:tcW w:w="1400" w:type="dxa"/>
          </w:tcPr>
          <w:p>
            <w:pPr>
              <w:jc w:val="right"/>
              <w:spacing w:before="10" w:after="10"/>
            </w:pPr>
            <w:r/>
            <w:r>
              <w:rPr>
                <w:sz w:val="16"/>
              </w:rPr>
              <w:t>668.7</w:t>
            </w:r>
          </w:p>
        </w:tc>
        <w:tc>
          <w:tcPr>
            <w:tcW w:w="1400" w:type="dxa"/>
          </w:tcPr>
          <w:p>
            <w:pPr>
              <w:jc w:val="right"/>
              <w:spacing w:before="10" w:after="10"/>
            </w:pPr>
            <w:r/>
            <w:r>
              <w:rPr>
                <w:sz w:val="16"/>
              </w:rPr>
              <w:t>-638.9</w:t>
            </w:r>
          </w:p>
        </w:tc>
        <w:tc>
          <w:tcPr>
            <w:tcW w:w="1100" w:type="dxa"/>
          </w:tcPr>
          <w:p>
            <w:pPr>
              <w:jc w:val="right"/>
              <w:spacing w:before="10" w:after="10"/>
            </w:pPr>
            <w:r/>
            <w:r>
              <w:rPr>
                <w:sz w:val="16"/>
              </w:rPr>
              <w:t>-907.7</w:t>
            </w:r>
          </w:p>
        </w:tc>
      </w:tr>
      <w:tr>
        <w:tc>
          <w:tcPr>
            <w:tcW w:w="700" w:type="dxa"/>
          </w:tcPr>
          <w:p>
            <w:pPr>
              <w:spacing w:before="10" w:after="10"/>
            </w:pPr>
            <w:r/>
            <w:r>
              <w:rPr>
                <w:sz w:val="16"/>
              </w:rPr>
              <w:t>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30.8</w:t>
            </w:r>
          </w:p>
        </w:tc>
        <w:tc>
          <w:tcPr>
            <w:tcW w:w="1400" w:type="dxa"/>
          </w:tcPr>
          <w:p>
            <w:pPr>
              <w:jc w:val="right"/>
              <w:spacing w:before="10" w:after="10"/>
            </w:pPr>
            <w:r/>
            <w:r>
              <w:rPr>
                <w:sz w:val="16"/>
              </w:rPr>
              <w:t>670.5</w:t>
            </w:r>
          </w:p>
        </w:tc>
        <w:tc>
          <w:tcPr>
            <w:tcW w:w="1400" w:type="dxa"/>
          </w:tcPr>
          <w:p>
            <w:pPr>
              <w:jc w:val="right"/>
              <w:spacing w:before="10" w:after="10"/>
            </w:pPr>
            <w:r/>
            <w:r>
              <w:rPr>
                <w:sz w:val="16"/>
              </w:rPr>
              <w:t>648.4</w:t>
            </w:r>
          </w:p>
        </w:tc>
        <w:tc>
          <w:tcPr>
            <w:tcW w:w="1100" w:type="dxa"/>
          </w:tcPr>
          <w:p>
            <w:pPr>
              <w:jc w:val="right"/>
              <w:spacing w:before="10" w:after="10"/>
            </w:pPr>
            <w:r/>
            <w:r>
              <w:rPr>
                <w:sz w:val="16"/>
              </w:rPr>
              <w:t>-259.3</w:t>
            </w:r>
          </w:p>
        </w:tc>
      </w:tr>
      <w:tr>
        <w:tc>
          <w:tcPr>
            <w:tcW w:w="700" w:type="dxa"/>
          </w:tcPr>
          <w:p>
            <w:pPr>
              <w:spacing w:before="10" w:after="10"/>
            </w:pPr>
            <w:r/>
            <w:r>
              <w:rPr>
                <w:sz w:val="16"/>
              </w:rPr>
              <w:t>6</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29.0</w:t>
            </w:r>
          </w:p>
        </w:tc>
        <w:tc>
          <w:tcPr>
            <w:tcW w:w="1400" w:type="dxa"/>
          </w:tcPr>
          <w:p>
            <w:pPr>
              <w:jc w:val="right"/>
              <w:spacing w:before="10" w:after="10"/>
            </w:pPr>
            <w:r/>
            <w:r>
              <w:rPr>
                <w:sz w:val="16"/>
              </w:rPr>
              <w:t>672.3</w:t>
            </w:r>
          </w:p>
        </w:tc>
        <w:tc>
          <w:tcPr>
            <w:tcW w:w="1400" w:type="dxa"/>
          </w:tcPr>
          <w:p>
            <w:pPr>
              <w:jc w:val="right"/>
              <w:spacing w:before="10" w:after="10"/>
            </w:pPr>
            <w:r/>
            <w:r>
              <w:rPr>
                <w:sz w:val="16"/>
              </w:rPr>
              <w:t>535.7</w:t>
            </w:r>
          </w:p>
        </w:tc>
        <w:tc>
          <w:tcPr>
            <w:tcW w:w="1100" w:type="dxa"/>
          </w:tcPr>
          <w:p>
            <w:pPr>
              <w:jc w:val="right"/>
              <w:spacing w:before="10" w:after="10"/>
            </w:pPr>
            <w:r/>
            <w:r>
              <w:rPr>
                <w:sz w:val="16"/>
              </w:rPr>
              <w:t>276.4</w:t>
            </w:r>
          </w:p>
        </w:tc>
      </w:tr>
      <w:tr>
        <w:tc>
          <w:tcPr>
            <w:tcW w:w="700" w:type="dxa"/>
          </w:tcPr>
          <w:p>
            <w:pPr>
              <w:spacing w:before="10" w:after="10"/>
            </w:pPr>
            <w:r/>
            <w:r>
              <w:rPr>
                <w:sz w:val="16"/>
              </w:rPr>
              <w:t>7</w:t>
            </w:r>
          </w:p>
        </w:tc>
        <w:tc>
          <w:tcPr>
            <w:tcW w:w="1400" w:type="dxa"/>
          </w:tcPr>
          <w:p>
            <w:pPr>
              <w:spacing w:before="10" w:after="10"/>
            </w:pPr>
            <w:r/>
            <w:r>
              <w:rPr>
                <w:sz w:val="16"/>
              </w:rPr>
              <w:t>1157.1</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668.3</w:t>
            </w:r>
          </w:p>
        </w:tc>
        <w:tc>
          <w:tcPr>
            <w:tcW w:w="1400" w:type="dxa"/>
          </w:tcPr>
          <w:p>
            <w:pPr>
              <w:jc w:val="right"/>
              <w:spacing w:before="10" w:after="10"/>
            </w:pPr>
            <w:r/>
            <w:r>
              <w:rPr>
                <w:sz w:val="16"/>
              </w:rPr>
              <w:t>-515.0</w:t>
            </w:r>
          </w:p>
        </w:tc>
        <w:tc>
          <w:tcPr>
            <w:tcW w:w="1100" w:type="dxa"/>
          </w:tcPr>
          <w:p>
            <w:pPr>
              <w:jc w:val="right"/>
              <w:spacing w:before="10" w:after="10"/>
            </w:pPr>
            <w:r/>
            <w:r>
              <w:rPr>
                <w:sz w:val="16"/>
              </w:rPr>
              <w:t>-238.6</w:t>
            </w:r>
          </w:p>
        </w:tc>
      </w:tr>
      <w:tr>
        <w:tc>
          <w:tcPr>
            <w:tcW w:w="700" w:type="dxa"/>
          </w:tcPr>
          <w:p>
            <w:pPr>
              <w:spacing w:before="10" w:after="10"/>
            </w:pPr>
            <w:r/>
            <w:r>
              <w:rPr>
                <w:sz w:val="16"/>
              </w:rPr>
              <w:t>8</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31.4</w:t>
            </w:r>
          </w:p>
        </w:tc>
        <w:tc>
          <w:tcPr>
            <w:tcW w:w="1400" w:type="dxa"/>
          </w:tcPr>
          <w:p>
            <w:pPr>
              <w:jc w:val="right"/>
              <w:spacing w:before="10" w:after="10"/>
            </w:pPr>
            <w:r/>
            <w:r>
              <w:rPr>
                <w:sz w:val="16"/>
              </w:rPr>
              <w:t>669.9</w:t>
            </w:r>
          </w:p>
        </w:tc>
        <w:tc>
          <w:tcPr>
            <w:tcW w:w="1400" w:type="dxa"/>
          </w:tcPr>
          <w:p>
            <w:pPr>
              <w:jc w:val="right"/>
              <w:spacing w:before="10" w:after="10"/>
            </w:pPr>
            <w:r/>
            <w:r>
              <w:rPr>
                <w:sz w:val="16"/>
              </w:rPr>
              <w:t>643.6</w:t>
            </w:r>
          </w:p>
        </w:tc>
        <w:tc>
          <w:tcPr>
            <w:tcW w:w="1100" w:type="dxa"/>
          </w:tcPr>
          <w:p>
            <w:pPr>
              <w:jc w:val="right"/>
              <w:spacing w:before="10" w:after="10"/>
            </w:pPr>
            <w:r/>
            <w:r>
              <w:rPr>
                <w:sz w:val="16"/>
              </w:rPr>
              <w:t>405.0</w:t>
            </w:r>
          </w:p>
        </w:tc>
      </w:tr>
      <w:tr>
        <w:tc>
          <w:tcPr>
            <w:tcW w:w="700" w:type="dxa"/>
          </w:tcPr>
          <w:p>
            <w:pPr>
              <w:spacing w:before="10" w:after="10"/>
            </w:pPr>
            <w:r/>
            <w:r>
              <w:rPr>
                <w:sz w:val="16"/>
              </w:rPr>
              <w:t>9</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29.8</w:t>
            </w:r>
          </w:p>
        </w:tc>
        <w:tc>
          <w:tcPr>
            <w:tcW w:w="1400" w:type="dxa"/>
          </w:tcPr>
          <w:p>
            <w:pPr>
              <w:jc w:val="right"/>
              <w:spacing w:before="10" w:after="10"/>
            </w:pPr>
            <w:r/>
            <w:r>
              <w:rPr>
                <w:sz w:val="16"/>
              </w:rPr>
              <w:t>671.5</w:t>
            </w:r>
          </w:p>
        </w:tc>
        <w:tc>
          <w:tcPr>
            <w:tcW w:w="1400" w:type="dxa"/>
          </w:tcPr>
          <w:p>
            <w:pPr>
              <w:jc w:val="right"/>
              <w:spacing w:before="10" w:after="10"/>
            </w:pPr>
            <w:r/>
            <w:r>
              <w:rPr>
                <w:sz w:val="16"/>
              </w:rPr>
              <w:t>645.0</w:t>
            </w:r>
          </w:p>
        </w:tc>
        <w:tc>
          <w:tcPr>
            <w:tcW w:w="1100" w:type="dxa"/>
          </w:tcPr>
          <w:p>
            <w:pPr>
              <w:jc w:val="right"/>
              <w:spacing w:before="10" w:after="10"/>
            </w:pPr>
            <w:r/>
            <w:r>
              <w:rPr>
                <w:sz w:val="16"/>
              </w:rPr>
              <w:t>1050.0</w:t>
            </w:r>
          </w:p>
        </w:tc>
      </w:tr>
      <w:tr>
        <w:tc>
          <w:tcPr>
            <w:tcW w:w="700" w:type="dxa"/>
          </w:tcPr>
          <w:p>
            <w:pPr>
              <w:spacing w:before="10" w:after="10"/>
            </w:pPr>
            <w:r/>
            <w:r>
              <w:rPr>
                <w:sz w:val="16"/>
              </w:rPr>
              <w:t>10</w:t>
            </w:r>
          </w:p>
        </w:tc>
        <w:tc>
          <w:tcPr>
            <w:tcW w:w="1400" w:type="dxa"/>
          </w:tcPr>
          <w:p>
            <w:pPr>
              <w:spacing w:before="10" w:after="10"/>
            </w:pPr>
            <w:r/>
            <w:r>
              <w:rPr>
                <w:sz w:val="16"/>
              </w:rPr>
              <w:t>1041.4</w:t>
            </w:r>
          </w:p>
        </w:tc>
        <w:tc>
          <w:tcPr>
            <w:tcW w:w="1400" w:type="dxa"/>
          </w:tcPr>
          <w:p>
            <w:pPr>
              <w:jc w:val="right"/>
              <w:spacing w:before="10" w:after="10"/>
            </w:pPr>
            <w:r/>
            <w:r>
              <w:rPr>
                <w:sz w:val="16"/>
              </w:rPr>
              <w:t>701.3</w:t>
            </w:r>
          </w:p>
        </w:tc>
        <w:tc>
          <w:tcPr>
            <w:tcW w:w="1400" w:type="dxa"/>
          </w:tcPr>
          <w:p>
            <w:pPr>
              <w:jc w:val="right"/>
              <w:spacing w:before="10" w:after="10"/>
            </w:pPr>
            <w:r/>
            <w:r>
              <w:rPr>
                <w:sz w:val="16"/>
              </w:rPr>
              <w:t>33.4</w:t>
            </w:r>
          </w:p>
        </w:tc>
        <w:tc>
          <w:tcPr>
            <w:tcW w:w="1400" w:type="dxa"/>
          </w:tcPr>
          <w:p>
            <w:pPr>
              <w:jc w:val="right"/>
              <w:spacing w:before="10" w:after="10"/>
            </w:pPr>
            <w:r/>
            <w:r>
              <w:rPr>
                <w:sz w:val="16"/>
              </w:rPr>
              <w:t>667.9</w:t>
            </w:r>
          </w:p>
        </w:tc>
        <w:tc>
          <w:tcPr>
            <w:tcW w:w="1400" w:type="dxa"/>
          </w:tcPr>
          <w:p>
            <w:pPr>
              <w:jc w:val="right"/>
              <w:spacing w:before="10" w:after="10"/>
            </w:pPr>
            <w:r/>
            <w:r>
              <w:rPr>
                <w:sz w:val="16"/>
              </w:rPr>
              <w:t>-403.5</w:t>
            </w:r>
          </w:p>
        </w:tc>
        <w:tc>
          <w:tcPr>
            <w:tcW w:w="1100" w:type="dxa"/>
          </w:tcPr>
          <w:p>
            <w:pPr>
              <w:jc w:val="right"/>
              <w:spacing w:before="10" w:after="10"/>
            </w:pPr>
            <w:r/>
            <w:r>
              <w:rPr>
                <w:sz w:val="16"/>
              </w:rPr>
              <w:t>646.5</w:t>
            </w:r>
          </w:p>
        </w:tc>
      </w:tr>
      <w:tr>
        <w:tc>
          <w:tcPr>
            <w:tcW w:w="700" w:type="dxa"/>
          </w:tcPr>
          <w:p>
            <w:pPr>
              <w:spacing w:before="10" w:after="10"/>
            </w:pPr>
            <w:r/>
            <w:r>
              <w:rPr>
                <w:sz w:val="16"/>
              </w:rPr>
              <w:t>11</w:t>
            </w:r>
          </w:p>
        </w:tc>
        <w:tc>
          <w:tcPr>
            <w:tcW w:w="1400" w:type="dxa"/>
          </w:tcPr>
          <w:p>
            <w:pPr>
              <w:spacing w:before="10" w:after="10"/>
            </w:pPr>
            <w:r/>
            <w:r>
              <w:rPr>
                <w:sz w:val="16"/>
              </w:rPr>
              <w:t>114.3</w:t>
            </w:r>
          </w:p>
        </w:tc>
        <w:tc>
          <w:tcPr>
            <w:tcW w:w="1400" w:type="dxa"/>
          </w:tcPr>
          <w:p>
            <w:pPr>
              <w:jc w:val="right"/>
              <w:spacing w:before="10" w:after="10"/>
            </w:pPr>
            <w:r/>
            <w:r>
              <w:rPr>
                <w:sz w:val="16"/>
              </w:rPr>
              <w:t>701.3</w:t>
            </w:r>
          </w:p>
        </w:tc>
        <w:tc>
          <w:tcPr>
            <w:tcW w:w="1400" w:type="dxa"/>
          </w:tcPr>
          <w:p>
            <w:pPr>
              <w:jc w:val="right"/>
              <w:spacing w:before="10" w:after="10"/>
            </w:pPr>
            <w:r/>
            <w:r>
              <w:rPr>
                <w:sz w:val="16"/>
              </w:rPr>
              <w:t>32.0</w:t>
            </w:r>
          </w:p>
        </w:tc>
        <w:tc>
          <w:tcPr>
            <w:tcW w:w="1400" w:type="dxa"/>
          </w:tcPr>
          <w:p>
            <w:pPr>
              <w:jc w:val="right"/>
              <w:spacing w:before="10" w:after="10"/>
            </w:pPr>
            <w:r/>
            <w:r>
              <w:rPr>
                <w:sz w:val="16"/>
              </w:rPr>
              <w:t>669.2</w:t>
            </w:r>
          </w:p>
        </w:tc>
        <w:tc>
          <w:tcPr>
            <w:tcW w:w="1400" w:type="dxa"/>
          </w:tcPr>
          <w:p>
            <w:pPr>
              <w:jc w:val="right"/>
              <w:spacing w:before="10" w:after="10"/>
            </w:pPr>
            <w:r/>
            <w:r>
              <w:rPr>
                <w:sz w:val="16"/>
              </w:rPr>
              <w:t>524.8</w:t>
            </w:r>
          </w:p>
        </w:tc>
        <w:tc>
          <w:tcPr>
            <w:tcW w:w="1100" w:type="dxa"/>
          </w:tcPr>
          <w:p>
            <w:pPr>
              <w:jc w:val="right"/>
              <w:spacing w:before="10" w:after="10"/>
            </w:pPr>
            <w:r/>
            <w:r>
              <w:rPr>
                <w:sz w:val="16"/>
              </w:rPr>
              <w:t>1171.3</w:t>
            </w:r>
          </w:p>
        </w:tc>
      </w:tr>
      <w:tr>
        <w:tc>
          <w:tcPr>
            <w:tcW w:w="700" w:type="dxa"/>
          </w:tcPr>
          <w:p>
            <w:pPr>
              <w:spacing w:before="10" w:after="10"/>
            </w:pPr>
            <w:r/>
            <w:r>
              <w:rPr>
                <w:sz w:val="16"/>
              </w:rPr>
              <w:t>12</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30.7</w:t>
            </w:r>
          </w:p>
        </w:tc>
        <w:tc>
          <w:tcPr>
            <w:tcW w:w="1400" w:type="dxa"/>
          </w:tcPr>
          <w:p>
            <w:pPr>
              <w:jc w:val="right"/>
              <w:spacing w:before="10" w:after="10"/>
            </w:pPr>
            <w:r/>
            <w:r>
              <w:rPr>
                <w:sz w:val="16"/>
              </w:rPr>
              <w:t>670.6</w:t>
            </w:r>
          </w:p>
        </w:tc>
        <w:tc>
          <w:tcPr>
            <w:tcW w:w="1400" w:type="dxa"/>
          </w:tcPr>
          <w:p>
            <w:pPr>
              <w:jc w:val="right"/>
              <w:spacing w:before="10" w:after="10"/>
            </w:pPr>
            <w:r/>
            <w:r>
              <w:rPr>
                <w:sz w:val="16"/>
              </w:rPr>
              <w:t>640.3</w:t>
            </w:r>
          </w:p>
        </w:tc>
        <w:tc>
          <w:tcPr>
            <w:tcW w:w="1100" w:type="dxa"/>
          </w:tcPr>
          <w:p>
            <w:pPr>
              <w:jc w:val="right"/>
              <w:spacing w:before="10" w:after="10"/>
            </w:pPr>
            <w:r/>
            <w:r>
              <w:rPr>
                <w:sz w:val="16"/>
              </w:rPr>
              <w:t>1811.6</w:t>
            </w:r>
          </w:p>
        </w:tc>
      </w:tr>
      <w:tr>
        <w:tc>
          <w:tcPr>
            <w:tcW w:w="700" w:type="dxa"/>
          </w:tcPr>
          <w:p>
            <w:pPr>
              <w:spacing w:before="10" w:after="10"/>
            </w:pPr>
            <w:r/>
            <w:r>
              <w:rPr>
                <w:sz w:val="16"/>
              </w:rPr>
              <w:t>13</w:t>
            </w:r>
          </w:p>
        </w:tc>
        <w:tc>
          <w:tcPr>
            <w:tcW w:w="1400" w:type="dxa"/>
          </w:tcPr>
          <w:p>
            <w:pPr>
              <w:spacing w:before="10" w:after="10"/>
            </w:pPr>
            <w:r/>
            <w:r>
              <w:rPr>
                <w:sz w:val="16"/>
              </w:rPr>
              <w:t>937.3</w:t>
            </w:r>
          </w:p>
        </w:tc>
        <w:tc>
          <w:tcPr>
            <w:tcW w:w="1400" w:type="dxa"/>
          </w:tcPr>
          <w:p>
            <w:pPr>
              <w:jc w:val="right"/>
              <w:spacing w:before="10" w:after="10"/>
            </w:pPr>
            <w:r/>
            <w:r>
              <w:rPr>
                <w:sz w:val="16"/>
              </w:rPr>
              <w:t>701.3</w:t>
            </w:r>
          </w:p>
        </w:tc>
        <w:tc>
          <w:tcPr>
            <w:tcW w:w="1400" w:type="dxa"/>
          </w:tcPr>
          <w:p>
            <w:pPr>
              <w:jc w:val="right"/>
              <w:spacing w:before="10" w:after="10"/>
            </w:pPr>
            <w:r/>
            <w:r>
              <w:rPr>
                <w:sz w:val="16"/>
              </w:rPr>
              <w:t>34.0</w:t>
            </w:r>
          </w:p>
        </w:tc>
        <w:tc>
          <w:tcPr>
            <w:tcW w:w="1400" w:type="dxa"/>
          </w:tcPr>
          <w:p>
            <w:pPr>
              <w:jc w:val="right"/>
              <w:spacing w:before="10" w:after="10"/>
            </w:pPr>
            <w:r/>
            <w:r>
              <w:rPr>
                <w:sz w:val="16"/>
              </w:rPr>
              <w:t>667.2</w:t>
            </w:r>
          </w:p>
        </w:tc>
        <w:tc>
          <w:tcPr>
            <w:tcW w:w="1400" w:type="dxa"/>
          </w:tcPr>
          <w:p>
            <w:pPr>
              <w:jc w:val="right"/>
              <w:spacing w:before="10" w:after="10"/>
            </w:pPr>
            <w:r/>
            <w:r>
              <w:rPr>
                <w:sz w:val="16"/>
              </w:rPr>
              <w:t>-303.4</w:t>
            </w:r>
          </w:p>
        </w:tc>
        <w:tc>
          <w:tcPr>
            <w:tcW w:w="1100" w:type="dxa"/>
          </w:tcPr>
          <w:p>
            <w:pPr>
              <w:jc w:val="right"/>
              <w:spacing w:before="10" w:after="10"/>
            </w:pPr>
            <w:r/>
            <w:r>
              <w:rPr>
                <w:sz w:val="16"/>
              </w:rPr>
              <w:t>1508.2</w:t>
            </w:r>
          </w:p>
        </w:tc>
      </w:tr>
      <w:tr>
        <w:tc>
          <w:tcPr>
            <w:tcW w:w="700" w:type="dxa"/>
          </w:tcPr>
          <w:p>
            <w:pPr>
              <w:spacing w:before="10" w:after="10"/>
            </w:pPr>
            <w:r/>
            <w:r>
              <w:rPr>
                <w:sz w:val="16"/>
              </w:rPr>
              <w:t>14</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32.9</w:t>
            </w:r>
          </w:p>
        </w:tc>
        <w:tc>
          <w:tcPr>
            <w:tcW w:w="1400" w:type="dxa"/>
          </w:tcPr>
          <w:p>
            <w:pPr>
              <w:jc w:val="right"/>
              <w:spacing w:before="10" w:after="10"/>
            </w:pPr>
            <w:r/>
            <w:r>
              <w:rPr>
                <w:sz w:val="16"/>
              </w:rPr>
              <w:t>668.4</w:t>
            </w:r>
          </w:p>
        </w:tc>
        <w:tc>
          <w:tcPr>
            <w:tcW w:w="1400" w:type="dxa"/>
          </w:tcPr>
          <w:p>
            <w:pPr>
              <w:jc w:val="right"/>
              <w:spacing w:before="10" w:after="10"/>
            </w:pPr>
            <w:r/>
            <w:r>
              <w:rPr>
                <w:sz w:val="16"/>
              </w:rPr>
              <w:t>634.9</w:t>
            </w:r>
          </w:p>
        </w:tc>
        <w:tc>
          <w:tcPr>
            <w:tcW w:w="1100" w:type="dxa"/>
          </w:tcPr>
          <w:p>
            <w:pPr>
              <w:jc w:val="right"/>
              <w:spacing w:before="10" w:after="10"/>
            </w:pPr>
            <w:r/>
            <w:r>
              <w:rPr>
                <w:sz w:val="16"/>
              </w:rPr>
              <w:t>2143.1</w:t>
            </w:r>
          </w:p>
        </w:tc>
      </w:tr>
      <w:tr>
        <w:tc>
          <w:tcPr>
            <w:tcW w:w="700" w:type="dxa"/>
          </w:tcPr>
          <w:p>
            <w:pPr>
              <w:spacing w:before="10" w:after="10"/>
            </w:pPr>
            <w:r/>
            <w:r>
              <w:rPr>
                <w:sz w:val="16"/>
              </w:rPr>
              <w:t>15</w:t>
            </w:r>
          </w:p>
        </w:tc>
        <w:tc>
          <w:tcPr>
            <w:tcW w:w="1400" w:type="dxa"/>
          </w:tcPr>
          <w:p>
            <w:pPr>
              <w:spacing w:before="10" w:after="10"/>
            </w:pPr>
            <w:r/>
            <w:r>
              <w:rPr>
                <w:sz w:val="16"/>
              </w:rPr>
              <w:t>0.0</w:t>
            </w:r>
          </w:p>
        </w:tc>
        <w:tc>
          <w:tcPr>
            <w:tcW w:w="1400" w:type="dxa"/>
          </w:tcPr>
          <w:p>
            <w:pPr>
              <w:jc w:val="right"/>
              <w:spacing w:before="10" w:after="10"/>
            </w:pPr>
            <w:r/>
            <w:r>
              <w:rPr>
                <w:sz w:val="16"/>
              </w:rPr>
              <w:t>701.3</w:t>
            </w:r>
          </w:p>
        </w:tc>
        <w:tc>
          <w:tcPr>
            <w:tcW w:w="1400" w:type="dxa"/>
          </w:tcPr>
          <w:p>
            <w:pPr>
              <w:jc w:val="right"/>
              <w:spacing w:before="10" w:after="10"/>
            </w:pPr>
            <w:r/>
            <w:r>
              <w:rPr>
                <w:sz w:val="16"/>
              </w:rPr>
              <w:t>31.7</w:t>
            </w:r>
          </w:p>
        </w:tc>
        <w:tc>
          <w:tcPr>
            <w:tcW w:w="1400" w:type="dxa"/>
          </w:tcPr>
          <w:p>
            <w:pPr>
              <w:jc w:val="right"/>
              <w:spacing w:before="10" w:after="10"/>
            </w:pPr>
            <w:r/>
            <w:r>
              <w:rPr>
                <w:sz w:val="16"/>
              </w:rPr>
              <w:t>669.6</w:t>
            </w:r>
          </w:p>
        </w:tc>
        <w:tc>
          <w:tcPr>
            <w:tcW w:w="1400" w:type="dxa"/>
          </w:tcPr>
          <w:p>
            <w:pPr>
              <w:jc w:val="right"/>
              <w:spacing w:before="10" w:after="10"/>
            </w:pPr>
            <w:r/>
            <w:r>
              <w:rPr>
                <w:sz w:val="16"/>
              </w:rPr>
              <w:t>636.0</w:t>
            </w:r>
          </w:p>
        </w:tc>
        <w:tc>
          <w:tcPr>
            <w:tcW w:w="1100" w:type="dxa"/>
          </w:tcPr>
          <w:p>
            <w:pPr>
              <w:jc w:val="right"/>
              <w:spacing w:before="10" w:after="10"/>
            </w:pPr>
            <w:r/>
            <w:r>
              <w:rPr>
                <w:sz w:val="16"/>
              </w:rPr>
              <w:t>2779.1</w:t>
            </w:r>
          </w:p>
        </w:tc>
      </w:tr>
      <w:tr>
        <w:tc>
          <w:tcPr>
            <w:tcBorders>
              <w:bottom w:val="double" w:sz="4" w:space="0" w:color="auto"/>
            </w:tcBorders>
            <w:tcW w:w="700" w:type="dxa"/>
          </w:tcPr>
          <w:p>
            <w:pPr>
              <w:spacing w:before="10" w:after="10"/>
            </w:pPr>
            <w:r/>
            <w:r>
              <w:rPr>
                <w:sz w:val="16"/>
              </w:rPr>
              <w:t>Total</w:t>
            </w:r>
          </w:p>
        </w:tc>
        <w:tc>
          <w:tcPr>
            <w:tcBorders>
              <w:bottom w:val="double" w:sz="4" w:space="0" w:color="auto"/>
            </w:tcBorders>
            <w:tcW w:w="1400" w:type="dxa"/>
          </w:tcPr>
          <w:p>
            <w:pPr>
              <w:spacing w:before="10" w:after="10"/>
            </w:pPr>
            <w:r/>
            <w:r>
              <w:rPr>
                <w:sz w:val="16"/>
              </w:rPr>
              <w:t>6506.1</w:t>
            </w:r>
          </w:p>
        </w:tc>
        <w:tc>
          <w:tcPr>
            <w:tcBorders>
              <w:bottom w:val="double" w:sz="4" w:space="0" w:color="auto"/>
            </w:tcBorders>
            <w:tcW w:w="1400" w:type="dxa"/>
          </w:tcPr>
          <w:p>
            <w:pPr>
              <w:jc w:val="right"/>
              <w:spacing w:before="10" w:after="10"/>
            </w:pPr>
            <w:r/>
            <w:r>
              <w:rPr>
                <w:sz w:val="16"/>
              </w:rPr>
              <w:t>10118.3</w:t>
            </w:r>
          </w:p>
        </w:tc>
        <w:tc>
          <w:tcPr>
            <w:tcBorders>
              <w:bottom w:val="double" w:sz="4" w:space="0" w:color="auto"/>
            </w:tcBorders>
            <w:tcW w:w="1400" w:type="dxa"/>
          </w:tcPr>
          <w:p>
            <w:pPr>
              <w:jc w:val="right"/>
              <w:spacing w:before="10" w:after="10"/>
            </w:pPr>
            <w:r/>
            <w:r>
              <w:rPr>
                <w:sz w:val="16"/>
              </w:rPr>
              <w:t>472.0</w:t>
            </w:r>
          </w:p>
        </w:tc>
        <w:tc>
          <w:tcPr>
            <w:tcBorders>
              <w:bottom w:val="double" w:sz="4" w:space="0" w:color="auto"/>
            </w:tcBorders>
            <w:tcW w:w="1400" w:type="dxa"/>
          </w:tcPr>
          <w:p>
            <w:pPr>
              <w:jc w:val="right"/>
              <w:spacing w:before="10" w:after="10"/>
            </w:pPr>
            <w:r/>
            <w:r>
              <w:rPr>
                <w:sz w:val="16"/>
              </w:rPr>
              <w:t>9646.4</w:t>
            </w:r>
          </w:p>
        </w:tc>
        <w:tc>
          <w:tcPr>
            <w:tcBorders>
              <w:bottom w:val="double" w:sz="4" w:space="0" w:color="auto"/>
            </w:tcBorders>
            <w:tcW w:w="1400" w:type="dxa"/>
          </w:tcPr>
          <w:p>
            <w:pPr>
              <w:jc w:val="right"/>
              <w:spacing w:before="10" w:after="10"/>
            </w:pPr>
            <w:r/>
            <w:r>
              <w:rPr>
                <w:sz w:val="16"/>
              </w:rPr>
              <w:t>2779.1</w:t>
            </w:r>
          </w:p>
        </w:tc>
        <w:tc>
          <w:tcPr>
            <w:tcBorders>
              <w:bottom w:val="double" w:sz="4" w:space="0" w:color="auto"/>
            </w:tcBorders>
            <w:tcW w:w="1100" w:type="dxa"/>
          </w:tcPr>
          <w:p>
            <w:pPr>
              <w:jc w:val="right"/>
              <w:spacing w:before="10" w:after="10"/>
            </w:pPr>
            <w:r/>
            <w:r>
              <w:rPr>
                <w:sz w:val="16"/>
              </w:rPr>
            </w:r>
          </w:p>
        </w:tc>
      </w:tr>
    </w:tbl>
    <w:p>
      <w:pPr>
        <w:spacing w:before="80" w:after="80" w:line="360" w:lineRule="auto"/>
        <w:ind w:firstLine="0"/>
        <w:jc w:val="both"/>
      </w:pPr>
      <w:r>
        <w:t>The project yields an NPV of $353M at a 12.6% WACC, an IRR of 17.6%, and a simple payback in year 6. GPU hardware accounts for $5850M of the $6506M total CAPEX (90%), and electricity represents 53% of operating costs.</w:t>
      </w:r>
    </w:p>
    <w:p>
      <w:pPr>
        <w:spacing w:before="0" w:after="60" w:line="360" w:lineRule="auto"/>
        <w:ind w:firstLine="0"/>
        <w:jc w:val="both"/>
      </w:pPr>
      <w:bookmarkStart w:id="148" w:name="TableA6"/>
      <w:hyperlink w:anchor="TableA6txt" w:history="1">
        <w:r>
          <w:rPr>
            <w:b/>
            <w:sz w:val="20"/>
            <w:color w:val="1F3864"/>
            <w:u w:val="single"/>
          </w:rPr>
          <w:t>Table A6</w:t>
        </w:r>
      </w:hyperlink>
      <w:bookmarkEnd w:id="148"/>
      <w:r>
        <w:rPr>
          <w:b/>
          <w:sz w:val="20"/>
        </w:rPr>
        <w:t>. Sensitivity of investment returns to parameter variation</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800" w:type="dxa"/>
          </w:tcPr>
          <w:p>
            <w:pPr>
              <w:jc w:val="center"/>
              <w:spacing w:before="10" w:after="10"/>
            </w:pPr>
            <w:r/>
            <w:r>
              <w:rPr>
                <w:b/>
                <w:sz w:val="16"/>
              </w:rPr>
              <w:t>Scenario</w:t>
            </w:r>
          </w:p>
        </w:tc>
        <w:tc>
          <w:tcPr>
            <w:tcBorders>
              <w:top w:val="single" w:sz="4" w:space="0" w:color="auto"/>
              <w:bottom w:val="single" w:sz="4" w:space="0" w:color="auto"/>
            </w:tcBorders>
            <w:tcW w:w="2400" w:type="dxa"/>
          </w:tcPr>
          <w:p>
            <w:pPr>
              <w:jc w:val="center"/>
              <w:spacing w:before="10" w:after="10"/>
            </w:pPr>
            <w:r/>
            <w:r>
              <w:rPr>
                <w:b/>
                <w:sz w:val="16"/>
              </w:rPr>
              <w:t>NPV ($M)</w:t>
            </w:r>
          </w:p>
        </w:tc>
        <w:tc>
          <w:tcPr>
            <w:tcBorders>
              <w:top w:val="single" w:sz="4" w:space="0" w:color="auto"/>
              <w:bottom w:val="single" w:sz="4" w:space="0" w:color="auto"/>
            </w:tcBorders>
            <w:tcW w:w="2600" w:type="dxa"/>
          </w:tcPr>
          <w:p>
            <w:pPr>
              <w:jc w:val="center"/>
              <w:spacing w:before="10" w:after="10"/>
            </w:pPr>
            <w:r/>
            <w:r>
              <w:rPr>
                <w:b/>
                <w:sz w:val="16"/>
              </w:rPr>
              <w:t>IRR</w:t>
            </w:r>
          </w:p>
        </w:tc>
      </w:tr>
      <w:tr>
        <w:tc>
          <w:tcPr>
            <w:tcW w:w="3800" w:type="dxa"/>
          </w:tcPr>
          <w:p>
            <w:pPr>
              <w:spacing w:before="10" w:after="10"/>
            </w:pPr>
            <w:r/>
            <w:r>
              <w:rPr>
                <w:sz w:val="16"/>
              </w:rPr>
              <w:t>Base case</w:t>
            </w:r>
          </w:p>
        </w:tc>
        <w:tc>
          <w:tcPr>
            <w:tcW w:w="2400" w:type="dxa"/>
          </w:tcPr>
          <w:p>
            <w:pPr>
              <w:jc w:val="center"/>
              <w:spacing w:before="10" w:after="10"/>
            </w:pPr>
            <w:r/>
            <w:r>
              <w:rPr>
                <w:sz w:val="16"/>
              </w:rPr>
              <w:t>$353</w:t>
            </w:r>
          </w:p>
        </w:tc>
        <w:tc>
          <w:tcPr>
            <w:tcW w:w="2600" w:type="dxa"/>
          </w:tcPr>
          <w:p>
            <w:pPr>
              <w:jc w:val="center"/>
              <w:spacing w:before="10" w:after="10"/>
            </w:pPr>
            <w:r/>
            <w:r>
              <w:rPr>
                <w:sz w:val="16"/>
              </w:rPr>
              <w:t>17.6%</w:t>
            </w:r>
          </w:p>
        </w:tc>
      </w:tr>
      <w:tr>
        <w:tc>
          <w:tcPr>
            <w:tcW w:w="3800" w:type="dxa"/>
          </w:tcPr>
          <w:p>
            <w:pPr>
              <w:spacing w:before="10" w:after="10"/>
            </w:pPr>
            <w:r/>
            <w:r>
              <w:rPr>
                <w:sz w:val="16"/>
              </w:rPr>
              <w:t>GPU price −20%</w:t>
            </w:r>
          </w:p>
        </w:tc>
        <w:tc>
          <w:tcPr>
            <w:tcW w:w="2400" w:type="dxa"/>
          </w:tcPr>
          <w:p>
            <w:pPr>
              <w:jc w:val="center"/>
              <w:spacing w:before="10" w:after="10"/>
            </w:pPr>
            <w:r/>
            <w:r>
              <w:rPr>
                <w:sz w:val="16"/>
              </w:rPr>
              <w:t>$930</w:t>
            </w:r>
          </w:p>
        </w:tc>
        <w:tc>
          <w:tcPr>
            <w:tcW w:w="2600" w:type="dxa"/>
          </w:tcPr>
          <w:p>
            <w:pPr>
              <w:jc w:val="center"/>
              <w:spacing w:before="10" w:after="10"/>
            </w:pPr>
            <w:r/>
            <w:r>
              <w:rPr>
                <w:sz w:val="16"/>
              </w:rPr>
              <w:t>27.6%</w:t>
            </w:r>
          </w:p>
        </w:tc>
      </w:tr>
      <w:tr>
        <w:tc>
          <w:tcPr>
            <w:tcW w:w="3800" w:type="dxa"/>
          </w:tcPr>
          <w:p>
            <w:pPr>
              <w:spacing w:before="10" w:after="10"/>
            </w:pPr>
            <w:r/>
            <w:r>
              <w:rPr>
                <w:sz w:val="16"/>
              </w:rPr>
              <w:t>GPU price +20%</w:t>
            </w:r>
          </w:p>
        </w:tc>
        <w:tc>
          <w:tcPr>
            <w:tcW w:w="2400" w:type="dxa"/>
          </w:tcPr>
          <w:p>
            <w:pPr>
              <w:jc w:val="center"/>
              <w:spacing w:before="10" w:after="10"/>
            </w:pPr>
            <w:r/>
            <w:r>
              <w:rPr>
                <w:sz w:val="16"/>
              </w:rPr>
              <w:t>$-225</w:t>
            </w:r>
          </w:p>
        </w:tc>
        <w:tc>
          <w:tcPr>
            <w:tcW w:w="2600" w:type="dxa"/>
          </w:tcPr>
          <w:p>
            <w:pPr>
              <w:jc w:val="center"/>
              <w:spacing w:before="10" w:after="10"/>
            </w:pPr>
            <w:r/>
            <w:r>
              <w:rPr>
                <w:sz w:val="16"/>
              </w:rPr>
              <w:t>9.7%</w:t>
            </w:r>
          </w:p>
        </w:tc>
      </w:tr>
      <w:tr>
        <w:tc>
          <w:tcPr>
            <w:tcW w:w="3800" w:type="dxa"/>
          </w:tcPr>
          <w:p>
            <w:pPr>
              <w:spacing w:before="10" w:after="10"/>
            </w:pPr>
            <w:r/>
            <w:r>
              <w:rPr>
                <w:sz w:val="16"/>
              </w:rPr>
              <w:t>Electricity +50%</w:t>
            </w:r>
          </w:p>
        </w:tc>
        <w:tc>
          <w:tcPr>
            <w:tcW w:w="2400" w:type="dxa"/>
          </w:tcPr>
          <w:p>
            <w:pPr>
              <w:jc w:val="center"/>
              <w:spacing w:before="10" w:after="10"/>
            </w:pPr>
            <w:r/>
            <w:r>
              <w:rPr>
                <w:sz w:val="16"/>
              </w:rPr>
              <w:t>$305</w:t>
            </w:r>
          </w:p>
        </w:tc>
        <w:tc>
          <w:tcPr>
            <w:tcW w:w="2600" w:type="dxa"/>
          </w:tcPr>
          <w:p>
            <w:pPr>
              <w:jc w:val="center"/>
              <w:spacing w:before="10" w:after="10"/>
            </w:pPr>
            <w:r/>
            <w:r>
              <w:rPr>
                <w:sz w:val="16"/>
              </w:rPr>
              <w:t>16.9%</w:t>
            </w:r>
          </w:p>
        </w:tc>
      </w:tr>
      <w:tr>
        <w:tc>
          <w:tcPr>
            <w:tcW w:w="3800" w:type="dxa"/>
          </w:tcPr>
          <w:p>
            <w:pPr>
              <w:spacing w:before="10" w:after="10"/>
            </w:pPr>
            <w:r/>
            <w:r>
              <w:rPr>
                <w:sz w:val="16"/>
              </w:rPr>
              <w:t>Electricity −25%</w:t>
            </w:r>
          </w:p>
        </w:tc>
        <w:tc>
          <w:tcPr>
            <w:tcW w:w="2400" w:type="dxa"/>
          </w:tcPr>
          <w:p>
            <w:pPr>
              <w:jc w:val="center"/>
              <w:spacing w:before="10" w:after="10"/>
            </w:pPr>
            <w:r/>
            <w:r>
              <w:rPr>
                <w:sz w:val="16"/>
              </w:rPr>
              <w:t>$377</w:t>
            </w:r>
          </w:p>
        </w:tc>
        <w:tc>
          <w:tcPr>
            <w:tcW w:w="2600" w:type="dxa"/>
          </w:tcPr>
          <w:p>
            <w:pPr>
              <w:jc w:val="center"/>
              <w:spacing w:before="10" w:after="10"/>
            </w:pPr>
            <w:r/>
            <w:r>
              <w:rPr>
                <w:sz w:val="16"/>
              </w:rPr>
              <w:t>17.9%</w:t>
            </w:r>
          </w:p>
        </w:tc>
      </w:tr>
      <w:tr>
        <w:tc>
          <w:tcPr>
            <w:tcW w:w="3800" w:type="dxa"/>
          </w:tcPr>
          <w:p>
            <w:pPr>
              <w:spacing w:before="10" w:after="10"/>
            </w:pPr>
            <w:r/>
            <w:r>
              <w:rPr>
                <w:sz w:val="16"/>
              </w:rPr>
              <w:t>Revenue +5%</w:t>
            </w:r>
          </w:p>
        </w:tc>
        <w:tc>
          <w:tcPr>
            <w:tcW w:w="2400" w:type="dxa"/>
          </w:tcPr>
          <w:p>
            <w:pPr>
              <w:jc w:val="center"/>
              <w:spacing w:before="10" w:after="10"/>
            </w:pPr>
            <w:r/>
            <w:r>
              <w:rPr>
                <w:sz w:val="16"/>
              </w:rPr>
              <w:t>$509</w:t>
            </w:r>
          </w:p>
        </w:tc>
        <w:tc>
          <w:tcPr>
            <w:tcW w:w="2600" w:type="dxa"/>
          </w:tcPr>
          <w:p>
            <w:pPr>
              <w:jc w:val="center"/>
              <w:spacing w:before="10" w:after="10"/>
            </w:pPr>
            <w:r/>
            <w:r>
              <w:rPr>
                <w:sz w:val="16"/>
              </w:rPr>
              <w:t>19.8%</w:t>
            </w:r>
          </w:p>
        </w:tc>
      </w:tr>
      <w:tr>
        <w:tc>
          <w:tcPr>
            <w:tcW w:w="3800" w:type="dxa"/>
          </w:tcPr>
          <w:p>
            <w:pPr>
              <w:spacing w:before="10" w:after="10"/>
            </w:pPr>
            <w:r/>
            <w:r>
              <w:rPr>
                <w:sz w:val="16"/>
              </w:rPr>
              <w:t>Revenue −5%</w:t>
            </w:r>
          </w:p>
        </w:tc>
        <w:tc>
          <w:tcPr>
            <w:tcW w:w="2400" w:type="dxa"/>
          </w:tcPr>
          <w:p>
            <w:pPr>
              <w:jc w:val="center"/>
              <w:spacing w:before="10" w:after="10"/>
            </w:pPr>
            <w:r/>
            <w:r>
              <w:rPr>
                <w:sz w:val="16"/>
              </w:rPr>
              <w:t>$198</w:t>
            </w:r>
          </w:p>
        </w:tc>
        <w:tc>
          <w:tcPr>
            <w:tcW w:w="2600" w:type="dxa"/>
          </w:tcPr>
          <w:p>
            <w:pPr>
              <w:jc w:val="center"/>
              <w:spacing w:before="10" w:after="10"/>
            </w:pPr>
            <w:r/>
            <w:r>
              <w:rPr>
                <w:sz w:val="16"/>
              </w:rPr>
              <w:t>15.4%</w:t>
            </w:r>
          </w:p>
        </w:tc>
      </w:tr>
      <w:tr>
        <w:tc>
          <w:tcPr>
            <w:tcW w:w="3800" w:type="dxa"/>
          </w:tcPr>
          <w:p>
            <w:pPr>
              <w:spacing w:before="10" w:after="10"/>
            </w:pPr>
            <w:r/>
            <w:r>
              <w:rPr>
                <w:sz w:val="16"/>
              </w:rPr>
              <w:t>Utilization 80%</w:t>
            </w:r>
          </w:p>
        </w:tc>
        <w:tc>
          <w:tcPr>
            <w:tcW w:w="2400" w:type="dxa"/>
          </w:tcPr>
          <w:p>
            <w:pPr>
              <w:jc w:val="center"/>
              <w:spacing w:before="10" w:after="10"/>
            </w:pPr>
            <w:r/>
            <w:r>
              <w:rPr>
                <w:sz w:val="16"/>
              </w:rPr>
              <w:t>$957</w:t>
            </w:r>
          </w:p>
        </w:tc>
        <w:tc>
          <w:tcPr>
            <w:tcW w:w="2600" w:type="dxa"/>
          </w:tcPr>
          <w:p>
            <w:pPr>
              <w:jc w:val="center"/>
              <w:spacing w:before="10" w:after="10"/>
            </w:pPr>
            <w:r/>
            <w:r>
              <w:rPr>
                <w:sz w:val="16"/>
              </w:rPr>
              <w:t>26.4%</w:t>
            </w:r>
          </w:p>
        </w:tc>
      </w:tr>
      <w:tr>
        <w:tc>
          <w:tcPr>
            <w:tcW w:w="3800" w:type="dxa"/>
          </w:tcPr>
          <w:p>
            <w:pPr>
              <w:spacing w:before="10" w:after="10"/>
            </w:pPr>
            <w:r/>
            <w:r>
              <w:rPr>
                <w:sz w:val="16"/>
              </w:rPr>
              <w:t>Utilization 60%</w:t>
            </w:r>
          </w:p>
        </w:tc>
        <w:tc>
          <w:tcPr>
            <w:tcW w:w="2400" w:type="dxa"/>
          </w:tcPr>
          <w:p>
            <w:pPr>
              <w:jc w:val="center"/>
              <w:spacing w:before="10" w:after="10"/>
            </w:pPr>
            <w:r/>
            <w:r>
              <w:rPr>
                <w:sz w:val="16"/>
              </w:rPr>
              <w:t>$-253</w:t>
            </w:r>
          </w:p>
        </w:tc>
        <w:tc>
          <w:tcPr>
            <w:tcW w:w="2600" w:type="dxa"/>
          </w:tcPr>
          <w:p>
            <w:pPr>
              <w:jc w:val="center"/>
              <w:spacing w:before="10" w:after="10"/>
            </w:pPr>
            <w:r/>
            <w:r>
              <w:rPr>
                <w:sz w:val="16"/>
              </w:rPr>
              <w:t>9.0%</w:t>
            </w:r>
          </w:p>
        </w:tc>
      </w:tr>
      <w:tr>
        <w:tc>
          <w:tcPr>
            <w:tcW w:w="3800" w:type="dxa"/>
          </w:tcPr>
          <w:p>
            <w:pPr>
              <w:spacing w:before="10" w:after="10"/>
            </w:pPr>
            <w:r/>
            <w:r>
              <w:rPr>
                <w:sz w:val="16"/>
              </w:rPr>
              <w:t>WACC 10%</w:t>
            </w:r>
          </w:p>
        </w:tc>
        <w:tc>
          <w:tcPr>
            <w:tcW w:w="2400" w:type="dxa"/>
          </w:tcPr>
          <w:p>
            <w:pPr>
              <w:jc w:val="center"/>
              <w:spacing w:before="10" w:after="10"/>
            </w:pPr>
            <w:r/>
            <w:r>
              <w:rPr>
                <w:sz w:val="16"/>
              </w:rPr>
              <w:t>$619</w:t>
            </w:r>
          </w:p>
        </w:tc>
        <w:tc>
          <w:tcPr>
            <w:tcW w:w="2600" w:type="dxa"/>
          </w:tcPr>
          <w:p>
            <w:pPr>
              <w:jc w:val="center"/>
              <w:spacing w:before="10" w:after="10"/>
            </w:pPr>
            <w:r/>
            <w:r>
              <w:rPr>
                <w:sz w:val="16"/>
              </w:rPr>
              <w:t>17.6%</w:t>
            </w:r>
          </w:p>
        </w:tc>
      </w:tr>
      <w:tr>
        <w:tc>
          <w:tcPr>
            <w:tcBorders>
              <w:bottom w:val="double" w:sz="4" w:space="0" w:color="auto"/>
            </w:tcBorders>
            <w:tcW w:w="3800" w:type="dxa"/>
          </w:tcPr>
          <w:p>
            <w:pPr>
              <w:spacing w:before="10" w:after="10"/>
            </w:pPr>
            <w:r/>
            <w:r>
              <w:rPr>
                <w:sz w:val="16"/>
              </w:rPr>
              <w:t>WACC 16%</w:t>
            </w:r>
          </w:p>
        </w:tc>
        <w:tc>
          <w:tcPr>
            <w:tcBorders>
              <w:bottom w:val="double" w:sz="4" w:space="0" w:color="auto"/>
            </w:tcBorders>
            <w:tcW w:w="2400" w:type="dxa"/>
          </w:tcPr>
          <w:p>
            <w:pPr>
              <w:jc w:val="center"/>
              <w:spacing w:before="10" w:after="10"/>
            </w:pPr>
            <w:r/>
            <w:r>
              <w:rPr>
                <w:sz w:val="16"/>
              </w:rPr>
              <w:t>$95</w:t>
            </w:r>
          </w:p>
        </w:tc>
        <w:tc>
          <w:tcPr>
            <w:tcBorders>
              <w:bottom w:val="double" w:sz="4" w:space="0" w:color="auto"/>
            </w:tcBorders>
            <w:tcW w:w="2600" w:type="dxa"/>
          </w:tcPr>
          <w:p>
            <w:pPr>
              <w:jc w:val="center"/>
              <w:spacing w:before="10" w:after="10"/>
            </w:pPr>
            <w:r/>
            <w:r>
              <w:rPr>
                <w:sz w:val="16"/>
              </w:rPr>
              <w:t>17.6%</w:t>
            </w:r>
          </w:p>
        </w:tc>
      </w:tr>
    </w:tbl>
    <w:p>
      <w:pPr>
        <w:spacing w:before="80" w:after="80" w:line="360" w:lineRule="auto"/>
        <w:ind w:firstLine="0"/>
        <w:jc w:val="both"/>
      </w:pPr>
      <w:r>
        <w:rPr>
          <w:b/>
        </w:rPr>
        <w:t xml:space="preserve">Risks. </w:t>
      </w:r>
      <w:r>
        <w:t xml:space="preserve">Kyrgyzstan depends on the Toktogul reservoir for over 80 percent of electricity (</w:t>
      </w:r>
      <w:bookmarkStart w:id="242" w:name="ADB2020txt"/>
      <w:hyperlink w:anchor="ADB2020" w:history="1">
        <w:r>
          <w:rPr>
            <w:color w:val="1F3864"/>
            <w:u w:val="single"/>
          </w:rPr>
          <w:t xml:space="preserve">ADB 2020</w:t>
        </w:r>
      </w:hyperlink>
      <w:bookmarkEnd w:id="242"/>
      <w:r>
        <w:t xml:space="preserve">); seasonal drawdowns and drought years create acute power shortages. GPU procurement faces US export-control uncertainty. Underdeveloped contract enforcement and regulatory frameworks raise the bilateral sovereignty premium for potential importers. Despite these risks, the engineering economics are clear: electricity at $0.038/kWh and a PUE of 1.08 yield production costs well below the global median, and the positive NPV survives eight of ten perturbations in </w:t>
      </w:r>
      <w:hyperlink w:anchor="TableA6" w:history="1">
        <w:r>
          <w:rPr>
            <w:color w:val="1F3864"/>
            <w:u w:val="single"/>
          </w:rPr>
          <w:t xml:space="preserve">Table A6</w:t>
        </w:r>
      </w:hyperlink>
      <w:r>
        <w:t>. The share of this surplus retained in Kyrgyzstan depends on the ownership and fiscal structure: if the facility is owned by a foreign hyperscaler, most operating surplus flows abroad as repatriated profits, and the host country retains only the electricity payment and construction-phase employment unless the government captures rent through taxation, equity participation, or resource royalties.</w:t>
      </w:r>
    </w:p>
    <w:p>
      <w:pPr>
        <w:pStyle w:val="Heading1"/>
      </w:pPr>
      <w:r>
        <w:rPr>
          <w:rFonts w:ascii="Times New Roman" w:hAnsi="Times New Roman"/>
          <w:color w:val="2F5496"/>
          <w:sz w:val="28"/>
        </w:rPr>
        <w:t>Appendix E: Construction Cost Regression</w:t>
      </w:r>
    </w:p>
    <w:p>
      <w:pPr>
        <w:spacing w:before="0" w:after="160" w:line="360" w:lineRule="auto"/>
        <w:ind w:firstLine="0"/>
        <w:jc w:val="both"/>
      </w:pPr>
      <w:bookmarkStart w:id="151" w:name="TableA7txt"/>
      <w:bookmarkEnd w:id="151"/>
      <w:r>
        <w:t xml:space="preserve">Data center construction costs per watt of IT capacity are observed for 37 countries from the Turner &amp; Townsend Data Centre Construction Cost Index 2025 (52 markets). For the remaining countries, construction costs are predicted using the log-linear regression reported in </w:t>
      </w:r>
      <w:hyperlink w:anchor="TableA7" w:history="1">
        <w:r>
          <w:rPr>
            <w:color w:val="1F3864"/>
            <w:u w:val="single"/>
          </w:rPr>
          <w:t xml:space="preserve">Table A7</w:t>
        </w:r>
      </w:hyperlink>
      <w:r>
        <w:t>. The dependent variable is ln($/W). Since construction accounts for only 3–6% of total per-GPU-hour costs, imputation error has limited impact on cost rankings.</w:t>
      </w:r>
    </w:p>
    <w:p>
      <w:pPr>
        <w:spacing w:before="0" w:after="60" w:line="360" w:lineRule="auto"/>
        <w:ind w:firstLine="0"/>
        <w:jc w:val="both"/>
      </w:pPr>
      <w:bookmarkStart w:id="150" w:name="TableA7"/>
      <w:hyperlink w:anchor="TableA7txt" w:history="1">
        <w:r>
          <w:rPr>
            <w:b/>
            <w:sz w:val="20"/>
            <w:color w:val="1F3864"/>
            <w:u w:val="single"/>
          </w:rPr>
          <w:t>Table A7</w:t>
        </w:r>
      </w:hyperlink>
      <w:bookmarkEnd w:id="150"/>
      <w:r>
        <w:rPr>
          <w:b/>
          <w:sz w:val="20"/>
        </w:rPr>
        <w:t>. Construction cost regression: ln($/W)</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2880"/>
        <w:gridCol w:w="2880"/>
        <w:gridCol w:w="2880"/>
      </w:tblGrid>
      <w:tr>
        <w:tc>
          <w:tcPr>
            <w:tcBorders>
              <w:top w:val="single" w:sz="4" w:space="0" w:color="auto"/>
              <w:bottom w:val="single" w:sz="4" w:space="0" w:color="auto"/>
            </w:tcBorders>
            <w:tcW w:w="3600" w:type="dxa"/>
          </w:tcPr>
          <w:p>
            <w:pPr>
              <w:jc w:val="center"/>
              <w:spacing w:before="10" w:after="10"/>
            </w:pPr>
            <w:r/>
            <w:r>
              <w:rPr>
                <w:b/>
                <w:sz w:val="16"/>
              </w:rPr>
              <w:t>Variable</w:t>
            </w:r>
          </w:p>
        </w:tc>
        <w:tc>
          <w:tcPr>
            <w:tcBorders>
              <w:top w:val="single" w:sz="4" w:space="0" w:color="auto"/>
              <w:bottom w:val="single" w:sz="4" w:space="0" w:color="auto"/>
            </w:tcBorders>
            <w:tcW w:w="2200" w:type="dxa"/>
          </w:tcPr>
          <w:p>
            <w:pPr>
              <w:jc w:val="center"/>
              <w:spacing w:before="10" w:after="10"/>
            </w:pPr>
            <w:r/>
            <w:r>
              <w:rPr>
                <w:b/>
                <w:sz w:val="16"/>
              </w:rPr>
              <w:t>Coefficient</w:t>
            </w:r>
          </w:p>
        </w:tc>
        <w:tc>
          <w:tcPr>
            <w:tcBorders>
              <w:top w:val="single" w:sz="4" w:space="0" w:color="auto"/>
              <w:bottom w:val="single" w:sz="4" w:space="0" w:color="auto"/>
            </w:tcBorders>
            <w:tcW w:w="2200" w:type="dxa"/>
          </w:tcPr>
          <w:p>
            <w:pPr>
              <w:jc w:val="center"/>
              <w:spacing w:before="10" w:after="10"/>
            </w:pPr>
            <w:r/>
            <w:r>
              <w:rPr>
                <w:b/>
                <w:sz w:val="16"/>
              </w:rPr>
              <w:t>Std. Error</w:t>
            </w:r>
          </w:p>
        </w:tc>
      </w:tr>
      <w:tr>
        <w:tc>
          <w:tcPr>
            <w:tcW w:w="3600" w:type="dxa"/>
          </w:tcPr>
          <w:p>
            <w:pPr>
              <w:spacing w:before="10" w:after="10"/>
            </w:pPr>
            <w:r/>
            <w:r>
              <w:rPr>
                <w:sz w:val="16"/>
              </w:rPr>
              <w:t>Intercept</w:t>
            </w:r>
          </w:p>
        </w:tc>
        <w:tc>
          <w:tcPr>
            <w:tcW w:w="2200" w:type="dxa"/>
          </w:tcPr>
          <w:p>
            <w:pPr>
              <w:jc w:val="center"/>
              <w:spacing w:before="10" w:after="10"/>
            </w:pPr>
            <w:r/>
            <w:r>
              <w:rPr>
                <w:sz w:val="16"/>
              </w:rPr>
              <w:t>1.753</w:t>
            </w:r>
          </w:p>
        </w:tc>
        <w:tc>
          <w:tcPr>
            <w:tcW w:w="2200" w:type="dxa"/>
          </w:tcPr>
          <w:p>
            <w:pPr>
              <w:jc w:val="center"/>
              <w:spacing w:before="10" w:after="10"/>
            </w:pPr>
            <w:r>
              <w:rPr>
                <w:i/>
              </w:rPr>
            </w:r>
            <w:r>
              <w:rPr>
                <w:sz w:val="16"/>
                <w:i/>
              </w:rPr>
              <w:t>(1.467)</w:t>
            </w:r>
          </w:p>
        </w:tc>
      </w:tr>
      <w:tr>
        <w:tc>
          <w:tcPr>
            <w:tcW w:w="3600" w:type="dxa"/>
          </w:tcPr>
          <w:p>
            <w:pPr>
              <w:spacing w:before="10" w:after="10"/>
            </w:pPr>
            <w:r/>
            <w:r>
              <w:rPr>
                <w:sz w:val="16"/>
              </w:rPr>
              <w:t>ln(GDP per capita)</w:t>
            </w:r>
          </w:p>
        </w:tc>
        <w:tc>
          <w:tcPr>
            <w:tcW w:w="2200" w:type="dxa"/>
          </w:tcPr>
          <w:p>
            <w:pPr>
              <w:jc w:val="center"/>
              <w:spacing w:before="10" w:after="10"/>
            </w:pPr>
            <w:r/>
            <w:r>
              <w:rPr>
                <w:sz w:val="16"/>
              </w:rPr>
              <w:t>0.056</w:t>
            </w:r>
          </w:p>
        </w:tc>
        <w:tc>
          <w:tcPr>
            <w:tcW w:w="2200" w:type="dxa"/>
          </w:tcPr>
          <w:p>
            <w:pPr>
              <w:jc w:val="center"/>
              <w:spacing w:before="10" w:after="10"/>
            </w:pPr>
            <w:r>
              <w:rPr>
                <w:i/>
              </w:rPr>
            </w:r>
            <w:r>
              <w:rPr>
                <w:sz w:val="16"/>
                <w:i/>
              </w:rPr>
              <w:t>(0.114)</w:t>
            </w:r>
          </w:p>
        </w:tc>
      </w:tr>
      <w:tr>
        <w:tc>
          <w:tcPr>
            <w:tcW w:w="3600" w:type="dxa"/>
          </w:tcPr>
          <w:p>
            <w:pPr>
              <w:spacing w:before="10" w:after="10"/>
            </w:pPr>
            <w:r/>
            <w:r>
              <w:rPr>
                <w:sz w:val="16"/>
              </w:rPr>
              <w:t>ln(Population)</w:t>
            </w:r>
          </w:p>
        </w:tc>
        <w:tc>
          <w:tcPr>
            <w:tcW w:w="2200" w:type="dxa"/>
          </w:tcPr>
          <w:p>
            <w:pPr>
              <w:jc w:val="center"/>
              <w:spacing w:before="10" w:after="10"/>
            </w:pPr>
            <w:r/>
            <w:r>
              <w:rPr>
                <w:sz w:val="16"/>
              </w:rPr>
              <w:t>-0.020</w:t>
            </w:r>
          </w:p>
        </w:tc>
        <w:tc>
          <w:tcPr>
            <w:tcW w:w="2200" w:type="dxa"/>
          </w:tcPr>
          <w:p>
            <w:pPr>
              <w:jc w:val="center"/>
              <w:spacing w:before="10" w:after="10"/>
            </w:pPr>
            <w:r>
              <w:rPr>
                <w:i/>
              </w:rPr>
            </w:r>
            <w:r>
              <w:rPr>
                <w:sz w:val="16"/>
                <w:i/>
              </w:rPr>
              <w:t>(0.027)</w:t>
            </w:r>
          </w:p>
        </w:tc>
      </w:tr>
      <w:tr>
        <w:tc>
          <w:tcPr>
            <w:tcW w:w="3600" w:type="dxa"/>
          </w:tcPr>
          <w:p>
            <w:pPr>
              <w:spacing w:before="10" w:after="10"/>
            </w:pPr>
            <w:r/>
            <w:r>
              <w:rPr>
                <w:sz w:val="16"/>
              </w:rPr>
              <w:t>Urban population share</w:t>
            </w:r>
          </w:p>
        </w:tc>
        <w:tc>
          <w:tcPr>
            <w:tcW w:w="2200" w:type="dxa"/>
          </w:tcPr>
          <w:p>
            <w:pPr>
              <w:jc w:val="center"/>
              <w:spacing w:before="10" w:after="10"/>
            </w:pPr>
            <w:r/>
            <w:r>
              <w:rPr>
                <w:sz w:val="16"/>
              </w:rPr>
              <w:t>0.459</w:t>
            </w:r>
          </w:p>
        </w:tc>
        <w:tc>
          <w:tcPr>
            <w:tcW w:w="2200" w:type="dxa"/>
          </w:tcPr>
          <w:p>
            <w:pPr>
              <w:jc w:val="center"/>
              <w:spacing w:before="10" w:after="10"/>
            </w:pPr>
            <w:r>
              <w:rPr>
                <w:i/>
              </w:rPr>
            </w:r>
            <w:r>
              <w:rPr>
                <w:sz w:val="16"/>
                <w:i/>
              </w:rPr>
              <w:t>(0.355)</w:t>
            </w:r>
          </w:p>
        </w:tc>
      </w:tr>
      <w:tr>
        <w:tc>
          <w:tcPr>
            <w:tcW w:w="3600" w:type="dxa"/>
          </w:tcPr>
          <w:p>
            <w:pPr>
              <w:spacing w:before="10" w:after="10"/>
            </w:pPr>
            <w:r/>
            <w:r>
              <w:rPr>
                <w:sz w:val="16"/>
              </w:rPr>
              <w:t>Seismic zone indicator</w:t>
            </w:r>
          </w:p>
        </w:tc>
        <w:tc>
          <w:tcPr>
            <w:tcW w:w="2200" w:type="dxa"/>
          </w:tcPr>
          <w:p>
            <w:pPr>
              <w:jc w:val="center"/>
              <w:spacing w:before="10" w:after="10"/>
            </w:pPr>
            <w:r/>
            <w:r>
              <w:rPr>
                <w:sz w:val="16"/>
              </w:rPr>
              <w:t>-0.053</w:t>
            </w:r>
          </w:p>
        </w:tc>
        <w:tc>
          <w:tcPr>
            <w:tcW w:w="2200" w:type="dxa"/>
          </w:tcPr>
          <w:p>
            <w:pPr>
              <w:jc w:val="center"/>
              <w:spacing w:before="10" w:after="10"/>
            </w:pPr>
            <w:r>
              <w:rPr>
                <w:i/>
              </w:rPr>
            </w:r>
            <w:r>
              <w:rPr>
                <w:sz w:val="16"/>
                <w:i/>
              </w:rPr>
              <w:t>(0.077)</w:t>
            </w:r>
          </w:p>
        </w:tc>
      </w:tr>
      <w:tr>
        <w:tc>
          <w:tcPr>
            <w:tcW w:w="3600" w:type="dxa"/>
          </w:tcPr>
          <w:p>
            <w:pPr>
              <w:spacing w:before="10" w:after="10"/>
            </w:pPr>
            <w:r/>
            <w:r>
              <w:rPr>
                <w:sz w:val="16"/>
              </w:rPr>
              <w:t>East Asia &amp; Pacific</w:t>
            </w:r>
          </w:p>
        </w:tc>
        <w:tc>
          <w:tcPr>
            <w:tcW w:w="2200" w:type="dxa"/>
          </w:tcPr>
          <w:p>
            <w:pPr>
              <w:jc w:val="center"/>
              <w:spacing w:before="10" w:after="10"/>
            </w:pPr>
            <w:r/>
            <w:r>
              <w:rPr>
                <w:sz w:val="16"/>
              </w:rPr>
              <w:t>0.054</w:t>
            </w:r>
          </w:p>
        </w:tc>
        <w:tc>
          <w:tcPr>
            <w:tcW w:w="2200" w:type="dxa"/>
          </w:tcPr>
          <w:p>
            <w:pPr>
              <w:jc w:val="center"/>
              <w:spacing w:before="10" w:after="10"/>
            </w:pPr>
            <w:r>
              <w:rPr>
                <w:i/>
              </w:rPr>
            </w:r>
            <w:r>
              <w:rPr>
                <w:sz w:val="16"/>
                <w:i/>
              </w:rPr>
              <w:t>(0.084)</w:t>
            </w:r>
          </w:p>
        </w:tc>
      </w:tr>
      <w:tr>
        <w:tc>
          <w:tcPr>
            <w:tcW w:w="3600" w:type="dxa"/>
          </w:tcPr>
          <w:p>
            <w:pPr>
              <w:spacing w:before="10" w:after="10"/>
            </w:pPr>
            <w:r/>
            <w:r>
              <w:rPr>
                <w:sz w:val="16"/>
              </w:rPr>
              <w:t>Latin America &amp; Caribbean</w:t>
            </w:r>
          </w:p>
        </w:tc>
        <w:tc>
          <w:tcPr>
            <w:tcW w:w="2200" w:type="dxa"/>
          </w:tcPr>
          <w:p>
            <w:pPr>
              <w:jc w:val="center"/>
              <w:spacing w:before="10" w:after="10"/>
            </w:pPr>
            <w:r/>
            <w:r>
              <w:rPr>
                <w:sz w:val="16"/>
              </w:rPr>
              <w:t>-0.106</w:t>
            </w:r>
          </w:p>
        </w:tc>
        <w:tc>
          <w:tcPr>
            <w:tcW w:w="2200" w:type="dxa"/>
          </w:tcPr>
          <w:p>
            <w:pPr>
              <w:jc w:val="center"/>
              <w:spacing w:before="10" w:after="10"/>
            </w:pPr>
            <w:r>
              <w:rPr>
                <w:i/>
              </w:rPr>
            </w:r>
            <w:r>
              <w:rPr>
                <w:sz w:val="16"/>
                <w:i/>
              </w:rPr>
              <w:t>(0.141)</w:t>
            </w:r>
          </w:p>
        </w:tc>
      </w:tr>
      <w:tr>
        <w:tc>
          <w:tcPr>
            <w:tcW w:w="3600" w:type="dxa"/>
          </w:tcPr>
          <w:p>
            <w:pPr>
              <w:spacing w:before="10" w:after="10"/>
            </w:pPr>
            <w:r/>
            <w:r>
              <w:rPr>
                <w:sz w:val="16"/>
              </w:rPr>
              <w:t>Middle East</w:t>
            </w:r>
          </w:p>
        </w:tc>
        <w:tc>
          <w:tcPr>
            <w:tcW w:w="2200" w:type="dxa"/>
          </w:tcPr>
          <w:p>
            <w:pPr>
              <w:jc w:val="center"/>
              <w:spacing w:before="10" w:after="10"/>
            </w:pPr>
            <w:r/>
            <w:r>
              <w:rPr>
                <w:sz w:val="16"/>
              </w:rPr>
              <w:t>-0.114</w:t>
            </w:r>
          </w:p>
        </w:tc>
        <w:tc>
          <w:tcPr>
            <w:tcW w:w="2200" w:type="dxa"/>
          </w:tcPr>
          <w:p>
            <w:pPr>
              <w:jc w:val="center"/>
              <w:spacing w:before="10" w:after="10"/>
            </w:pPr>
            <w:r>
              <w:rPr>
                <w:i/>
              </w:rPr>
            </w:r>
            <w:r>
              <w:rPr>
                <w:sz w:val="16"/>
                <w:i/>
              </w:rPr>
              <w:t>(0.122)</w:t>
            </w:r>
          </w:p>
        </w:tc>
      </w:tr>
      <w:tr>
        <w:tc>
          <w:tcPr>
            <w:tcW w:w="3600" w:type="dxa"/>
          </w:tcPr>
          <w:p>
            <w:pPr>
              <w:spacing w:before="10" w:after="10"/>
            </w:pPr>
            <w:r/>
            <w:r>
              <w:rPr>
                <w:sz w:val="16"/>
              </w:rPr>
              <w:t>North America</w:t>
            </w:r>
          </w:p>
        </w:tc>
        <w:tc>
          <w:tcPr>
            <w:tcW w:w="2200" w:type="dxa"/>
          </w:tcPr>
          <w:p>
            <w:pPr>
              <w:jc w:val="center"/>
              <w:spacing w:before="10" w:after="10"/>
            </w:pPr>
            <w:r/>
            <w:r>
              <w:rPr>
                <w:sz w:val="16"/>
              </w:rPr>
              <w:t>-0.024</w:t>
            </w:r>
          </w:p>
        </w:tc>
        <w:tc>
          <w:tcPr>
            <w:tcW w:w="2200" w:type="dxa"/>
          </w:tcPr>
          <w:p>
            <w:pPr>
              <w:jc w:val="center"/>
              <w:spacing w:before="10" w:after="10"/>
            </w:pPr>
            <w:r>
              <w:rPr>
                <w:i/>
              </w:rPr>
            </w:r>
            <w:r>
              <w:rPr>
                <w:sz w:val="16"/>
                <w:i/>
              </w:rPr>
              <w:t>(0.151)</w:t>
            </w:r>
          </w:p>
        </w:tc>
      </w:tr>
      <w:tr>
        <w:tc>
          <w:tcPr>
            <w:tcW w:w="3600" w:type="dxa"/>
          </w:tcPr>
          <w:p>
            <w:pPr>
              <w:spacing w:before="10" w:after="10"/>
            </w:pPr>
            <w:r/>
            <w:r>
              <w:rPr>
                <w:sz w:val="16"/>
              </w:rPr>
              <w:t>South Asia</w:t>
            </w:r>
          </w:p>
        </w:tc>
        <w:tc>
          <w:tcPr>
            <w:tcW w:w="2200" w:type="dxa"/>
          </w:tcPr>
          <w:p>
            <w:pPr>
              <w:jc w:val="center"/>
              <w:spacing w:before="10" w:after="10"/>
            </w:pPr>
            <w:r/>
            <w:r>
              <w:rPr>
                <w:sz w:val="16"/>
              </w:rPr>
              <w:t>-0.070</w:t>
            </w:r>
          </w:p>
        </w:tc>
        <w:tc>
          <w:tcPr>
            <w:tcW w:w="2200" w:type="dxa"/>
          </w:tcPr>
          <w:p>
            <w:pPr>
              <w:jc w:val="center"/>
              <w:spacing w:before="10" w:after="10"/>
            </w:pPr>
            <w:r>
              <w:rPr>
                <w:i/>
              </w:rPr>
            </w:r>
            <w:r>
              <w:rPr>
                <w:sz w:val="16"/>
                <w:i/>
              </w:rPr>
              <w:t>(0.218)</w:t>
            </w:r>
          </w:p>
        </w:tc>
      </w:tr>
      <w:tr>
        <w:tc>
          <w:tcPr>
            <w:tcBorders>
              <w:bottom w:val="double" w:sz="4" w:space="0" w:color="auto"/>
            </w:tcBorders>
            <w:tcW w:w="3600" w:type="dxa"/>
          </w:tcPr>
          <w:p>
            <w:pPr>
              <w:spacing w:before="10" w:after="10"/>
            </w:pPr>
            <w:r/>
            <w:r>
              <w:rPr>
                <w:sz w:val="16"/>
              </w:rPr>
              <w:t>Sub-Saharan Africa</w:t>
            </w:r>
          </w:p>
        </w:tc>
        <w:tc>
          <w:tcPr>
            <w:tcBorders>
              <w:bottom w:val="double" w:sz="4" w:space="0" w:color="auto"/>
            </w:tcBorders>
            <w:tcW w:w="2200" w:type="dxa"/>
          </w:tcPr>
          <w:p>
            <w:pPr>
              <w:jc w:val="center"/>
              <w:spacing w:before="10" w:after="10"/>
            </w:pPr>
            <w:r/>
            <w:r>
              <w:rPr>
                <w:sz w:val="16"/>
              </w:rPr>
              <w:t>0.190</w:t>
            </w:r>
          </w:p>
        </w:tc>
        <w:tc>
          <w:tcPr>
            <w:tcBorders>
              <w:bottom w:val="double" w:sz="4" w:space="0" w:color="auto"/>
            </w:tcBorders>
            <w:tcW w:w="2200" w:type="dxa"/>
          </w:tcPr>
          <w:p>
            <w:pPr>
              <w:jc w:val="center"/>
              <w:spacing w:before="10" w:after="10"/>
            </w:pPr>
            <w:r>
              <w:rPr>
                <w:i/>
              </w:rPr>
            </w:r>
            <w:r>
              <w:rPr>
                <w:sz w:val="16"/>
                <w:i/>
              </w:rPr>
              <w:t>(0.200)</w:t>
            </w:r>
          </w:p>
        </w:tc>
      </w:tr>
    </w:tbl>
    <w:p>
      <w:pPr>
        <w:spacing w:before="40" w:after="80" w:line="240" w:lineRule="auto"/>
        <w:ind w:firstLine="0"/>
        <w:jc w:val="left"/>
      </w:pPr>
      <w:r>
        <w:rPr>
          <w:sz w:val="20"/>
        </w:rPr>
        <w:t>Notes: OLS regression on 37 countries from the Turner &amp; Townsend DCCI 2025. Dependent variable: ln(construction cost in $/W). R² = 0.48, adjusted R² = 0.29, RMSE = 0.160. Reference region: Europe &amp; Central Asia. *** p &lt; 0.01, ** p &lt; 0.05, * p &lt; 0.10.</w:t>
      </w:r>
    </w:p>
    <w:p>
      <w:pPr>
        <w:pStyle w:val="Heading1"/>
      </w:pPr>
      <w:r>
        <w:rPr>
          <w:rFonts w:ascii="Times New Roman" w:hAnsi="Times New Roman"/>
          <w:color w:val="2F5496"/>
          <w:sz w:val="28"/>
        </w:rPr>
        <w:t>Appendix F: Workload Classification</w:t>
      </w:r>
    </w:p>
    <w:p>
      <w:pPr>
        <w:spacing w:before="0" w:after="160" w:line="360" w:lineRule="auto"/>
        <w:ind w:firstLine="0"/>
        <w:jc w:val="both"/>
      </w:pPr>
      <w:bookmarkStart w:id="153" w:name="TableA8txt"/>
      <w:hyperlink w:anchor="TableA8" w:history="1">
        <w:r>
          <w:rPr>
            <w:color w:val="1F3864"/>
            <w:u w:val="single"/>
          </w:rPr>
          <w:t xml:space="preserve">Table A8</w:t>
        </w:r>
      </w:hyperlink>
      <w:bookmarkEnd w:id="153"/>
      <w:r>
        <w:t xml:space="preserve"> summarizes the latency sensitivity and offshorability of major AI workload types. The model collapses these into two categories — training (τ = 0) and inference (τ &gt; 0) — but the intermediate workloads noted in footnote 6 occupy a middle ground that may narrow the effective offshorable share.</w:t>
      </w:r>
    </w:p>
    <w:p>
      <w:pPr>
        <w:spacing w:before="0" w:after="60" w:line="360" w:lineRule="auto"/>
        <w:ind w:firstLine="0"/>
        <w:jc w:val="both"/>
      </w:pPr>
      <w:bookmarkStart w:id="154" w:name="TableA8"/>
      <w:hyperlink w:anchor="TableA8txt" w:history="1">
        <w:r>
          <w:rPr>
            <w:b/>
            <w:sz w:val="20"/>
            <w:color w:val="1F3864"/>
            <w:u w:val="single"/>
          </w:rPr>
          <w:t>Table A8</w:t>
        </w:r>
      </w:hyperlink>
      <w:bookmarkEnd w:id="154"/>
      <w:r>
        <w:rPr>
          <w:b/>
          <w:sz w:val="20"/>
        </w:rPr>
        <w:t>. Workload classification and offshorability</w:t>
      </w:r>
    </w:p>
    <w:tbl>
      <w:tblPr>
        <w:tblStyle w:val="TableGrid"/>
        <w:tblW w:type="pct" w:w="500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728"/>
        <w:gridCol w:w="1728"/>
        <w:gridCol w:w="1728"/>
        <w:gridCol w:w="1728"/>
        <w:gridCol w:w="1728"/>
      </w:tblGrid>
      <w:tr>
        <w:tc>
          <w:tcPr>
            <w:tcBorders>
              <w:top w:val="single" w:sz="4" w:space="0" w:color="auto"/>
              <w:bottom w:val="single" w:sz="4" w:space="0" w:color="auto"/>
            </w:tcBorders>
            <w:tcW w:w="2000" w:type="dxa"/>
          </w:tcPr>
          <w:p>
            <w:pPr>
              <w:jc w:val="center"/>
              <w:spacing w:before="10" w:after="10"/>
            </w:pPr>
            <w:r/>
            <w:r>
              <w:rPr>
                <w:b/>
                <w:sz w:val="16"/>
              </w:rPr>
              <w:t>Workload</w:t>
            </w:r>
          </w:p>
        </w:tc>
        <w:tc>
          <w:tcPr>
            <w:tcBorders>
              <w:top w:val="single" w:sz="4" w:space="0" w:color="auto"/>
              <w:bottom w:val="single" w:sz="4" w:space="0" w:color="auto"/>
            </w:tcBorders>
            <w:tcW w:w="2800" w:type="dxa"/>
          </w:tcPr>
          <w:p>
            <w:pPr>
              <w:jc w:val="center"/>
              <w:spacing w:before="10" w:after="10"/>
            </w:pPr>
            <w:r/>
            <w:r>
              <w:rPr>
                <w:b/>
                <w:sz w:val="16"/>
              </w:rPr>
              <w:t>Example</w:t>
            </w:r>
          </w:p>
        </w:tc>
        <w:tc>
          <w:tcPr>
            <w:tcBorders>
              <w:top w:val="single" w:sz="4" w:space="0" w:color="auto"/>
              <w:bottom w:val="single" w:sz="4" w:space="0" w:color="auto"/>
            </w:tcBorders>
            <w:tcW w:w="1500" w:type="dxa"/>
          </w:tcPr>
          <w:p>
            <w:pPr>
              <w:jc w:val="center"/>
              <w:spacing w:before="10" w:after="10"/>
            </w:pPr>
            <w:r/>
            <w:r>
              <w:rPr>
                <w:b/>
                <w:sz w:val="16"/>
              </w:rPr>
              <w:t>Latency tolerance</w:t>
            </w:r>
          </w:p>
        </w:tc>
        <w:tc>
          <w:tcPr>
            <w:tcBorders>
              <w:top w:val="single" w:sz="4" w:space="0" w:color="auto"/>
              <w:bottom w:val="single" w:sz="4" w:space="0" w:color="auto"/>
            </w:tcBorders>
            <w:tcW w:w="1200" w:type="dxa"/>
          </w:tcPr>
          <w:p>
            <w:pPr>
              <w:jc w:val="center"/>
              <w:spacing w:before="10" w:after="10"/>
            </w:pPr>
            <w:r/>
            <w:r>
              <w:rPr>
                <w:b/>
                <w:sz w:val="16"/>
              </w:rPr>
              <w:t>Offshorable?</w:t>
            </w:r>
          </w:p>
        </w:tc>
        <w:tc>
          <w:tcPr>
            <w:tcBorders>
              <w:top w:val="single" w:sz="4" w:space="0" w:color="auto"/>
              <w:bottom w:val="single" w:sz="4" w:space="0" w:color="auto"/>
            </w:tcBorders>
            <w:tcW w:w="1860" w:type="dxa"/>
          </w:tcPr>
          <w:p>
            <w:pPr>
              <w:jc w:val="center"/>
              <w:spacing w:before="10" w:after="10"/>
            </w:pPr>
            <w:r/>
            <w:r>
              <w:rPr>
                <w:b/>
                <w:sz w:val="16"/>
              </w:rPr>
              <w:t>Model treatment</w:t>
            </w:r>
          </w:p>
        </w:tc>
      </w:tr>
      <w:tr>
        <w:tc>
          <w:tcPr>
            <w:tcW w:w="2000" w:type="dxa"/>
          </w:tcPr>
          <w:p>
            <w:pPr>
              <w:spacing w:before="10" w:after="10"/>
            </w:pPr>
            <w:r/>
            <w:r>
              <w:rPr>
                <w:sz w:val="16"/>
              </w:rPr>
              <w:t>Large-scale training</w:t>
            </w:r>
          </w:p>
        </w:tc>
        <w:tc>
          <w:tcPr>
            <w:tcW w:w="2800" w:type="dxa"/>
          </w:tcPr>
          <w:p>
            <w:pPr>
              <w:spacing w:before="10" w:after="10"/>
            </w:pPr>
            <w:r/>
            <w:r>
              <w:rPr>
                <w:sz w:val="16"/>
              </w:rPr>
              <w:t>Foundation model pre-training</w:t>
            </w:r>
          </w:p>
        </w:tc>
        <w:tc>
          <w:tcPr>
            <w:tcW w:w="1500" w:type="dxa"/>
          </w:tcPr>
          <w:p>
            <w:pPr>
              <w:jc w:val="right"/>
              <w:spacing w:before="10" w:after="10"/>
            </w:pPr>
            <w:r/>
            <w:r>
              <w:rPr>
                <w:sz w:val="16"/>
              </w:rPr>
              <w:t>Days–weeks</w:t>
            </w:r>
          </w:p>
        </w:tc>
        <w:tc>
          <w:tcPr>
            <w:tcW w:w="1200" w:type="dxa"/>
          </w:tcPr>
          <w:p>
            <w:pPr>
              <w:jc w:val="right"/>
              <w:spacing w:before="10" w:after="10"/>
            </w:pPr>
            <w:r/>
            <w:r>
              <w:rPr>
                <w:sz w:val="16"/>
              </w:rPr>
              <w:t>Fully</w:t>
            </w:r>
          </w:p>
        </w:tc>
        <w:tc>
          <w:tcPr>
            <w:tcW w:w="1860" w:type="dxa"/>
          </w:tcPr>
          <w:p>
            <w:pPr>
              <w:jc w:val="right"/>
              <w:spacing w:before="10" w:after="10"/>
            </w:pPr>
            <w:r/>
            <w:r>
              <w:rPr>
                <w:sz w:val="16"/>
              </w:rPr>
              <w:t>τᴛ = 0</w:t>
            </w:r>
          </w:p>
        </w:tc>
      </w:tr>
      <w:tr>
        <w:tc>
          <w:tcPr>
            <w:tcW w:w="2000" w:type="dxa"/>
          </w:tcPr>
          <w:p>
            <w:pPr>
              <w:spacing w:before="10" w:after="10"/>
            </w:pPr>
            <w:r/>
            <w:r>
              <w:rPr>
                <w:sz w:val="16"/>
              </w:rPr>
              <w:t>Fine-tuning</w:t>
            </w:r>
          </w:p>
        </w:tc>
        <w:tc>
          <w:tcPr>
            <w:tcW w:w="2800" w:type="dxa"/>
          </w:tcPr>
          <w:p>
            <w:pPr>
              <w:spacing w:before="10" w:after="10"/>
            </w:pPr>
            <w:r/>
            <w:r>
              <w:rPr>
                <w:sz w:val="16"/>
              </w:rPr>
              <w:t>Domain adaptation on proprietary data</w:t>
            </w:r>
          </w:p>
        </w:tc>
        <w:tc>
          <w:tcPr>
            <w:tcW w:w="1500" w:type="dxa"/>
          </w:tcPr>
          <w:p>
            <w:pPr>
              <w:jc w:val="right"/>
              <w:spacing w:before="10" w:after="10"/>
            </w:pPr>
            <w:r/>
            <w:r>
              <w:rPr>
                <w:sz w:val="16"/>
              </w:rPr>
              <w:t>Hours</w:t>
            </w:r>
          </w:p>
        </w:tc>
        <w:tc>
          <w:tcPr>
            <w:tcW w:w="1200" w:type="dxa"/>
          </w:tcPr>
          <w:p>
            <w:pPr>
              <w:jc w:val="right"/>
              <w:spacing w:before="10" w:after="10"/>
            </w:pPr>
            <w:r/>
            <w:r>
              <w:rPr>
                <w:sz w:val="16"/>
              </w:rPr>
              <w:t>Mostly</w:t>
            </w:r>
          </w:p>
        </w:tc>
        <w:tc>
          <w:tcPr>
            <w:tcW w:w="1860" w:type="dxa"/>
          </w:tcPr>
          <w:p>
            <w:pPr>
              <w:jc w:val="right"/>
              <w:spacing w:before="10" w:after="10"/>
            </w:pPr>
            <w:r/>
            <w:r>
              <w:rPr>
                <w:sz w:val="16"/>
              </w:rPr>
              <w:t>Treated as training</w:t>
            </w:r>
          </w:p>
        </w:tc>
      </w:tr>
      <w:tr>
        <w:tc>
          <w:tcPr>
            <w:tcW w:w="2000" w:type="dxa"/>
          </w:tcPr>
          <w:p>
            <w:pPr>
              <w:spacing w:before="10" w:after="10"/>
            </w:pPr>
            <w:r/>
            <w:r>
              <w:rPr>
                <w:sz w:val="16"/>
              </w:rPr>
              <w:t>Agentic inference</w:t>
            </w:r>
          </w:p>
        </w:tc>
        <w:tc>
          <w:tcPr>
            <w:tcW w:w="2800" w:type="dxa"/>
          </w:tcPr>
          <w:p>
            <w:pPr>
              <w:spacing w:before="10" w:after="10"/>
            </w:pPr>
            <w:r/>
            <w:r>
              <w:rPr>
                <w:sz w:val="16"/>
              </w:rPr>
              <w:t>Multi-step reasoning, tool use</w:t>
            </w:r>
          </w:p>
        </w:tc>
        <w:tc>
          <w:tcPr>
            <w:tcW w:w="1500" w:type="dxa"/>
          </w:tcPr>
          <w:p>
            <w:pPr>
              <w:jc w:val="right"/>
              <w:spacing w:before="10" w:after="10"/>
            </w:pPr>
            <w:r/>
            <w:r>
              <w:rPr>
                <w:sz w:val="16"/>
              </w:rPr>
              <w:t>500–2,000 ms</w:t>
            </w:r>
          </w:p>
        </w:tc>
        <w:tc>
          <w:tcPr>
            <w:tcW w:w="1200" w:type="dxa"/>
          </w:tcPr>
          <w:p>
            <w:pPr>
              <w:jc w:val="right"/>
              <w:spacing w:before="10" w:after="10"/>
            </w:pPr>
            <w:r/>
            <w:r>
              <w:rPr>
                <w:sz w:val="16"/>
              </w:rPr>
              <w:t>Regionally</w:t>
            </w:r>
          </w:p>
        </w:tc>
        <w:tc>
          <w:tcPr>
            <w:tcW w:w="1860" w:type="dxa"/>
          </w:tcPr>
          <w:p>
            <w:pPr>
              <w:jc w:val="right"/>
              <w:spacing w:before="10" w:after="10"/>
            </w:pPr>
            <w:r/>
            <w:r>
              <w:rPr>
                <w:sz w:val="16"/>
              </w:rPr>
              <w:t>Intermediate (fn. 7)</w:t>
            </w:r>
          </w:p>
        </w:tc>
      </w:tr>
      <w:tr>
        <w:tc>
          <w:tcPr>
            <w:tcW w:w="2000" w:type="dxa"/>
          </w:tcPr>
          <w:p>
            <w:pPr>
              <w:spacing w:before="10" w:after="10"/>
            </w:pPr>
            <w:r/>
            <w:r>
              <w:rPr>
                <w:sz w:val="16"/>
              </w:rPr>
              <w:t>Interactive inference</w:t>
            </w:r>
          </w:p>
        </w:tc>
        <w:tc>
          <w:tcPr>
            <w:tcW w:w="2800" w:type="dxa"/>
          </w:tcPr>
          <w:p>
            <w:pPr>
              <w:spacing w:before="10" w:after="10"/>
            </w:pPr>
            <w:r/>
            <w:r>
              <w:rPr>
                <w:sz w:val="16"/>
              </w:rPr>
              <w:t>Chatbot, search, recommendation</w:t>
            </w:r>
          </w:p>
        </w:tc>
        <w:tc>
          <w:tcPr>
            <w:tcW w:w="1500" w:type="dxa"/>
          </w:tcPr>
          <w:p>
            <w:pPr>
              <w:jc w:val="right"/>
              <w:spacing w:before="10" w:after="10"/>
            </w:pPr>
            <w:r/>
            <w:r>
              <w:rPr>
                <w:sz w:val="16"/>
              </w:rPr>
              <w:t>50–200 ms</w:t>
            </w:r>
          </w:p>
        </w:tc>
        <w:tc>
          <w:tcPr>
            <w:tcW w:w="1200" w:type="dxa"/>
          </w:tcPr>
          <w:p>
            <w:pPr>
              <w:jc w:val="right"/>
              <w:spacing w:before="10" w:after="10"/>
            </w:pPr>
            <w:r/>
            <w:r>
              <w:rPr>
                <w:sz w:val="16"/>
              </w:rPr>
              <w:t>Limited</w:t>
            </w:r>
          </w:p>
        </w:tc>
        <w:tc>
          <w:tcPr>
            <w:tcW w:w="1860" w:type="dxa"/>
          </w:tcPr>
          <w:p>
            <w:pPr>
              <w:jc w:val="right"/>
              <w:spacing w:before="10" w:after="10"/>
            </w:pPr>
            <w:r/>
            <w:r>
              <w:rPr>
                <w:sz w:val="16"/>
              </w:rPr>
              <w:t>τᵢ &gt; 0, threshold l̄</w:t>
            </w:r>
          </w:p>
        </w:tc>
      </w:tr>
      <w:tr>
        <w:tc>
          <w:tcPr>
            <w:tcBorders>
              <w:bottom w:val="double" w:sz="4" w:space="0" w:color="auto"/>
            </w:tcBorders>
            <w:tcW w:w="2000" w:type="dxa"/>
          </w:tcPr>
          <w:p>
            <w:pPr>
              <w:spacing w:before="10" w:after="10"/>
            </w:pPr>
            <w:r/>
            <w:r>
              <w:rPr>
                <w:sz w:val="16"/>
              </w:rPr>
              <w:t>Real-time control</w:t>
            </w:r>
          </w:p>
        </w:tc>
        <w:tc>
          <w:tcPr>
            <w:tcBorders>
              <w:bottom w:val="double" w:sz="4" w:space="0" w:color="auto"/>
            </w:tcBorders>
            <w:tcW w:w="2800" w:type="dxa"/>
          </w:tcPr>
          <w:p>
            <w:pPr>
              <w:spacing w:before="10" w:after="10"/>
            </w:pPr>
            <w:r/>
            <w:r>
              <w:rPr>
                <w:sz w:val="16"/>
              </w:rPr>
              <w:t>Autonomous vehicles, robotics</w:t>
            </w:r>
          </w:p>
        </w:tc>
        <w:tc>
          <w:tcPr>
            <w:tcBorders>
              <w:bottom w:val="double" w:sz="4" w:space="0" w:color="auto"/>
            </w:tcBorders>
            <w:tcW w:w="1500" w:type="dxa"/>
          </w:tcPr>
          <w:p>
            <w:pPr>
              <w:jc w:val="right"/>
              <w:spacing w:before="10" w:after="10"/>
            </w:pPr>
            <w:r/>
            <w:r>
              <w:rPr>
                <w:sz w:val="16"/>
              </w:rPr>
              <w:t>&lt; 20 ms</w:t>
            </w:r>
          </w:p>
        </w:tc>
        <w:tc>
          <w:tcPr>
            <w:tcBorders>
              <w:bottom w:val="double" w:sz="4" w:space="0" w:color="auto"/>
            </w:tcBorders>
            <w:tcW w:w="1200" w:type="dxa"/>
          </w:tcPr>
          <w:p>
            <w:pPr>
              <w:jc w:val="right"/>
              <w:spacing w:before="10" w:after="10"/>
            </w:pPr>
            <w:r/>
            <w:r>
              <w:rPr>
                <w:sz w:val="16"/>
              </w:rPr>
              <w:t>No</w:t>
            </w:r>
          </w:p>
        </w:tc>
        <w:tc>
          <w:tcPr>
            <w:tcBorders>
              <w:bottom w:val="double" w:sz="4" w:space="0" w:color="auto"/>
            </w:tcBorders>
            <w:tcW w:w="1860" w:type="dxa"/>
          </w:tcPr>
          <w:p>
            <w:pPr>
              <w:jc w:val="right"/>
              <w:spacing w:before="10" w:after="10"/>
            </w:pPr>
            <w:r/>
            <w:r>
              <w:rPr>
                <w:sz w:val="16"/>
              </w:rPr>
              <w:t>Domestic only</w:t>
            </w:r>
          </w:p>
        </w:tc>
      </w:tr>
    </w:tbl>
    <w:p>
      <w:pPr>
        <w:spacing w:before="40" w:after="80" w:line="240" w:lineRule="auto"/>
        <w:ind w:firstLine="0"/>
        <w:jc w:val="left"/>
      </w:pPr>
      <w:r>
        <w:rPr>
          <w:sz w:val="20"/>
        </w:rPr>
        <w:t>Notes: Latency tolerance is approximate round-trip time. “Offshorable” refers to whether the workload can be processed in a different country from the end user without significant quality degradation. The model treats fine-tuning and agentic inference as part of the training share α; footnote 6 notes this simplification.</w:t>
      </w:r>
    </w:p>
    <w:p>
      <w:pPr>
        <w:pStyle w:val="Heading1"/>
      </w:pPr>
      <w:r>
        <w:rPr>
          <w:rFonts w:ascii="Times New Roman" w:hAnsi="Times New Roman"/>
          <w:color w:val="2F5496"/>
          <w:sz w:val="28"/>
        </w:rPr>
        <w:t>Appendix G: Symmetric LRMC Construction</w:t>
      </w:r>
    </w:p>
    <w:p>
      <w:pPr>
        <w:spacing w:before="0" w:after="160" w:line="360" w:lineRule="auto"/>
        <w:ind w:firstLine="0"/>
        <w:jc w:val="both"/>
      </w:pPr>
      <w:r>
        <w:t xml:space="preserve">The cost-recovery specification in earlier versions of this paper adjusted electricity prices downward for thirteen developing countries whose observed industrial tariffs reflect explicit fossil-fuel subsidies (</w:t>
      </w:r>
      <w:bookmarkStart w:id="243" w:name="IMF2025txt"/>
      <w:hyperlink w:anchor="IMF2025" w:history="1">
        <w:r>
          <w:rPr>
            <w:color w:val="1F3864"/>
            <w:u w:val="single"/>
          </w:rPr>
          <w:t xml:space="preserve">IMF 2025</w:t>
        </w:r>
      </w:hyperlink>
      <w:bookmarkEnd w:id="243"/>
      <w:r>
        <w:t xml:space="preserve">), replacing subsidized tariffs with the estimated long-run marginal cost of the dominant generation technology at opportunity-cost fuel prices. No symmetric correction was applied to OECD and high-income tariffs, which also embed distortions: emissions externalities not priced at the retail meter, industrial cross-subsidies financed by residential and commercial rate classes, and regulated-access privileges for incumbents. The asymmetry biases the cross-country cost spread in favor of OECD economies. This appendix constructs a symmetric LRMC specification that corrects distortions on both sides.</w:t>
      </w:r>
    </w:p>
    <w:p>
      <w:pPr>
        <w:spacing w:before="0" w:after="160" w:line="360" w:lineRule="auto"/>
        <w:ind w:firstLine="0"/>
        <w:jc w:val="both"/>
      </w:pPr>
      <w:r>
        <w:t>Of the 85 calibrated countries, 13 retain the IMF-based LRMC replacement used throughout the paper (Iran, Turkmenistan, Algeria, Egypt, Qatar, Saudi Arabia, United Arab Emirates, Russia, Kazakhstan, Nigeria, South Africa, Ethiopia, and Uzbekistan). Forty-three OECD, EU non-OECD, and high-income non-OECD countries receive a symmetric adjustment. Twenty-nine middle-income developing economies whose observed industrial tariffs already approximate long-run marginal cost retain their observed prices. Three countries (Qatar, Saudi Arabia, United Arab Emirates) appear in both the developing-country subsidy set and the high-income non-OECD set; the IMF-based treatment dominates and no layering is applied.</w:t>
      </w:r>
    </w:p>
    <w:p>
      <w:pPr>
        <w:spacing w:before="0" w:after="160" w:line="360" w:lineRule="auto"/>
        <w:ind w:firstLine="0"/>
        <w:jc w:val="both"/>
      </w:pPr>
      <w:r>
        <w:t>The carbon-price adder equals the 2024 grid carbon intensity in grams of CO₂ per kilowatt-hour (EMBER Yearly Electricity Data 2025 release) multiplied by the 2024 annual-average price under the applicable emissions-trading or carbon-tax regime: EU ETS ($70.94 per tonne, applied to EU27 plus Norway, Iceland, and Switzerland via the linked Swiss ETS), UK ETS ($47.32), Canadian federal backstop ($58.48), California Cap-and-Trade plus RGGI coverage-weighted for the United States ($3.81 effective national average), New Zealand ETS ($39.50), and Singapore carbon tax ($18.60). Nominal instruments with effective prices below ten dollars per tonne (Korea K-ETS, Japanese carbon tax, Australian safeguard mechanism, Israel, Chile, Mexico, Turkey, Colombia) are set to zero.</w:t>
      </w:r>
    </w:p>
    <w:p>
      <w:pPr>
        <w:spacing w:before="0" w:after="160" w:line="360" w:lineRule="auto"/>
        <w:ind w:firstLine="0"/>
        <w:jc w:val="both"/>
      </w:pPr>
      <w:r>
        <w:t xml:space="preserve">Only well-documented, quantified industrial cross-subsidies exceeding $0.005 per kilowatt-hour are included. Germany receives the largest add-back ($0.038/kWh) reflecting the EEG renewables-surcharge exemption and grid-fee exemption for energy-intensive industry (Agora Energiewende; BDEW). France receives $0.015/kWh for post-ARENH regulated nuclear access. Spain, Italy, the Netherlands, and Belgium receive $0.010/kWh each from the Eurostat nrg_pc_205 subsidies column (industrial band IB6). The United States receives $0.015/kWh reflecting the industrial–residential rate differential in excess of cost-of-service documented by </w:t>
      </w:r>
      <w:bookmarkStart w:id="262" w:name="Borenstein2012txt"/>
      <w:hyperlink w:anchor="Borenstein2012" w:history="1">
        <w:r>
          <w:rPr>
            <w:color w:val="1F3864"/>
            <w:u w:val="single"/>
          </w:rPr>
          <w:t xml:space="preserve">Borenstein (2012)</w:t>
        </w:r>
      </w:hyperlink>
      <w:bookmarkEnd w:id="262"/>
      <w:r>
        <w:t xml:space="preserve"> and </w:t>
      </w:r>
      <w:bookmarkStart w:id="244" w:name="DavisHausman2016txt"/>
      <w:hyperlink w:anchor="DavisHausman2016" w:history="1">
        <w:r>
          <w:rPr>
            <w:color w:val="1F3864"/>
            <w:u w:val="single"/>
          </w:rPr>
          <w:t xml:space="preserve">Davis and Hausman (2016)</w:t>
        </w:r>
      </w:hyperlink>
      <w:bookmarkEnd w:id="244"/>
      <w:r>
        <w:t xml:space="preserve">. Korea receives $0.020/kWh reflecting KEPCO industrial tariffs below cost-of-service (OECD Energy Policy Review). All other countries receive zero.</w:t>
      </w:r>
      <w:r>
        <w:rPr>
          <w:rStyle w:val="FootnoteReference"/>
        </w:rPr>
        <w:footnoteReference w:id="90"/>
      </w:r>
    </w:p>
    <w:p>
      <w:pPr>
        <w:spacing w:before="0" w:after="160" w:line="360" w:lineRule="auto"/>
        <w:ind w:firstLine="0"/>
        <w:jc w:val="both"/>
      </w:pPr>
      <w:r>
        <w:t>Three choices warrant note. First, the carbon adder uses 2024 annual-average market prices, not the social cost of carbon; using US EPA (2023) social-cost values would widen the OECD adjustment further. Second, we use existing-asset variable cost rather than replacement-cost capital for OECD nuclear and hydro; a replacement-cost treatment would raise Norwegian and French LRMCs materially. Third, the largest ten changes in per-kWh prices occur in Germany, Poland, Cyprus, Estonia, Netherlands, Czechia, Italy, Bulgaria, Malta, and Greece; the corresponding rank shifts in Table A1 illustrate how the symmetric specification reallocates comparative advantage toward countries with cleaner grids or cost-reflective tariffs rather than toward those with below-marginal-cost industrial rates.</w:t>
      </w:r>
    </w:p>
    <w:p>
      <w:pPr>
        <w:spacing w:before="0" w:after="160" w:line="360" w:lineRule="auto"/>
        <w:ind w:firstLine="0"/>
        <w:jc w:val="both"/>
      </w:pPr>
      <w:r>
        <w:t>Under the symmetric LRMC specification, the five lowest-cost producers are Kyrgyzstan, Ethiopia, Kosovo, Canada, and Tajikistan. Canada falls from second to fourth after a modest carbon adder of $0.008 per kilowatt-hour. Poland drops 21 positions, Germany 10, the United States 10, and France 12, while Nordic low-carbon grids and Switzerland move by two positions or fewer. The qualitative conclusion is therefore reinforced rather than overturned: countries with cheap, clean electricity retain their cost advantage once both sides of the distortion are corrected.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This paper’s findings, interpretations, and conclusions are entirely those of the author and do not necessarily represent the views of the author’s employer, the World Bank, its Executive Directors, or the countries they represent. Michael Lokshin: mlokshin@worldbank.org. I thank Ivan Torre, Christine Ann McDaniel, and Erhan Artuc for their constructive comments.</w:t>
      </w:r>
    </w:p>
  </w:footnote>
  <w:footnote w:id="7">
    <w:p>
      <w:pPr>
        <w:pStyle w:val="FootnoteText"/>
      </w:pPr>
      <w:r>
        <w:rPr>
          <w:rStyle w:val="FootnoteReference"/>
        </w:rPr>
        <w:footnoteRef/>
      </w:r>
      <w:r>
        <w:t xml:space="preserve"> The linear PUE model is a simplification. Modern liquid and immersion cooling technologies can achieve PUE ≈ 1.2 even in hot climates, flattening the temperature–PUE relationship. The robustness check in Section 7 confirms that the results are insensitive to this specification. Google (2024) reports a fleet-wide trailing twelve-month PUE of 1.10.</w:t>
      </w:r>
    </w:p>
  </w:footnote>
  <w:footnote w:id="9">
    <w:p>
      <w:pPr>
        <w:pStyle w:val="FootnoteText"/>
      </w:pPr>
      <w:r>
        <w:rPr>
          <w:rStyle w:val="FootnoteReference"/>
        </w:rPr>
        <w:footnoteRef/>
      </w:r>
      <w:r>
        <w:t xml:space="preserve"> For the NVIDIA H100: $25,000 / (3 years × 8,766 hours/year × 70% utilization) ≈ $1.36/hr. Street prices have fallen to $18,000–$22,000 as of late 2025. Each GPU draws approximately 700 watts.</w:t>
      </w:r>
    </w:p>
  </w:footnote>
  <w:footnote w:id="10">
    <w:p>
      <w:pPr>
        <w:pStyle w:val="FootnoteText"/>
      </w:pPr>
      <w:r>
        <w:rPr>
          <w:rStyle w:val="FootnoteReference"/>
        </w:rPr>
        <w:footnoteRef/>
      </w:r>
      <w:r>
        <w:t xml:space="preserve"> China is developing an alternative domestic chip stack based on Huawei’s Ascend series (910B/910C) and other domestic accelerators. If these achieve comparable FLOPs per watt at lower prices, China’s effective ρ could diverge from the NVIDIA-based benchmark used here, potentially improving its cost position despite export controls.</w:t>
      </w:r>
    </w:p>
  </w:footnote>
  <w:footnote w:id="20">
    <w:p>
      <w:pPr>
        <w:pStyle w:val="FootnoteText"/>
      </w:pPr>
      <w:r>
        <w:rPr>
          <w:rStyle w:val="FootnoteReference"/>
        </w:rPr>
        <w:footnoteRef/>
      </w:r>
      <w:r>
        <w:t xml:space="preserve"> Installed capacity is preferable to GDP as a demand proxy because compute consumption is driven by data center infrastructure, not aggregate income. Ireland and the Netherlands, for example, host far more capacity per capita than their GDP shares would predict. At the same time, large economies like India and Brazil account for modest shares of global data center power.</w:t>
      </w:r>
    </w:p>
  </w:footnote>
  <w:footnote w:id="21">
    <w:p>
      <w:pPr>
        <w:pStyle w:val="FootnoteText"/>
      </w:pPr>
      <w:r>
        <w:rPr>
          <w:rStyle w:val="FootnoteReference"/>
        </w:rPr>
        <w:footnoteRef/>
      </w:r>
      <w:r>
        <w:t xml:space="preserve"> Emerging workload categories, notably agentic inference (long-running, multi-step reasoning tasks) and fine-tuning (rapid iterative retraining on proprietary data), occupy a middle ground, tolerating moderate latency but requiring sustained GPU allocation and proximity to data. Using installed capacity to proxy demand is a static assumption; endogenizing demand, for instance, proportional to GDP or digital adoption, is a natural extension.</w:t>
      </w:r>
    </w:p>
  </w:footnote>
  <w:footnote w:id="22">
    <w:p>
      <w:pPr>
        <w:pStyle w:val="FootnoteText"/>
      </w:pPr>
      <w:r>
        <w:rPr>
          <w:rStyle w:val="FootnoteReference"/>
        </w:rPr>
        <w:footnoteRef/>
      </w:r>
      <w:r>
        <w:t xml:space="preserve"> For large-demand countries (e.g., the United States with 43% of global compute demand), the observed domestic production may partly reflect scale economies rather than sovereignty preferences. The switching threshold λₖ* conflates the home market effect with the sovereignty premium; disentangling the two would require a model with increasing returns, which lies outside the present framework.</w:t>
      </w:r>
    </w:p>
  </w:footnote>
  <w:footnote w:id="23">
    <w:p>
      <w:pPr>
        <w:pStyle w:val="FootnoteText"/>
      </w:pPr>
      <w:r>
        <w:rPr>
          <w:rStyle w:val="FootnoteReference"/>
        </w:rPr>
        <w:footnoteRef/>
      </w:r>
      <w:r>
        <w:t xml:space="preserve"> The nesting result assumes that the training exporter’s latency cone is non-empty. Formally, country j has a non-empty latency cone if there exists some country </w:t>
      </w:r>
      <m:oMath>
        <m:r>
          <m:rPr>
            <m:sty m:val="p"/>
          </m:rPr>
          <w:rPr>
            <w:rFonts w:ascii="Cambria Math" w:hAnsi="Cambria Math"/>
          </w:rPr>
          <m:t xml:space="preserve">∃k</m:t>
        </m:r>
      </m:oMath>
      <w:r>
        <w:t xml:space="preserve"> such that </w:t>
      </w:r>
      <m:oMath>
        <m:sSub>
          <m:sSubPr/>
          <m:e>
            <m:r>
              <m:rPr>
                <m:sty m:val="i"/>
              </m:rPr>
              <w:rPr>
                <w:rFonts w:ascii="Cambria Math" w:hAnsi="Cambria Math"/>
              </w:rPr>
              <m:t xml:space="preserve">q</m:t>
            </m:r>
          </m:e>
          <m:sub>
            <m:r>
              <m:rPr>
                <m:sty m:val="i"/>
              </m:rPr>
              <w:rPr>
                <w:rFonts w:ascii="Cambria Math" w:hAnsi="Cambria Math"/>
              </w:rPr>
              <m:t xml:space="preserve">k</m:t>
            </m:r>
          </m:sub>
        </m:sSub>
        <m:r>
          <m:rPr>
            <m:sty m:val="p"/>
          </m:rPr>
          <w:rPr>
            <w:rFonts w:ascii="Cambria Math" w:hAnsi="Cambria Math"/>
          </w:rPr>
          <m:t xml:space="preserve"> &gt; 0</m:t>
        </m:r>
      </m:oMath>
      <w:r>
        <w:t xml:space="preserve"> and </w:t>
      </w:r>
      <m:oMath>
        <m:sSub>
          <m:sSubPr/>
          <m:e>
            <m:r>
              <m:rPr>
                <m:sty m:val="i"/>
              </m:rPr>
              <w:rPr>
                <w:rFonts w:ascii="Cambria Math" w:hAnsi="Cambria Math"/>
              </w:rPr>
              <m:t xml:space="preserve">l</m:t>
            </m:r>
          </m:e>
          <m:sub>
            <m:r>
              <m:rPr>
                <m:sty m:val="i"/>
              </m:rPr>
              <w:rPr>
                <w:rFonts w:ascii="Cambria Math" w:hAnsi="Cambria Math"/>
              </w:rPr>
              <m:t xml:space="preserve">jk</m:t>
            </m:r>
          </m:sub>
        </m:sSub>
        <m:r>
          <m:rPr>
            <m:sty m:val="p"/>
          </m:rPr>
          <w:rPr>
            <w:rFonts w:ascii="Cambria Math" w:hAnsi="Cambria Math"/>
          </w:rPr>
          <m:t xml:space="preserve"> ≤ </m:t>
        </m:r>
        <m:bar>
          <m:barPr>
            <m:pos m:val="top"/>
          </m:barPr>
          <m:e>
            <m:r>
              <m:rPr>
                <m:sty m:val="i"/>
              </m:rPr>
              <w:rPr>
                <w:rFonts w:ascii="Cambria Math" w:hAnsi="Cambria Math"/>
              </w:rPr>
              <m:t xml:space="preserve">l</m:t>
            </m:r>
          </m:e>
        </m:bar>
      </m:oMath>
      <w:r>
        <w:t xml:space="preserve">. A hypothetical country with the globally lowest production cost but round-trip latency exceeding </w:t>
      </w:r>
      <m:oMath>
        <m:bar>
          <m:barPr>
            <m:pos m:val="top"/>
          </m:barPr>
          <m:e>
            <m:r>
              <m:rPr>
                <m:sty m:val="i"/>
              </m:rPr>
              <w:rPr>
                <w:rFonts w:ascii="Cambria Math" w:hAnsi="Cambria Math"/>
              </w:rPr>
              <m:t xml:space="preserve">l</m:t>
            </m:r>
          </m:e>
        </m:bar>
      </m:oMath>
      <w:r>
        <w:t xml:space="preserve"> to every country with positive compute demand would export training (which is latency-insensitive) yet be unable to serve any inference market, a “pure training exporter” regime not listed in Table 1. This case is empirically negligible in the calibration: any country remote enough to have an empty latency cone (e.g., a mid-Pacific island) typically also faces prohibitive governance and construction cost penalties that exclude it from the training market.</w:t>
      </w:r>
    </w:p>
  </w:footnote>
  <w:footnote w:id="24">
    <w:p>
      <w:pPr>
        <w:pStyle w:val="FootnoteText"/>
      </w:pPr>
      <w:r>
        <w:rPr>
          <w:rStyle w:val="FootnoteReference"/>
        </w:rPr>
        <w:footnoteRef/>
      </w:r>
      <w:r>
        <w:t xml:space="preserve"> Korea Electric Power Corporation (KEPCO), Electricity Rate Table, accessed January 2025.</w:t>
      </w:r>
    </w:p>
  </w:footnote>
  <w:footnote w:id="25">
    <w:p>
      <w:pPr>
        <w:pStyle w:val="FootnoteText"/>
      </w:pPr>
      <w:r>
        <w:rPr>
          <w:rStyle w:val="FootnoteReference"/>
        </w:rPr>
        <w:footnoteRef/>
      </w:r>
      <w:r>
        <w:t xml:space="preserve"> Synergy Research Group, Global Data Center Market Share (Q4 2024); Cushman &amp; Wakefield, Global Data Center Market Comparison (2024); CBRE, Global Data Center Trends (2025); Mordor Intelligence, Data Center Market Forecast (2025).</w:t>
      </w:r>
    </w:p>
  </w:footnote>
  <w:footnote w:id="13">
    <w:p>
      <w:pPr>
        <w:pStyle w:val="FootnoteText"/>
      </w:pPr>
      <w:r>
        <w:rPr>
          <w:rStyle w:val="FootnoteReference"/>
        </w:rPr>
        <w:footnoteRef/>
      </w:r>
      <w:r>
        <w:t xml:space="preserve"> Capping PUE at 1.20 (simulating universal liquid cooling) yields a Kendall rank correlation of 0.96 with the baseline rankings. The top five countries are unchanged, and the maximum rank shift is six positions. Gulf states and North Africa gain the most (UAE moves from 26th to 20th, Qatar from 15th to 11th), but the effect is small because electricity prices, not cooling, dominate cross-country cost variation.</w:t>
      </w:r>
    </w:p>
  </w:footnote>
  <w:footnote w:id="15">
    <w:p>
      <w:pPr>
        <w:pStyle w:val="FootnoteText"/>
      </w:pPr>
      <w:r>
        <w:rPr>
          <w:rStyle w:val="FootnoteReference"/>
        </w:rPr>
        <w:footnoteRef/>
      </w:r>
      <w:r>
        <w:t xml:space="preserve"> The bilateral sovereignty coefficients capture the geopolitical and data-governance components of services trade costs, which constitute a subset of the full regulatory barriers estimated at approximately 16% for communication services (</w:t>
      </w:r>
      <w:hyperlink w:anchor="BenzJaax2020" w:history="1">
        <w:r>
          <w:rPr>
            <w:color w:val="1F3864"/>
            <w:u w:val="single"/>
          </w:rPr>
          <w:t xml:space="preserve">Benz and Jaax 2020</w:t>
        </w:r>
      </w:hyperlink>
      <w:r>
        <w:t xml:space="preserve">). The uniform 10% premium serves as a robustness benchmark.</w:t>
      </w:r>
    </w:p>
  </w:footnote>
  <w:footnote w:id="16">
    <w:p>
      <w:pPr>
        <w:pStyle w:val="FootnoteText"/>
      </w:pPr>
      <w:r>
        <w:rPr>
          <w:rStyle w:val="FootnoteReference"/>
        </w:rPr>
        <w:footnoteRef/>
      </w:r>
      <w:r>
        <w:t xml:space="preserve"> For gas exporters (Iran, Turkmenistan, Algeria, Qatar), the calibration uses combined-cycle gas generation at export-parity fuel prices ($0.065–$0.100/kWh). For the Gulf states, it uses the opportunity cost of domestic gas combustion relative to LNG exports. For coal-dependent producers (Kazakhstan, South Africa), the calibration uses the Eskom-style cost-recovery tariff. Ethiopia uses the IMF’s hydro cost-recovery target ($0.050/kWh). The IMF estimates global fossil fuel subsidies at $6.7 trillion in 2024. Explicit subsidies (below-cost pricing) account for 8%; the remainder reflects unpriced environmental costs. The calibration uses only the explicit component.</w:t>
      </w:r>
    </w:p>
  </w:footnote>
  <w:footnote w:id="17">
    <w:p>
      <w:pPr>
        <w:pStyle w:val="FootnoteText"/>
      </w:pPr>
      <w:r>
        <w:rPr>
          <w:rStyle w:val="FootnoteReference"/>
        </w:rPr>
        <w:footnoteRef/>
      </w:r>
      <w:r>
        <w:t xml:space="preserve"> The tier shares (10/20/70) are assumptions calibrated to match the approximate composition of government, regulated-industry, and commercial AI workloads (Deloitte 2025). Results are robust to moderate variation in these shares.</w:t>
      </w:r>
    </w:p>
  </w:footnote>
  <w:footnote w:id="90">
    <w:p>
      <w:pPr>
        <w:pStyle w:val="FootnoteText"/>
      </w:pPr>
      <w:r>
        <w:rPr>
          <w:rStyle w:val="FootnoteReference"/>
        </w:rPr>
        <w:footnoteRef/>
      </w:r>
      <w:r>
        <w:t xml:space="preserve"> Data sources for the carbon-price and cross-subsidy adjustments: EMBER, Yearly Electricity Data (2025 release); Agora Energiewende and BDEW industrial electricity-price analyses; and OECD, Energy Policy Reviews: Korea.</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imes New Roman" w:hAnsi="Times New Roman"/>
      <w:b/>
      <w:bCs/>
      <w:color w:val="2F5496"/>
      <w:sz w:val="28"/>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36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FootnoteText">
    <w:name w:val="footnote text"/>
    <w:basedOn w:val="Normal"/>
    <w:link w:val="FootnoteTextChar"/>
    <w:semiHidden/>
    <w:unhideWhenUsed/>
    <w:pPr>
      <w:spacing w:after="0" w:line="240" w:lineRule="auto"/>
    </w:pPr>
    <w:rPr>
      <w:sz w:val="20"/>
      <w:szCs w:val="20"/>
    </w:rPr>
  </w:style>
  <w:style w:type="character" w:styleId="FootnoteTextChar">
    <w:name w:val="Footnote Text Char"/>
    <w:basedOn w:val="DefaultParagraphFont"/>
    <w:link w:val="FootnoteText"/>
    <w:semiHidden/>
    <w:rPr>
      <w:sz w:val="20"/>
      <w:szCs w:val="20"/>
    </w:rPr>
  </w:style>
  <w:style w:type="character" w:styleId="FootnoteReference">
    <w:name w:val="footnote reference"/>
    <w:basedOn w:val="DefaultParagraphFont"/>
    <w:semiHidden/>
    <w:unhideWhenUsed/>
    <w:rPr>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9" Type="http://schemas.openxmlformats.org/officeDocument/2006/relationships/footnotes" Target="footnotes.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1.png"/><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Lokshin</dc:creator>
  <cp:keywords/>
  <dc:description>generated by python-docx</dc:description>
  <cp:lastModifiedBy/>
  <cp:revision>1</cp:revision>
  <dcterms:created xsi:type="dcterms:W3CDTF">2013-12-23T23:15:00Z</dcterms:created>
  <dcterms:modified xsi:type="dcterms:W3CDTF">2013-12-23T23:15:00Z</dcterms:modified>
  <cp:category/>
</cp:coreProperties>
</file>