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v24  —  February 22, 2026  21:09</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cross-country cost differences are small, making production efficiency, bilateral trade frictions,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6" w:name="IEA2025txt"/>
      <w:hyperlink w:anchor="IEA2025" w:history="1">
        <w:r>
          <w:rPr>
            <w:color w:val="1F3864"/>
            <w:u w:val="single"/>
          </w:rPr>
          <w:t xml:space="preserve">IEA 2025</w:t>
        </w:r>
      </w:hyperlink>
      <w:bookmarkEnd w:id="246"/>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under raw electricity tariffs (20 percent after efficiency adjustment). Once production-efficiency penalties for grid outages and weak governance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These studies focus on where firms should build data centers.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The coefficients are calibrated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It is constructed as the product of two normalized scores: grid reliability (inverse of hours without electricity per firm per year) and operational risk (a composite of contract enforcement, expropriation risk, and regulatory predictability). It approaches one for countries with reliable power and sound institutions, and falls below one where outages or operational risk reduce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1" w:name="Hummels2013txt"/>
      <w:hyperlink w:anchor="Hummels2013" w:history="1">
        <w:r>
          <w:rPr>
            <w:color w:val="1F3864"/>
            <w:u w:val="single"/>
          </w:rPr>
          <w:t xml:space="preserve">Hummels and Schaur (2013)</w:t>
        </w:r>
      </w:hyperlink>
      <w:bookmarkEnd w:id="211"/>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0" w:name="EIA2025txt"/>
      <w:hyperlink w:anchor="EIA2025" w:history="1">
        <w:r>
          <w:rPr>
            <w:color w:val="1F3864"/>
            <w:u w:val="single"/>
          </w:rPr>
          <w:t xml:space="preserve">EIA 2025</w:t>
        </w:r>
      </w:hyperlink>
      <w:bookmarkEnd w:id="250"/>
      <w:r>
        <w:t xml:space="preserve">) for the United States, KEPCO for South Korea,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Google’s GPU utilization, after years of optimization, runs in the 60–75% range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Our qualitative findings are therefore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2" w:name="Deloitte2020txt"/>
      <w:hyperlink w:anchor="Deloitte2020" w:history="1">
        <w:r>
          <w:rPr>
            <w:color w:val="1F3864"/>
            <w:u w:val="single"/>
          </w:rPr>
          <w:t xml:space="preserve">Deloitte (2020)</w:t>
        </w:r>
      </w:hyperlink>
      <w:bookmarkEnd w:id="222"/>
      <w:r>
        <w:t xml:space="preserve"> that a 0.1-second improvement in page load time raises e-commerce conversion rates by 8.4%.</w:t>
      </w:r>
      <w:r>
        <w:rPr>
          <w:rStyle w:val="FootnoteReference"/>
        </w:rPr>
        <w:footnoteReference w:id="14"/>
      </w:r>
      <w:r>
        <w:t xml:space="preserv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The coefficient weights are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is constructed as the geometric mean of two normalized scores: governance quality (</w:t>
      </w:r>
      <w:bookmarkStart w:id="224" w:name="WorldBank2024txt"/>
      <w:hyperlink w:anchor="WorldBank2024" w:history="1">
        <w:r>
          <w:rPr>
            <w:color w:val="1F3864"/>
            <w:u w:val="single"/>
          </w:rPr>
          <w:t xml:space="preserve">World Bank</w:t>
        </w:r>
      </w:hyperlink>
      <w:bookmarkEnd w:id="224"/>
      <w:r>
        <w:t xml:space="preserve"> Worldwide Governance Indicators, Rule of Law percentile, rescaled to [0, 1]) and grid reliability (inverse of hours without electricity per firm per year, from the </w:t>
      </w:r>
      <w:bookmarkStart w:id="242" w:name="WorldBank2024txt"/>
      <w:hyperlink w:anchor="WorldBank2024" w:history="1">
        <w:r>
          <w:rPr>
            <w:color w:val="1F3864"/>
            <w:u w:val="single"/>
          </w:rPr>
          <w:t xml:space="preserve">World Bank</w:t>
        </w:r>
      </w:hyperlink>
      <w:bookmarkEnd w:id="242"/>
      <w:r>
        <w:t xml:space="preserve"> Enterprise Surveys). Sanctions exposure, previously part of ξ, is now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4" w:name="Eq2txt904"/>
      <w:hyperlink w:anchor="Eq2" w:history="1">
        <w:r>
          <w:rPr>
            <w:color w:val="1F3864"/>
            <w:u w:val="single"/>
          </w:rPr>
          <w:t xml:space="preserve">equation (2)</w:t>
        </w:r>
      </w:hyperlink>
      <w:bookmarkEnd w:id="904"/>
      <w:r>
        <w:t xml:space="preserve">. For OECD countries with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with weak grids and governance fall in between (e.g., Kyrgyzstan: 0.57, Iran: 0.51). Note that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after efficiency adjustment: penalizing low-ξ competitors pushes them down, mechanically raising higher-ξ countries. Moreover, ξ ranges from 0.95 to 1.00 even within the OECD, and the tight cross-country cost spread (≈20%) means small efficiency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w:t>
      </w:r>
    </w:p>
    <w:p>
      <w:pPr>
        <w:spacing w:before="0" w:after="160"/>
        <w:ind w:firstLine="0"/>
        <w:jc w:val="both"/>
      </w:pPr>
      <w:r>
        <w:t xml:space="preserve">For comparison, under observed electricity tariffs and without efficiency adjustment, the cheapest producer is Iran ($1.41/hr), followed by Turkmenistan ($1.42/hr) and Ethiopia ($1.43/hr),as shown in column (1) of </w:t>
      </w:r>
      <w:bookmarkStart w:id="112" w:name="Table3txt"/>
      <w:hyperlink w:anchor="Table3" w:history="1">
        <w:r>
          <w:rPr>
            <w:color w:val="1F3864"/>
            <w:u w:val="single"/>
          </w:rPr>
          <w:t xml:space="preserve">Table 3a</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5" w:name="Lazard2025txt"/>
      <w:hyperlink w:anchor="Lazard2025" w:history="1">
        <w:r>
          <w:rPr>
            <w:color w:val="1F3864"/>
            <w:u w:val="single"/>
          </w:rPr>
          <w:t xml:space="preserve">Lazard 2025</w:t>
        </w:r>
      </w:hyperlink>
      <w:bookmarkEnd w:id="225"/>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3a</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42 countries change their trade regimes.</w:t>
      </w:r>
    </w:p>
    <w:p>
      <w:pPr>
        <w:spacing w:before="0" w:after="160"/>
        <w:ind w:firstLine="0"/>
        <w:jc w:val="both"/>
      </w:pPr>
      <w:r>
        <w:t xml:space="preserve">Dividing the cost-recovery costs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penalizes countries with weak governance and unreliable grids. Column (3) of </w:t>
      </w:r>
      <w:hyperlink w:anchor="Table3" w:history="1">
        <w:r>
          <w:rPr>
            <w:color w:val="1F3864"/>
            <w:u w:val="single"/>
          </w:rPr>
          <w:t xml:space="preserve">Table 3a</w:t>
        </w:r>
      </w:hyperlink>
      <w:r>
        <w:t xml:space="preserve"> reports the preferred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($1.46/hr), Norway ($1.47/hr), Finland ($1.47/hr), Sweden ($1.49/hr), and South Africa ($1.49/hr). </w:t>
      </w:r>
      <w:r>
        <w:t>The Δ column records the rank change from raw tariffs to the preferred specification: Iran drops 80 places</w:t>
      </w:r>
      <w:r>
        <w:t>, Kyrgyzstan drops 70</w:t>
      </w:r>
      <w:r>
        <w:t xml:space="preserve">, while Switzerland rises 63 places, </w:t>
      </w:r>
      <w:r>
        <w:t>and Singapore rises 62</w:t>
      </w:r>
      <w:r>
        <w:t xml:space="preserve">. Nine of the ten cheapest countries under the pure engineering cost ranking fall out of the top ten after efficiency adjustment, replaced by countries with stronger institutions and more reliable grids. Because hardware and networking costs account for roughly 94% of engineering costs,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 xml:space="preserve">The efficiency-adjusted ranking captures governance quality and grid stability, while the bilateral sovereignty premium captures sanctions, geopolitical distance, and regulatory incompatibility.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fully captured by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GPU export controls (Section 6.1) and water scarcity in Iran, Turkmenistan, Egypt, and Saudi Arabia further constrain several low-cost producers.</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5" w:name="Eq2txt905"/>
      <w:hyperlink w:anchor="Eq2" w:history="1">
        <w:r>
          <w:rPr>
            <w:color w:val="1F3864"/>
            <w:u w:val="single"/>
          </w:rPr>
          <w:t xml:space="preserve">equation (2)</w:t>
        </w:r>
      </w:hyperlink>
      <w:bookmarkEnd w:id="905"/>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hyperlink w:anchor="Table3b" w:history="1">
        <w:r>
          <w:rPr>
            <w:color w:val="1F3864"/>
            <w:u w:val="single"/>
          </w:rPr>
          <w:t xml:space="preserve">Table 3b</w:t>
        </w:r>
      </w:hyperlink>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−8.1%</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0.2%</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20.3%</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56.8%</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As a refinement, the model segments each country’s compute demand into three tiers: sovereign workloads (10% of demand, domestic only), regulated workloads (20%, higher regulatory compatibility weight), and commercial workloads (70%, geopolitical alignment only). Under the calibrated parameters, tiering leaves regime type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frameworks, favoring EU member states and APEC CBPR participants over geographically closer but less regulated alternatives.</w:t>
      </w:r>
      <w:r>
        <w:rPr>
          <w:rStyle w:val="FootnoteReference"/>
        </w:rPr>
        <w:footnoteReference w:id="17"/>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6" w:name="Eq4txt906"/>
      <w:hyperlink w:anchor="Eq4" w:history="1">
        <w:r>
          <w:rPr>
            <w:color w:val="1F3864"/>
            <w:u w:val="single"/>
          </w:rPr>
          <w:t xml:space="preserve">equation (4)</w:t>
        </w:r>
      </w:hyperlink>
      <w:bookmarkEnd w:id="906"/>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(48%), Finland (34%), Norway (7%), Singapore (5%), and Australia (2%), collectively accounting for 96% of global inference demand (HHI = 0.35). Under the bilateral sovereignty premium, most training demand is served domestically, and the smaller export market is served by 1 exporter (HHI = 1.00) at $1.58/hr.</w:t>
      </w:r>
    </w:p>
    <w:p>
      <w:pPr>
        <w:spacing w:before="0" w:after="160"/>
        <w:ind w:firstLine="0"/>
        <w:jc w:val="both"/>
      </w:pP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4.7% of average compute spending, comparable to the 0.2–10% welfare losses from trade barriers estimated for goods trade (</w:t>
      </w:r>
      <w:bookmarkStart w:id="226" w:name="EatonKortum2002txt"/>
      <w:hyperlink w:anchor="EatonKortum2002" w:history="1">
        <w:r>
          <w:rPr>
            <w:color w:val="1F3864"/>
            <w:u w:val="single"/>
          </w:rPr>
          <w:t xml:space="preserve">Eaton and Kortum 2002</w:t>
        </w:r>
      </w:hyperlink>
      <w:bookmarkEnd w:id="226"/>
      <w:r>
        <w:t xml:space="preserve">, </w:t>
      </w:r>
      <w:bookmarkStart w:id="244" w:name="ACR2012txt"/>
      <w:hyperlink w:anchor="ACR2012" w:history="1">
        <w:r>
          <w:rPr>
            <w:color w:val="1F3864"/>
            <w:u w:val="single"/>
          </w:rPr>
          <w:t xml:space="preserve">Arkolakis et al. 2012</w:t>
        </w:r>
      </w:hyperlink>
      <w:bookmarkEnd w:id="244"/>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7" w:name="WorldBank2025txt"/>
      <w:hyperlink w:anchor="WorldBank2025" w:history="1">
        <w:r>
          <w:rPr>
            <w:color w:val="1F3864"/>
            <w:u w:val="single"/>
          </w:rPr>
          <w:t xml:space="preserve">World Bank (2025)</w:t>
        </w:r>
      </w:hyperlink>
      <w:bookmarkEnd w:id="227"/>
      <w:r>
        <w:t xml:space="preserve"> frames this as the central policy choice: building domestic capacity versus securing affordable access to international cloud services.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($1.69/hr). For Germany, inference is sourced from Norway ($1.66/hr), for the United Kingdom from Finland ($1.67/hr), and for France from Finland ($1.67/hr). For China, the cheapest source of inference is Finland ($1.92/hr), a neighboring country with hydropower-based electricity. These patterns illustrate the model’s core prediction that inference organizes around latency-bounded regional hubs, and each major market has a distinct optimal supplier determined by geography. With the bilateral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a hyperscale data center can be large relative to the host grid. Kyrgyzstan’s 3,800 MW grid (Appendix D) would face significant strain from a single 100 MW facility consuming roughly 3% of national electricity output. At the multi-facility scale implied by the model’s export predictions, data centers would become the dominant industrial load competing with residential heating in winter when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efficiency adjustment: the same institutional weaknesses that lower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spacing w:before="0" w:after="160"/>
        <w:ind w:firstLine="0"/>
        <w:jc w:val="both"/>
      </w:pPr>
      <w:r>
        <w:rPr>
          <w:rFonts w:ascii="Times New Roman" w:hAnsi="Times New Roman"/>
          <w:b w:val="0"/>
          <w:i/>
          <w:sz w:val="24"/>
        </w:rPr>
        <w:t xml:space="preserve">Uniform sovereignty premium. </w:t>
      </w:r>
      <w:r>
        <w:t xml:space="preserve">As a robustness check, column (6) of </w:t>
      </w:r>
      <w:hyperlink w:anchor="Table3b" w:history="1">
        <w:r>
          <w:rPr>
            <w:color w:val="1F3864"/>
            <w:u w:val="single"/>
          </w:rPr>
          <w:t xml:space="preserve">Table 3b</w:t>
        </w:r>
      </w:hyperlink>
      <w:r>
        <w:t xml:space="preserve"> reports results under a uniform sovereignty premium </w:t>
      </w:r>
      <m:oMath>
        <m:r>
          <m:rPr>
            <m:sty m:val="i"/>
          </m:rPr>
          <w:rPr>
            <w:rFonts w:ascii="Cambria Math" w:hAnsi="Cambria Math"/>
          </w:rPr>
          <m:t xml:space="preserve">λ</m:t>
        </m:r>
        <m:r>
          <m:rPr>
            <m:sty m:val="p"/>
          </m:rPr>
          <w:rPr>
            <w:rFonts w:ascii="Cambria Math" w:hAnsi="Cambria Math"/>
          </w:rPr>
          <m:t xml:space="preserve"> = 10%</m:t>
        </m:r>
      </m:oMath>
      <w:r>
        <w:t>, the specification used in earlier versions of the model. The uniform premium produces broadly similar regime assignments: most countries produce domestically under either specification. The main difference is that the bilateral premium excludes sanctioned countries from serving any demand center, while the uniform premium treats all country pairs identically. The bilateral specification is preferred because it captures the observed heterogeneity in sovereignty preferences across country pairs.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4.7% of compute spending.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5" w:name="vanderPloeg2011txt"/>
      <w:hyperlink w:anchor="vanderPloeg2011" w:history="1">
        <w:r>
          <w:rPr>
            <w:color w:val="1F3864"/>
            <w:u w:val="single"/>
          </w:rPr>
          <w:t xml:space="preserve">van der Ploeg 2011</w:t>
        </w:r>
      </w:hyperlink>
      <w:bookmarkEnd w:id="245"/>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production efficiency, bilateral trust, and data governance frameworks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4"/>
    </w:p>
    <w:p>
      <w:pPr>
        <w:spacing w:before="0" w:after="80" w:line="240" w:lineRule="exact"/>
        <w:ind w:hanging="720" w:left="720"/>
        <w:jc w:val="both"/>
      </w:pPr>
      <w:bookmarkStart w:id="515"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5"/>
    </w:p>
    <w:p>
      <w:pPr>
        <w:spacing w:before="0" w:after="80" w:line="240" w:lineRule="exact"/>
        <w:ind w:hanging="720" w:left="720"/>
        <w:jc w:val="both"/>
      </w:pPr>
      <w:bookmarkStart w:id="516"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6"/>
    </w:p>
    <w:p>
      <w:pPr>
        <w:spacing w:before="0" w:after="80" w:line="240" w:lineRule="exact"/>
        <w:ind w:hanging="720" w:left="720"/>
        <w:jc w:val="both"/>
      </w:pPr>
      <w:bookmarkStart w:id="517"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7"/>
    </w:p>
    <w:p>
      <w:pPr>
        <w:spacing w:before="0" w:after="80" w:line="240" w:lineRule="exact"/>
        <w:ind w:hanging="720" w:left="720"/>
        <w:jc w:val="both"/>
      </w:pPr>
      <w:bookmarkStart w:id="518" w:name="Google2024"/>
      <w:r>
        <w:rPr>
          <w:color w:val="1F3864"/>
          <w:u w:val="single"/>
        </w:rPr>
        <w:t xml:space="preserve">Google. </w:t>
      </w:r>
      <w:r>
        <w:t xml:space="preserve">(2024). </w:t>
      </w:r>
      <w:r>
        <w:rPr>
          <w:i/>
        </w:rPr>
        <w:t>2024 Environmental Report</w:t>
      </w:r>
      <w:r>
        <w:t>. sustainability.google.</w:t>
      </w:r>
      <w:bookmarkEnd w:id="518"/>
    </w:p>
    <w:p>
      <w:pPr>
        <w:spacing w:before="0" w:after="80" w:line="240" w:lineRule="exact"/>
        <w:ind w:hanging="720" w:left="720"/>
        <w:jc w:val="both"/>
      </w:pPr>
      <w:bookmarkStart w:id="519"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9"/>
    </w:p>
    <w:p>
      <w:pPr>
        <w:spacing w:before="0" w:after="80" w:line="240" w:lineRule="exact"/>
        <w:ind w:hanging="720" w:left="720"/>
        <w:jc w:val="both"/>
      </w:pPr>
      <w:bookmarkStart w:id="52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0"/>
    </w:p>
    <w:p>
      <w:pPr>
        <w:spacing w:before="0" w:after="80" w:line="240" w:lineRule="exact"/>
        <w:ind w:hanging="720" w:left="720"/>
        <w:jc w:val="both"/>
      </w:pPr>
      <w:bookmarkStart w:id="52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1"/>
    </w:p>
    <w:p>
      <w:pPr>
        <w:spacing w:before="0" w:after="80" w:line="240" w:lineRule="exact"/>
        <w:ind w:hanging="720" w:left="720"/>
        <w:jc w:val="both"/>
      </w:pPr>
      <w:bookmarkStart w:id="522"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2"/>
    </w:p>
    <w:p>
      <w:pPr>
        <w:spacing w:before="0" w:after="80" w:line="240" w:lineRule="exact"/>
        <w:ind w:hanging="720" w:left="720"/>
        <w:jc w:val="both"/>
      </w:pPr>
      <w:bookmarkStart w:id="523" w:name="IEA2025"/>
      <w:hyperlink w:anchor="IEA2025txt" w:history="1">
        <w:r>
          <w:rPr>
            <w:color w:val="1F3864"/>
            <w:u w:val="single"/>
          </w:rPr>
          <w:t xml:space="preserve">IEA. (2025). </w:t>
        </w:r>
      </w:hyperlink>
      <w:r>
        <w:t>“Energy Demand from AI.” Published online at iea.org.</w:t>
      </w:r>
      <w:bookmarkEnd w:id="523"/>
    </w:p>
    <w:p>
      <w:pPr>
        <w:spacing w:before="0" w:after="80" w:line="240" w:lineRule="exact"/>
        <w:ind w:hanging="720" w:left="720"/>
        <w:jc w:val="both"/>
      </w:pPr>
      <w:bookmarkStart w:id="524"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4"/>
    </w:p>
    <w:p>
      <w:pPr>
        <w:spacing w:before="0" w:after="80" w:line="240" w:lineRule="exact"/>
        <w:ind w:hanging="720" w:left="720"/>
        <w:jc w:val="both"/>
      </w:pPr>
      <w:bookmarkStart w:id="52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5"/>
    </w:p>
    <w:p>
      <w:pPr>
        <w:spacing w:before="0" w:after="80" w:line="240" w:lineRule="exact"/>
        <w:ind w:hanging="720" w:left="720"/>
        <w:jc w:val="both"/>
      </w:pPr>
      <w:bookmarkStart w:id="52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6"/>
    </w:p>
    <w:p>
      <w:pPr>
        <w:spacing w:before="0" w:after="80" w:line="240" w:lineRule="exact"/>
        <w:ind w:hanging="720" w:left="720"/>
        <w:jc w:val="both"/>
      </w:pPr>
      <w:bookmarkStart w:id="52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7"/>
    </w:p>
    <w:p>
      <w:pPr>
        <w:spacing w:before="0" w:after="80" w:line="240" w:lineRule="exact"/>
        <w:ind w:hanging="720" w:left="720"/>
        <w:jc w:val="both"/>
      </w:pPr>
      <w:bookmarkStart w:id="52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8"/>
    </w:p>
    <w:p>
      <w:pPr>
        <w:spacing w:before="0" w:after="80" w:line="240" w:lineRule="exact"/>
        <w:ind w:hanging="720" w:left="720"/>
        <w:jc w:val="both"/>
      </w:pPr>
      <w:bookmarkStart w:id="52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9"/>
    </w:p>
    <w:p>
      <w:pPr>
        <w:spacing w:before="0" w:after="80" w:line="240" w:lineRule="exact"/>
        <w:ind w:hanging="720" w:left="720"/>
        <w:jc w:val="both"/>
      </w:pPr>
      <w:bookmarkStart w:id="53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0"/>
    </w:p>
    <w:p>
      <w:pPr>
        <w:spacing w:before="0" w:after="80" w:line="240" w:lineRule="exact"/>
        <w:ind w:hanging="720" w:left="720"/>
        <w:jc w:val="both"/>
      </w:pPr>
      <w:bookmarkStart w:id="531" w:name="NVIDIA2024"/>
      <w:r>
        <w:rPr>
          <w:color w:val="1F3864"/>
          <w:u w:val="single"/>
        </w:rPr>
        <w:t xml:space="preserve">NVIDIA. </w:t>
      </w:r>
      <w:r>
        <w:t xml:space="preserve">(2024). </w:t>
      </w:r>
      <w:r>
        <w:rPr>
          <w:i/>
        </w:rPr>
        <w:t>NVIDIA H100 Tensor Core GPU Datasheet</w:t>
      </w:r>
      <w:r>
        <w:t>. nvidia.com.</w:t>
      </w:r>
      <w:bookmarkEnd w:id="531"/>
    </w:p>
    <w:p>
      <w:pPr>
        <w:spacing w:before="0" w:after="80" w:line="240" w:lineRule="exact"/>
        <w:ind w:hanging="720" w:left="720"/>
        <w:jc w:val="both"/>
      </w:pPr>
      <w:bookmarkStart w:id="53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2"/>
    </w:p>
    <w:p>
      <w:pPr>
        <w:spacing w:before="0" w:after="80" w:line="240" w:lineRule="exact"/>
        <w:ind w:hanging="720" w:left="720"/>
        <w:jc w:val="both"/>
      </w:pPr>
      <w:bookmarkStart w:id="53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3"/>
    </w:p>
    <w:p>
      <w:pPr>
        <w:spacing w:before="0" w:after="80" w:line="240" w:lineRule="exact"/>
        <w:ind w:hanging="720" w:left="720"/>
        <w:jc w:val="both"/>
      </w:pPr>
      <w:bookmarkStart w:id="534" w:name="Sastry2024"/>
      <w:hyperlink w:anchor="Sastry2024txt" w:history="1">
        <w:r>
          <w:rPr>
            <w:color w:val="1F3864"/>
            <w:u w:val="single"/>
          </w:rPr>
          <w:t xml:space="preserve">Sastry, G., L. Heim, et al. (2024). </w:t>
        </w:r>
      </w:hyperlink>
      <w:r>
        <w:t>“Computing Power and the Governance of Artificial Intelligence.” arXiv:2402.08797.</w:t>
      </w:r>
      <w:bookmarkEnd w:id="534"/>
    </w:p>
    <w:p>
      <w:pPr>
        <w:spacing w:before="0" w:after="80" w:line="240" w:lineRule="exact"/>
        <w:ind w:hanging="720" w:left="720"/>
        <w:jc w:val="both"/>
      </w:pPr>
      <w:bookmarkStart w:id="535"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5"/>
    </w:p>
    <w:p>
      <w:pPr>
        <w:spacing w:before="0" w:after="80" w:line="240" w:lineRule="exact"/>
        <w:ind w:hanging="720" w:left="720"/>
        <w:jc w:val="both"/>
      </w:pPr>
      <w:bookmarkStart w:id="53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6"/>
    </w:p>
    <w:p>
      <w:pPr>
        <w:spacing w:before="0" w:after="80" w:line="240" w:lineRule="exact"/>
        <w:ind w:hanging="720" w:left="720"/>
        <w:jc w:val="both"/>
      </w:pPr>
      <w:bookmarkStart w:id="537" w:name="TurnerLee2025"/>
      <w:hyperlink w:anchor="TurnerLee2025txt" w:history="1">
        <w:r>
          <w:rPr>
            <w:color w:val="1F3864"/>
            <w:u w:val="single"/>
          </w:rPr>
          <w:t xml:space="preserve">Turner Lee, N., and D. West. (2025). </w:t>
        </w:r>
      </w:hyperlink>
      <w:r>
        <w:t>“The Future of Data Centers.” Brookings Institution, November 2025.</w:t>
      </w:r>
      <w:bookmarkEnd w:id="537"/>
    </w:p>
    <w:p>
      <w:pPr>
        <w:spacing w:before="0" w:after="80" w:line="240" w:lineRule="exact"/>
        <w:ind w:hanging="720" w:left="720"/>
        <w:jc w:val="both"/>
      </w:pPr>
      <w:bookmarkStart w:id="538" w:name="DOJFTC2010"/>
      <w:r>
        <w:rPr>
          <w:color w:val="1F3864"/>
          <w:u w:val="single"/>
        </w:rPr>
        <w:t xml:space="preserve">U.S. Department of Justice and Federal Trade Commission. </w:t>
      </w:r>
      <w:r>
        <w:t xml:space="preserve">(2010). </w:t>
      </w:r>
      <w:r>
        <w:rPr>
          <w:i/>
        </w:rPr>
        <w:t>Horizontal Merger Guidelines</w:t>
      </w:r>
      <w:r>
        <w:t>. Washington, DC.</w:t>
      </w:r>
      <w:bookmarkEnd w:id="538"/>
    </w:p>
    <w:p>
      <w:pPr>
        <w:spacing w:before="0" w:after="80" w:line="240" w:lineRule="exact"/>
        <w:ind w:hanging="720" w:left="720"/>
        <w:jc w:val="both"/>
      </w:pPr>
      <w:bookmarkStart w:id="539" w:name="UNCTAD2025"/>
      <w:r>
        <w:rPr>
          <w:color w:val="1F3864"/>
          <w:u w:val="single"/>
        </w:rPr>
        <w:t xml:space="preserve">UNCTAD. </w:t>
      </w:r>
      <w:r>
        <w:t xml:space="preserve">(2025). </w:t>
      </w:r>
      <w:r>
        <w:rPr>
          <w:i/>
        </w:rPr>
        <w:t>Technology and Innovation Report 2025</w:t>
      </w:r>
      <w:r>
        <w:t>. Geneva: United Nations.</w:t>
      </w:r>
      <w:bookmarkEnd w:id="539"/>
    </w:p>
    <w:p>
      <w:pPr>
        <w:spacing w:before="0" w:after="80" w:line="240" w:lineRule="exact"/>
        <w:ind w:hanging="720" w:left="720"/>
        <w:jc w:val="both"/>
      </w:pPr>
      <w:bookmarkStart w:id="540"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0"/>
    </w:p>
    <w:p>
      <w:pPr>
        <w:spacing w:before="0" w:after="80" w:line="240" w:lineRule="exact"/>
        <w:ind w:hanging="720" w:left="720"/>
        <w:jc w:val="both"/>
      </w:pPr>
      <w:bookmarkStart w:id="541"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1"/>
    </w:p>
    <w:p>
      <w:pPr>
        <w:spacing w:before="0" w:after="80" w:line="240" w:lineRule="exact"/>
        <w:ind w:hanging="720" w:left="720"/>
        <w:jc w:val="both"/>
      </w:pPr>
      <w:bookmarkStart w:id="542"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2"/>
    </w:p>
    <w:p>
      <w:pPr>
        <w:spacing w:before="0" w:after="80" w:line="240" w:lineRule="exact"/>
        <w:ind w:hanging="720" w:left="720"/>
        <w:jc w:val="both"/>
      </w:pPr>
      <w:bookmarkStart w:id="543"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3"/>
    </w:p>
    <w:p>
      <w:pPr>
        <w:spacing w:before="0" w:after="80" w:line="240" w:lineRule="exact"/>
        <w:ind w:hanging="720" w:left="720"/>
        <w:jc w:val="both"/>
      </w:pPr>
      <w:bookmarkStart w:id="544"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4"/>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27563"/>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27563"/>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combines governance quality and grid reliability (equation 3).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cⱼ/ξⱼᵉᶠᶠ</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+54</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$1.73</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$1.80</w:t>
            </w:r>
          </w:p>
        </w:tc>
        <w:tc>
          <w:tcPr>
            <w:tcW w:w="540" w:type="dxa"/>
          </w:tcPr>
          <w:p>
            <w:pPr>
              <w:jc w:val="center"/>
              <w:spacing w:before="10" w:after="10"/>
            </w:pPr>
            <w:r/>
            <w:r>
              <w:rPr>
                <w:rFonts w:ascii="Times New Roman" w:hAnsi="Times New Roman"/>
                <w:b/>
                <w:sz w:val="16"/>
              </w:rPr>
              <w:t>41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$1.92</w:t>
            </w:r>
          </w:p>
        </w:tc>
        <w:tc>
          <w:tcPr>
            <w:tcW w:w="540" w:type="dxa"/>
          </w:tcPr>
          <w:p>
            <w:pPr>
              <w:jc w:val="center"/>
              <w:spacing w:before="10" w:after="10"/>
            </w:pPr>
            <w:r/>
            <w:r>
              <w:rPr>
                <w:rFonts w:ascii="Times New Roman" w:hAnsi="Times New Roman"/>
                <w:b/>
                <w:sz w:val="16"/>
              </w:rPr>
              <w:t>45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$2.05</w:t>
            </w:r>
          </w:p>
        </w:tc>
        <w:tc>
          <w:tcPr>
            <w:tcW w:w="540" w:type="dxa"/>
          </w:tcPr>
          <w:p>
            <w:pPr>
              <w:jc w:val="center"/>
              <w:spacing w:before="10" w:after="10"/>
            </w:pPr>
            <w:r/>
            <w:r>
              <w:rPr>
                <w:rFonts w:ascii="Times New Roman" w:hAnsi="Times New Roman"/>
                <w:b/>
                <w:sz w:val="16"/>
              </w:rPr>
              <w:t>52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$2.18</w:t>
            </w:r>
          </w:p>
        </w:tc>
        <w:tc>
          <w:tcPr>
            <w:tcW w:w="540" w:type="dxa"/>
          </w:tcPr>
          <w:p>
            <w:pPr>
              <w:jc w:val="center"/>
              <w:spacing w:before="10" w:after="10"/>
            </w:pPr>
            <w:r/>
            <w:r>
              <w:rPr>
                <w:rFonts w:ascii="Times New Roman" w:hAnsi="Times New Roman"/>
                <w:b/>
                <w:sz w:val="16"/>
              </w:rPr>
              <w:t>59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$2.23</w:t>
            </w:r>
          </w:p>
        </w:tc>
        <w:tc>
          <w:tcPr>
            <w:tcW w:w="540" w:type="dxa"/>
          </w:tcPr>
          <w:p>
            <w:pPr>
              <w:jc w:val="center"/>
              <w:spacing w:before="10" w:after="10"/>
            </w:pPr>
            <w:r/>
            <w:r>
              <w:rPr>
                <w:rFonts w:ascii="Times New Roman" w:hAnsi="Times New Roman"/>
                <w:b/>
                <w:sz w:val="16"/>
              </w:rPr>
              <w:t>62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sz w:val="16"/>
              </w:rPr>
              <w:t>65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$2.27</w:t>
            </w:r>
          </w:p>
        </w:tc>
        <w:tc>
          <w:tcPr>
            <w:tcW w:w="540" w:type="dxa"/>
          </w:tcPr>
          <w:p>
            <w:pPr>
              <w:jc w:val="center"/>
              <w:spacing w:before="10" w:after="10"/>
            </w:pPr>
            <w:r/>
            <w:r>
              <w:rPr>
                <w:rFonts w:ascii="Times New Roman" w:hAnsi="Times New Roman"/>
                <w:b/>
                <w:sz w:val="16"/>
              </w:rPr>
              <w:t>65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$2.48</w:t>
            </w:r>
          </w:p>
        </w:tc>
        <w:tc>
          <w:tcPr>
            <w:tcW w:w="540" w:type="dxa"/>
          </w:tcPr>
          <w:p>
            <w:pPr>
              <w:jc w:val="center"/>
              <w:spacing w:before="10" w:after="10"/>
            </w:pPr>
            <w:r/>
            <w:r>
              <w:rPr>
                <w:rFonts w:ascii="Times New Roman" w:hAnsi="Times New Roman"/>
                <w:b/>
                <w:sz w:val="16"/>
              </w:rPr>
              <w:t>73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sz w:val="16"/>
              </w:rPr>
              <w:t>74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$2.50</w:t>
            </w:r>
          </w:p>
        </w:tc>
        <w:tc>
          <w:tcPr>
            <w:tcW w:w="540" w:type="dxa"/>
          </w:tcPr>
          <w:p>
            <w:pPr>
              <w:jc w:val="center"/>
              <w:spacing w:before="10" w:after="10"/>
            </w:pPr>
            <w:r/>
            <w:r>
              <w:rPr>
                <w:rFonts w:ascii="Times New Roman" w:hAnsi="Times New Roman"/>
                <w:b/>
                <w:sz w:val="16"/>
              </w:rPr>
              <w:t>74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-70</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$2.51</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-67</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sz w:val="16"/>
              </w:rPr>
              <w:t>80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$2.84</w:t>
            </w:r>
          </w:p>
        </w:tc>
        <w:tc>
          <w:tcPr>
            <w:tcW w:w="540" w:type="dxa"/>
          </w:tcPr>
          <w:p>
            <w:pPr>
              <w:jc w:val="center"/>
              <w:spacing w:before="10" w:after="10"/>
            </w:pPr>
            <w:r/>
            <w:r>
              <w:rPr>
                <w:rFonts w:ascii="Times New Roman" w:hAnsi="Times New Roman"/>
                <w:b/>
                <w:sz w:val="16"/>
              </w:rPr>
              <w:t>80</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-68</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$1.40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sz w:val="16"/>
              </w:rPr>
              <w:t>81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$2.89</w:t>
            </w:r>
          </w:p>
        </w:tc>
        <w:tc>
          <w:tcPr>
            <w:tcW w:w="540" w:type="dxa"/>
          </w:tcPr>
          <w:p>
            <w:pPr>
              <w:jc w:val="center"/>
              <w:spacing w:before="10" w:after="10"/>
            </w:pPr>
            <w:r/>
            <w:r>
              <w:rPr>
                <w:rFonts w:ascii="Times New Roman" w:hAnsi="Times New Roman"/>
                <w:b/>
                <w:sz w:val="16"/>
              </w:rPr>
              <w:t>81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$3.07</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-80</w:t>
            </w:r>
          </w:p>
        </w:tc>
      </w:tr>
      <w:tr>
        <w:tc>
          <w:tcPr>
            <w:tcBorders>
              <w:bottom w:val="double" w:sz="4" w:space="0" w:color="auto"/>
            </w:tcBorders>
            <w:tcW w:w="1800" w:type="dxa"/>
          </w:tcPr>
          <w:p>
            <w:pPr>
              <w:jc w:val="left"/>
              <w:spacing w:before="10" w:after="10"/>
            </w:pPr>
            <w:r/>
            <w:r>
              <w:rPr>
                <w:rFonts w:ascii="Times New Roman" w:hAnsi="Times New Roman"/>
                <w:sz w:val="16"/>
              </w:rPr>
              <w:t>Turkmenistan</w:t>
            </w:r>
          </w:p>
        </w:tc>
        <w:tc>
          <w:tcPr>
            <w:tcBorders>
              <w:bottom w:val="double" w:sz="4" w:space="0" w:color="auto"/>
            </w:tcBorders>
            <w:tcW w:w="900" w:type="dxa"/>
          </w:tcPr>
          <w:p>
            <w:pPr>
              <w:jc w:val="center"/>
              <w:spacing w:before="10" w:after="10"/>
            </w:pPr>
            <w:r/>
            <w:r>
              <w:rPr>
                <w:rFonts w:ascii="Times New Roman" w:hAnsi="Times New Roman"/>
                <w:sz w:val="16"/>
              </w:rPr>
              <w:t>$1.41</w:t>
            </w:r>
          </w:p>
        </w:tc>
        <w:tc>
          <w:tcPr>
            <w:tcBorders>
              <w:bottom w:val="double" w:sz="4" w:space="0" w:color="auto"/>
            </w:tcBorders>
            <w:tcW w:w="540" w:type="dxa"/>
          </w:tcPr>
          <w:p>
            <w:pPr>
              <w:jc w:val="center"/>
              <w:spacing w:before="10" w:after="10"/>
            </w:pPr>
            <w:r/>
            <w:r>
              <w:rPr>
                <w:rFonts w:ascii="Times New Roman" w:hAnsi="Times New Roman"/>
                <w:sz w:val="16"/>
              </w:rPr>
              <w:t>2</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$1.47</w:t>
            </w:r>
          </w:p>
        </w:tc>
        <w:tc>
          <w:tcPr>
            <w:tcBorders>
              <w:bottom w:val="double" w:sz="4" w:space="0" w:color="auto"/>
            </w:tcBorders>
            <w:tcW w:w="540" w:type="dxa"/>
          </w:tcPr>
          <w:p>
            <w:pPr>
              <w:jc w:val="center"/>
              <w:spacing w:before="10" w:after="10"/>
            </w:pPr>
            <w:r/>
            <w:r>
              <w:rPr>
                <w:rFonts w:ascii="Times New Roman" w:hAnsi="Times New Roman"/>
                <w:sz w:val="16"/>
              </w:rPr>
              <w:t>18</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$3.10</w:t>
            </w:r>
          </w:p>
        </w:tc>
        <w:tc>
          <w:tcPr>
            <w:tcBorders>
              <w:bottom w:val="double" w:sz="4" w:space="0" w:color="auto"/>
            </w:tcBorders>
            <w:tcW w:w="540" w:type="dxa"/>
          </w:tcPr>
          <w:p>
            <w:pPr>
              <w:jc w:val="center"/>
              <w:spacing w:before="10" w:after="10"/>
            </w:pPr>
            <w:r/>
            <w:r>
              <w:rPr>
                <w:rFonts w:ascii="Times New Roman" w:hAnsi="Times New Roman"/>
                <w:b/>
                <w:sz w:val="16"/>
              </w:rPr>
              <w:t>84</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-82</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cost-recovery price divided by production-efficiency index ξⱼᵉᶠᶠ (preferred specification). (4) Bilateral: efficiency-adjusted cost with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r>
        <w:rPr>
          <w:b/>
          <w:sz w:val="20"/>
        </w:rPr>
        <w:t>Table 3b</w:t>
      </w:r>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tcBorders>
            <w:tcW w:w="2400" w:type="dxa"/>
          </w:tcPr>
          <w:p>
            <w:pPr>
              <w:jc w:val="center"/>
              <w:spacing w:before="10" w:after="10"/>
            </w:pPr>
            <w:r/>
            <w:r>
              <w:rPr>
                <w:rFonts w:ascii="Times New Roman" w:hAnsi="Times New Roman"/>
                <w:sz w:val="16"/>
              </w:rPr>
            </w:r>
          </w:p>
        </w:tc>
        <w:tc>
          <w:tcPr>
            <w:tcBorders>
              <w:top w:val="single" w:sz="4" w:space="0" w:color="auto"/>
            </w:tcBorders>
            <w:tcW w:w="1300" w:type="dxa"/>
          </w:tcPr>
          <w:p>
            <w:pPr>
              <w:jc w:val="center"/>
              <w:spacing w:before="10" w:after="10"/>
            </w:pPr>
            <w:r/>
            <w:r>
              <w:rPr>
                <w:rFonts w:ascii="Times New Roman" w:hAnsi="Times New Roman"/>
                <w:sz w:val="16"/>
              </w:rPr>
            </w:r>
          </w:p>
        </w:tc>
        <w:tc>
          <w:tcPr>
            <w:tcBorders>
              <w:top w:val="single" w:sz="4" w:space="0" w:color="auto"/>
            </w:tcBorders>
            <w:tcW w:w="1000" w:type="dxa"/>
          </w:tcPr>
          <w:p>
            <w:pPr>
              <w:jc w:val="center"/>
              <w:spacing w:before="10" w:after="10"/>
            </w:pPr>
            <w:r/>
            <w:r>
              <w:rPr>
                <w:rFonts w:ascii="Times New Roman" w:hAnsi="Times New Roman"/>
                <w:b/>
                <w:sz w:val="16"/>
              </w:rPr>
              <w:t>(4)/(5) Bilateral</w:t>
            </w:r>
          </w:p>
        </w:tc>
        <w:tc>
          <w:tcPr>
            <w:tcBorders>
              <w:top w:val="single" w:sz="4" w:space="0" w:color="auto"/>
            </w:tcBorders>
            <w:tcW w:w="1000" w:type="dxa"/>
          </w:tcPr>
          <w:p>
            <w:pPr>
              <w:jc w:val="center"/>
              <w:spacing w:before="10" w:after="10"/>
            </w:pPr>
            <w:r/>
            <w:r>
              <w:rPr>
                <w:rFonts w:ascii="Times New Roman" w:hAnsi="Times New Roman"/>
                <w:b/>
                <w:sz w:val="16"/>
              </w:rPr>
              <w:t>(6) Uniform</w:t>
            </w:r>
          </w:p>
        </w:tc>
        <w:tc>
          <w:tcPr>
            <w:tcBorders>
              <w:top w:val="single" w:sz="4" w:space="0" w:color="auto"/>
            </w:tcBorders>
            <w:tcW w:w="900" w:type="dxa"/>
          </w:tcPr>
          <w:p>
            <w:pPr>
              <w:jc w:val="center"/>
              <w:spacing w:before="10" w:after="10"/>
            </w:pPr>
            <w:r/>
            <w:r>
              <w:rPr>
                <w:rFonts w:ascii="Times New Roman" w:hAnsi="Times New Roman"/>
                <w:sz w:val="16"/>
              </w:rPr>
            </w:r>
          </w:p>
        </w:tc>
        <w:tc>
          <w:tcPr>
            <w:tcBorders>
              <w:top w:val="single" w:sz="4" w:space="0" w:color="auto"/>
            </w:tcBorders>
            <w:tcW w:w="1100" w:type="dxa"/>
          </w:tcPr>
          <w:p>
            <w:pPr>
              <w:jc w:val="center"/>
              <w:spacing w:before="10" w:after="10"/>
            </w:pPr>
            <w:r/>
            <w:r>
              <w:rPr>
                <w:rFonts w:ascii="Times New Roman" w:hAnsi="Times New Roman"/>
                <w:sz w:val="16"/>
              </w:rPr>
            </w:r>
          </w:p>
        </w:tc>
      </w:tr>
      <w:tr>
        <w:tc>
          <w:tcPr>
            <w:tcBorders>
              <w:bottom w:val="single" w:sz="4" w:space="0" w:color="auto"/>
            </w:tcBorders>
            <w:tcW w:w="2400" w:type="dxa"/>
          </w:tcPr>
          <w:p>
            <w:pPr>
              <w:jc w:val="left"/>
              <w:spacing w:before="10" w:after="10"/>
            </w:pPr>
            <w:r/>
            <w:r>
              <w:rPr>
                <w:rFonts w:ascii="Times New Roman" w:hAnsi="Times New Roman"/>
                <w:b/>
                <w:sz w:val="16"/>
              </w:rPr>
              <w:t>Country</w:t>
            </w:r>
          </w:p>
        </w:tc>
        <w:tc>
          <w:tcPr>
            <w:tcBorders>
              <w:bottom w:val="single" w:sz="4" w:space="0" w:color="auto"/>
            </w:tcBorders>
            <w:tcW w:w="1300" w:type="dxa"/>
          </w:tcPr>
          <w:p>
            <w:pPr>
              <w:jc w:val="center"/>
              <w:spacing w:before="10" w:after="10"/>
            </w:pPr>
            <w:r/>
            <w:r>
              <w:rPr>
                <w:rFonts w:ascii="Times New Roman" w:hAnsi="Times New Roman"/>
                <w:b/>
                <w:sz w:val="16"/>
              </w:rPr>
              <w:t>cⱼ/ξⱼᵉᶠᶠ</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100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Rank₆</w:t>
            </w:r>
          </w:p>
        </w:tc>
        <w:tc>
          <w:tcPr>
            <w:tcBorders>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$1.46</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−7.7%</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−7.5%</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−6.6%</w:t>
            </w:r>
          </w:p>
        </w:tc>
      </w:tr>
      <w:tr>
        <w:tc>
          <w:tcPr>
            <w:tcW w:w="2400" w:type="dxa"/>
          </w:tcPr>
          <w:p>
            <w:pPr>
              <w:jc w:val="left"/>
              <w:spacing w:before="10" w:after="10"/>
            </w:pPr>
            <w:r/>
            <w:r>
              <w:rPr>
                <w:rFonts w:ascii="Times New Roman" w:hAnsi="Times New Roman"/>
                <w:sz w:val="16"/>
              </w:rPr>
              <w:t>South Africa</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−5.0%</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−2.5%</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−2.4%</w:t>
            </w:r>
          </w:p>
        </w:tc>
      </w:tr>
      <w:tr>
        <w:tc>
          <w:tcPr>
            <w:tcW w:w="2400" w:type="dxa"/>
          </w:tcPr>
          <w:p>
            <w:pPr>
              <w:jc w:val="left"/>
              <w:spacing w:before="10" w:after="10"/>
            </w:pPr>
            <w:r/>
            <w:r>
              <w:rPr>
                <w:rFonts w:ascii="Times New Roman" w:hAnsi="Times New Roman"/>
                <w:sz w:val="16"/>
              </w:rPr>
              <w:t>Germany</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−0.9%</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−0.8%</w:t>
            </w:r>
          </w:p>
        </w:tc>
      </w:tr>
      <w:tr>
        <w:tc>
          <w:tcPr>
            <w:tcW w:w="2400" w:type="dxa"/>
          </w:tcPr>
          <w:p>
            <w:pPr>
              <w:jc w:val="left"/>
              <w:spacing w:before="10" w:after="10"/>
            </w:pPr>
            <w:r/>
            <w:r>
              <w:rPr>
                <w:rFonts w:ascii="Times New Roman" w:hAnsi="Times New Roman"/>
                <w:sz w:val="16"/>
              </w:rPr>
              <w:t>Japan</w:t>
            </w:r>
          </w:p>
        </w:tc>
        <w:tc>
          <w:tcPr>
            <w:tcW w:w="1300" w:type="dxa"/>
          </w:tcPr>
          <w:p>
            <w:pPr>
              <w:jc w:val="center"/>
              <w:spacing w:before="10" w:after="10"/>
            </w:pPr>
            <w:r/>
            <w:r>
              <w:rPr>
                <w:rFonts w:ascii="Times New Roman" w:hAnsi="Times New Roman"/>
                <w:sz w:val="16"/>
              </w:rPr>
              <w:t>$1.59</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0.2%</w:t>
            </w:r>
          </w:p>
        </w:tc>
      </w:tr>
      <w:tr>
        <w:tc>
          <w:tcPr>
            <w:tcW w:w="2400" w:type="dxa"/>
          </w:tcPr>
          <w:p>
            <w:pPr>
              <w:jc w:val="left"/>
              <w:spacing w:before="10" w:after="10"/>
            </w:pPr>
            <w:r/>
            <w:r>
              <w:rPr>
                <w:rFonts w:ascii="Times New Roman" w:hAnsi="Times New Roman"/>
                <w:sz w:val="16"/>
              </w:rPr>
              <w:t>Qatar</w:t>
            </w:r>
          </w:p>
        </w:tc>
        <w:tc>
          <w:tcPr>
            <w:tcW w:w="1300" w:type="dxa"/>
          </w:tcPr>
          <w:p>
            <w:pPr>
              <w:jc w:val="center"/>
              <w:spacing w:before="10" w:after="10"/>
            </w:pPr>
            <w:r/>
            <w:r>
              <w:rPr>
                <w:rFonts w:ascii="Times New Roman" w:hAnsi="Times New Roman"/>
                <w:sz w:val="16"/>
              </w:rPr>
              <w:t>$1.73</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37</w:t>
            </w:r>
          </w:p>
        </w:tc>
        <w:tc>
          <w:tcPr>
            <w:tcW w:w="1100" w:type="dxa"/>
          </w:tcPr>
          <w:p>
            <w:pPr>
              <w:jc w:val="center"/>
              <w:spacing w:before="10" w:after="10"/>
            </w:pPr>
            <w:r/>
            <w:r>
              <w:rPr>
                <w:rFonts w:ascii="Times New Roman" w:hAnsi="Times New Roman"/>
                <w:sz w:val="16"/>
              </w:rPr>
              <w:t>8.4%</w:t>
            </w:r>
          </w:p>
        </w:tc>
      </w:tr>
      <w:tr>
        <w:tc>
          <w:tcPr>
            <w:tcW w:w="2400" w:type="dxa"/>
          </w:tcPr>
          <w:p>
            <w:pPr>
              <w:jc w:val="left"/>
              <w:spacing w:before="10" w:after="10"/>
            </w:pPr>
            <w:r/>
            <w:r>
              <w:rPr>
                <w:rFonts w:ascii="Times New Roman" w:hAnsi="Times New Roman"/>
                <w:sz w:val="16"/>
              </w:rPr>
              <w:t>Saudi Arabia</w:t>
            </w:r>
          </w:p>
        </w:tc>
        <w:tc>
          <w:tcPr>
            <w:tcW w:w="1300" w:type="dxa"/>
          </w:tcPr>
          <w:p>
            <w:pPr>
              <w:jc w:val="center"/>
              <w:spacing w:before="10" w:after="10"/>
            </w:pPr>
            <w:r/>
            <w:r>
              <w:rPr>
                <w:rFonts w:ascii="Times New Roman" w:hAnsi="Times New Roman"/>
                <w:sz w:val="16"/>
              </w:rPr>
              <w:t>$1.80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41</w:t>
            </w:r>
          </w:p>
        </w:tc>
        <w:tc>
          <w:tcPr>
            <w:tcW w:w="1100" w:type="dxa"/>
          </w:tcPr>
          <w:p>
            <w:pPr>
              <w:jc w:val="center"/>
              <w:spacing w:before="10" w:after="10"/>
            </w:pPr>
            <w:r/>
            <w:r>
              <w:rPr>
                <w:rFonts w:ascii="Times New Roman" w:hAnsi="Times New Roman"/>
                <w:sz w:val="16"/>
              </w:rPr>
              <w:t>13.0%</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$1.92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45</w:t>
            </w:r>
          </w:p>
        </w:tc>
        <w:tc>
          <w:tcPr>
            <w:tcW w:w="1100" w:type="dxa"/>
          </w:tcPr>
          <w:p>
            <w:pPr>
              <w:jc w:val="center"/>
              <w:spacing w:before="10" w:after="10"/>
            </w:pPr>
            <w:r/>
            <w:r>
              <w:rPr>
                <w:rFonts w:ascii="Times New Roman" w:hAnsi="Times New Roman"/>
                <w:sz w:val="16"/>
              </w:rPr>
              <w:t>20.3%</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$2.05</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52</w:t>
            </w:r>
          </w:p>
        </w:tc>
        <w:tc>
          <w:tcPr>
            <w:tcW w:w="1100" w:type="dxa"/>
          </w:tcPr>
          <w:p>
            <w:pPr>
              <w:jc w:val="center"/>
              <w:spacing w:before="10" w:after="10"/>
            </w:pPr>
            <w:r/>
            <w:r>
              <w:rPr>
                <w:rFonts w:ascii="Times New Roman" w:hAnsi="Times New Roman"/>
                <w:sz w:val="16"/>
              </w:rPr>
              <w:t>29.0%</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$2.18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59</w:t>
            </w:r>
          </w:p>
        </w:tc>
        <w:tc>
          <w:tcPr>
            <w:tcW w:w="1100" w:type="dxa"/>
          </w:tcPr>
          <w:p>
            <w:pPr>
              <w:jc w:val="center"/>
              <w:spacing w:before="10" w:after="10"/>
            </w:pPr>
            <w:r/>
            <w:r>
              <w:rPr>
                <w:rFonts w:ascii="Times New Roman" w:hAnsi="Times New Roman"/>
                <w:sz w:val="16"/>
              </w:rPr>
              <w:t>36.9%</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$2.23</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62</w:t>
            </w:r>
          </w:p>
        </w:tc>
        <w:tc>
          <w:tcPr>
            <w:tcW w:w="1100" w:type="dxa"/>
          </w:tcPr>
          <w:p>
            <w:pPr>
              <w:jc w:val="center"/>
              <w:spacing w:before="10" w:after="10"/>
            </w:pPr>
            <w:r/>
            <w:r>
              <w:rPr>
                <w:rFonts w:ascii="Times New Roman" w:hAnsi="Times New Roman"/>
                <w:sz w:val="16"/>
              </w:rPr>
              <w:t>40.1%</w:t>
            </w:r>
          </w:p>
        </w:tc>
      </w:tr>
      <w:tr>
        <w:tc>
          <w:tcPr>
            <w:tcW w:w="2400" w:type="dxa"/>
          </w:tcPr>
          <w:p>
            <w:pPr>
              <w:jc w:val="left"/>
              <w:spacing w:before="10" w:after="10"/>
            </w:pPr>
            <w:r/>
            <w:r>
              <w:rPr>
                <w:rFonts w:ascii="Times New Roman" w:hAnsi="Times New Roman"/>
                <w:sz w:val="16"/>
              </w:rPr>
              <w:t>Ukraine</w:t>
            </w:r>
          </w:p>
        </w:tc>
        <w:tc>
          <w:tcPr>
            <w:tcW w:w="1300" w:type="dxa"/>
          </w:tcPr>
          <w:p>
            <w:pPr>
              <w:jc w:val="center"/>
              <w:spacing w:before="10" w:after="10"/>
            </w:pPr>
            <w:r/>
            <w:r>
              <w:rPr>
                <w:rFonts w:ascii="Times New Roman" w:hAnsi="Times New Roman"/>
                <w:sz w:val="16"/>
              </w:rPr>
              <w:t>$2.27</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65</w:t>
            </w:r>
          </w:p>
        </w:tc>
        <w:tc>
          <w:tcPr>
            <w:tcW w:w="1100" w:type="dxa"/>
          </w:tcPr>
          <w:p>
            <w:pPr>
              <w:jc w:val="center"/>
              <w:spacing w:before="10" w:after="10"/>
            </w:pPr>
            <w:r/>
            <w:r>
              <w:rPr>
                <w:rFonts w:ascii="Times New Roman" w:hAnsi="Times New Roman"/>
                <w:sz w:val="16"/>
              </w:rPr>
              <w:t>42.5%</w:t>
            </w:r>
          </w:p>
        </w:tc>
      </w:tr>
      <w:tr>
        <w:tc>
          <w:tcPr>
            <w:tcW w:w="2400" w:type="dxa"/>
          </w:tcPr>
          <w:p>
            <w:pPr>
              <w:jc w:val="left"/>
              <w:spacing w:before="10" w:after="10"/>
            </w:pPr>
            <w:r/>
            <w:r>
              <w:rPr>
                <w:rFonts w:ascii="Times New Roman" w:hAnsi="Times New Roman"/>
                <w:sz w:val="16"/>
              </w:rPr>
              <w:t>Egypt</w:t>
            </w:r>
          </w:p>
        </w:tc>
        <w:tc>
          <w:tcPr>
            <w:tcW w:w="1300" w:type="dxa"/>
          </w:tcPr>
          <w:p>
            <w:pPr>
              <w:jc w:val="center"/>
              <w:spacing w:before="10" w:after="10"/>
            </w:pPr>
            <w:r/>
            <w:r>
              <w:rPr>
                <w:rFonts w:ascii="Times New Roman" w:hAnsi="Times New Roman"/>
                <w:sz w:val="16"/>
              </w:rPr>
              <w:t>$2.48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73</w:t>
            </w:r>
          </w:p>
        </w:tc>
        <w:tc>
          <w:tcPr>
            <w:tcW w:w="1100" w:type="dxa"/>
          </w:tcPr>
          <w:p>
            <w:pPr>
              <w:jc w:val="center"/>
              <w:spacing w:before="10" w:after="10"/>
            </w:pPr>
            <w:r/>
            <w:r>
              <w:rPr>
                <w:rFonts w:ascii="Times New Roman" w:hAnsi="Times New Roman"/>
                <w:sz w:val="16"/>
              </w:rPr>
              <w:t>55.8%</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$2.50</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74</w:t>
            </w:r>
          </w:p>
        </w:tc>
        <w:tc>
          <w:tcPr>
            <w:tcW w:w="1100" w:type="dxa"/>
          </w:tcPr>
          <w:p>
            <w:pPr>
              <w:jc w:val="center"/>
              <w:spacing w:before="10" w:after="10"/>
            </w:pPr>
            <w:r/>
            <w:r>
              <w:rPr>
                <w:rFonts w:ascii="Times New Roman" w:hAnsi="Times New Roman"/>
                <w:sz w:val="16"/>
              </w:rPr>
              <w:t>56.8%</w:t>
            </w:r>
          </w:p>
        </w:tc>
      </w:tr>
      <w:tr>
        <w:tc>
          <w:tcPr>
            <w:tcW w:w="2400" w:type="dxa"/>
          </w:tcPr>
          <w:p>
            <w:pPr>
              <w:jc w:val="left"/>
              <w:spacing w:before="10" w:after="10"/>
            </w:pPr>
            <w:r/>
            <w:r>
              <w:rPr>
                <w:rFonts w:ascii="Times New Roman" w:hAnsi="Times New Roman"/>
                <w:sz w:val="16"/>
              </w:rPr>
              <w:t>Russia</w:t>
            </w:r>
          </w:p>
        </w:tc>
        <w:tc>
          <w:tcPr>
            <w:tcW w:w="1300" w:type="dxa"/>
          </w:tcPr>
          <w:p>
            <w:pPr>
              <w:jc w:val="center"/>
              <w:spacing w:before="10" w:after="10"/>
            </w:pPr>
            <w:r/>
            <w:r>
              <w:rPr>
                <w:rFonts w:ascii="Times New Roman" w:hAnsi="Times New Roman"/>
                <w:sz w:val="16"/>
              </w:rPr>
              <w:t>$2.51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75</w:t>
            </w:r>
          </w:p>
        </w:tc>
        <w:tc>
          <w:tcPr>
            <w:tcW w:w="1100" w:type="dxa"/>
          </w:tcPr>
          <w:p>
            <w:pPr>
              <w:jc w:val="center"/>
              <w:spacing w:before="10" w:after="10"/>
            </w:pPr>
            <w:r/>
            <w:r>
              <w:rPr>
                <w:rFonts w:ascii="Times New Roman" w:hAnsi="Times New Roman"/>
                <w:sz w:val="16"/>
              </w:rPr>
              <w:t>57.7%</w:t>
            </w:r>
          </w:p>
        </w:tc>
      </w:tr>
      <w:tr>
        <w:tc>
          <w:tcPr>
            <w:tcW w:w="2400" w:type="dxa"/>
          </w:tcPr>
          <w:p>
            <w:pPr>
              <w:jc w:val="left"/>
              <w:spacing w:before="10" w:after="10"/>
            </w:pPr>
            <w:r/>
            <w:r>
              <w:rPr>
                <w:rFonts w:ascii="Times New Roman" w:hAnsi="Times New Roman"/>
                <w:sz w:val="16"/>
              </w:rPr>
              <w:t>Tajikistan</w:t>
            </w:r>
          </w:p>
        </w:tc>
        <w:tc>
          <w:tcPr>
            <w:tcW w:w="1300" w:type="dxa"/>
          </w:tcPr>
          <w:p>
            <w:pPr>
              <w:jc w:val="center"/>
              <w:spacing w:before="10" w:after="10"/>
            </w:pPr>
            <w:r/>
            <w:r>
              <w:rPr>
                <w:rFonts w:ascii="Times New Roman" w:hAnsi="Times New Roman"/>
                <w:sz w:val="16"/>
              </w:rPr>
              <w:t>$2.84</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80</w:t>
            </w:r>
          </w:p>
        </w:tc>
        <w:tc>
          <w:tcPr>
            <w:tcW w:w="1100" w:type="dxa"/>
          </w:tcPr>
          <w:p>
            <w:pPr>
              <w:jc w:val="center"/>
              <w:spacing w:before="10" w:after="10"/>
            </w:pPr>
            <w:r/>
            <w:r>
              <w:rPr>
                <w:rFonts w:ascii="Times New Roman" w:hAnsi="Times New Roman"/>
                <w:sz w:val="16"/>
              </w:rPr>
              <w:t>78.4%</w:t>
            </w:r>
          </w:p>
        </w:tc>
      </w:tr>
      <w:tr>
        <w:tc>
          <w:tcPr>
            <w:tcW w:w="2400" w:type="dxa"/>
          </w:tcPr>
          <w:p>
            <w:pPr>
              <w:jc w:val="left"/>
              <w:spacing w:before="10" w:after="10"/>
            </w:pPr>
            <w:r/>
            <w:r>
              <w:rPr>
                <w:rFonts w:ascii="Times New Roman" w:hAnsi="Times New Roman"/>
                <w:sz w:val="16"/>
              </w:rPr>
              <w:t>Iran</w:t>
            </w:r>
          </w:p>
        </w:tc>
        <w:tc>
          <w:tcPr>
            <w:tcW w:w="1300" w:type="dxa"/>
          </w:tcPr>
          <w:p>
            <w:pPr>
              <w:jc w:val="center"/>
              <w:spacing w:before="10" w:after="10"/>
            </w:pPr>
            <w:r/>
            <w:r>
              <w:rPr>
                <w:rFonts w:ascii="Times New Roman" w:hAnsi="Times New Roman"/>
                <w:sz w:val="16"/>
              </w:rPr>
              <w:t>$2.89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81</w:t>
            </w:r>
          </w:p>
        </w:tc>
        <w:tc>
          <w:tcPr>
            <w:tcW w:w="1100" w:type="dxa"/>
          </w:tcPr>
          <w:p>
            <w:pPr>
              <w:jc w:val="center"/>
              <w:spacing w:before="10" w:after="10"/>
            </w:pPr>
            <w:r/>
            <w:r>
              <w:rPr>
                <w:rFonts w:ascii="Times New Roman" w:hAnsi="Times New Roman"/>
                <w:sz w:val="16"/>
              </w:rPr>
              <w:t>81.2%</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$3.07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83</w:t>
            </w:r>
          </w:p>
        </w:tc>
        <w:tc>
          <w:tcPr>
            <w:tcW w:w="1100" w:type="dxa"/>
          </w:tcPr>
          <w:p>
            <w:pPr>
              <w:jc w:val="center"/>
              <w:spacing w:before="10" w:after="10"/>
            </w:pPr>
            <w:r/>
            <w:r>
              <w:rPr>
                <w:rFonts w:ascii="Times New Roman" w:hAnsi="Times New Roman"/>
                <w:sz w:val="16"/>
              </w:rPr>
              <w:t>92.9%</w:t>
            </w:r>
          </w:p>
        </w:tc>
      </w:tr>
      <w:tr>
        <w:tc>
          <w:tcPr>
            <w:tcBorders>
              <w:bottom w:val="double" w:sz="4" w:space="0" w:color="auto"/>
            </w:tcBorders>
            <w:tcW w:w="2400" w:type="dxa"/>
          </w:tcPr>
          <w:p>
            <w:pPr>
              <w:jc w:val="left"/>
              <w:spacing w:before="10" w:after="10"/>
            </w:pPr>
            <w:r/>
            <w:r>
              <w:rPr>
                <w:rFonts w:ascii="Times New Roman" w:hAnsi="Times New Roman"/>
                <w:sz w:val="16"/>
              </w:rPr>
              <w:t>Turkmenistan</w:t>
            </w:r>
          </w:p>
        </w:tc>
        <w:tc>
          <w:tcPr>
            <w:tcBorders>
              <w:bottom w:val="double" w:sz="4" w:space="0" w:color="auto"/>
            </w:tcBorders>
            <w:tcW w:w="1300" w:type="dxa"/>
          </w:tcPr>
          <w:p>
            <w:pPr>
              <w:jc w:val="center"/>
              <w:spacing w:before="10" w:after="10"/>
            </w:pPr>
            <w:r/>
            <w:r>
              <w:rPr>
                <w:rFonts w:ascii="Times New Roman" w:hAnsi="Times New Roman"/>
                <w:sz w:val="16"/>
              </w:rPr>
              <w:t>$3.10</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10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84</w:t>
            </w:r>
          </w:p>
        </w:tc>
        <w:tc>
          <w:tcPr>
            <w:tcBorders>
              <w:bottom w:val="double" w:sz="4" w:space="0" w:color="auto"/>
            </w:tcBorders>
            <w:tcW w:w="1100" w:type="dxa"/>
          </w:tcPr>
          <w:p>
            <w:pPr>
              <w:jc w:val="center"/>
              <w:spacing w:before="10" w:after="10"/>
            </w:pPr>
            <w:r/>
            <w:r>
              <w:rPr>
                <w:rFonts w:ascii="Times New Roman" w:hAnsi="Times New Roman"/>
                <w:sz w:val="16"/>
              </w:rPr>
              <w:t>94.8%</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8" w:name="Eq2txt908"/>
      <w:hyperlink w:anchor="Eq2" w:history="1">
        <w:r>
          <w:rPr>
            <w:rFonts w:ascii="Times New Roman" w:hAnsi="Times New Roman"/>
            <w:sz w:val="20"/>
            <w:color w:val="1F3864"/>
            <w:u w:val="single"/>
          </w:rPr>
          <w:t xml:space="preserve">equation (2)</w:t>
        </w:r>
      </w:hyperlink>
      <w:bookmarkEnd w:id="908"/>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0.98</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0.75</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0.64</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0.71</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0.67</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0.47</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0.67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0.63</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0.56</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0.74</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0.47</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0.70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0.98</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0.99</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0.91</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0.98</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0.90</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9" w:name="Eq4txt909"/>
      <w:hyperlink w:anchor="Eq4" w:history="1">
        <w:r>
          <w:rPr>
            <w:sz w:val="20"/>
            <w:color w:val="1F3864"/>
            <w:u w:val="single"/>
          </w:rPr>
          <w:t xml:space="preserve">equation (4)</w:t>
        </w:r>
      </w:hyperlink>
      <w:bookmarkEnd w:id="909"/>
      <w:r>
        <w:rPr>
          <w:sz w:val="20"/>
        </w:rPr>
        <w:t xml:space="preserve">. ξⱼᵉᶠᶠ = production-efficiency index combining governance quality and grid reliability (geometric mean;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Efficiency-Adjusted</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cⱼ/ξⱼᵉᶠᶠ</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+62</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$1.83</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$1.96</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$2.00</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$2.06</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$2.10</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$2.17</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$2.18</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$2.19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$2.26</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$2.27</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$2.31</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$2.32</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$2.34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$2.45</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$2.48</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$2.51</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-71</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$2.83</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$2.89</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$3.07</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-80</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$3.10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-82</w:t>
            </w:r>
          </w:p>
        </w:tc>
      </w:tr>
      <w:tr>
        <w:tc>
          <w:tcPr>
            <w:tcBorders>
              <w:bottom w:val="double" w:sz="4" w:space="0" w:color="auto"/>
            </w:tcBorders>
            <w:tcW w:w="1800" w:type="dxa"/>
          </w:tcPr>
          <w:p>
            <w:pPr>
              <w:jc w:val="left"/>
              <w:spacing w:before="5" w:after="5"/>
            </w:pPr>
            <w:r/>
            <w:r>
              <w:rPr>
                <w:rFonts w:ascii="Times New Roman" w:hAnsi="Times New Roman"/>
                <w:sz w:val="14"/>
              </w:rPr>
              <w:t>Nigeria</w:t>
            </w:r>
          </w:p>
        </w:tc>
        <w:tc>
          <w:tcPr>
            <w:tcBorders>
              <w:bottom w:val="double" w:sz="4" w:space="0" w:color="auto"/>
            </w:tcBorders>
            <w:tcW w:w="900" w:type="dxa"/>
          </w:tcPr>
          <w:p>
            <w:pPr>
              <w:jc w:val="center"/>
              <w:spacing w:before="5" w:after="5"/>
            </w:pPr>
            <w:r/>
            <w:r>
              <w:rPr>
                <w:rFonts w:ascii="Times New Roman" w:hAnsi="Times New Roman"/>
                <w:sz w:val="14"/>
              </w:rPr>
              <w:t>$1.45</w:t>
            </w:r>
          </w:p>
        </w:tc>
        <w:tc>
          <w:tcPr>
            <w:tcBorders>
              <w:bottom w:val="double" w:sz="4" w:space="0" w:color="auto"/>
            </w:tcBorders>
            <w:tcW w:w="540" w:type="dxa"/>
          </w:tcPr>
          <w:p>
            <w:pPr>
              <w:jc w:val="center"/>
              <w:spacing w:before="5" w:after="5"/>
            </w:pPr>
            <w:r/>
            <w:r>
              <w:rPr>
                <w:rFonts w:ascii="Times New Roman" w:hAnsi="Times New Roman"/>
                <w:sz w:val="14"/>
              </w:rPr>
              <w:t>13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$1.49</w:t>
            </w:r>
          </w:p>
        </w:tc>
        <w:tc>
          <w:tcPr>
            <w:tcBorders>
              <w:bottom w:val="double" w:sz="4" w:space="0" w:color="auto"/>
            </w:tcBorders>
            <w:tcW w:w="540" w:type="dxa"/>
          </w:tcPr>
          <w:p>
            <w:pPr>
              <w:jc w:val="center"/>
              <w:spacing w:before="5" w:after="5"/>
            </w:pPr>
            <w:r/>
            <w:r>
              <w:rPr>
                <w:rFonts w:ascii="Times New Roman" w:hAnsi="Times New Roman"/>
                <w:sz w:val="14"/>
              </w:rPr>
              <w:t>31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$3.14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-72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10" w:name="Eq2txt910"/>
      <w:hyperlink w:anchor="Eq2" w:history="1">
        <w:r>
          <w:rPr>
            <w:sz w:val="20"/>
            <w:color w:val="1F3864"/>
            <w:u w:val="single"/>
          </w:rPr>
          <w:t xml:space="preserve">equation (2)</w:t>
        </w:r>
      </w:hyperlink>
      <w:bookmarkEnd w:id="910"/>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1" w:name="Eq1txt911"/>
      <w:hyperlink w:anchor="Eq1" w:history="1">
        <w:r>
          <w:rPr>
            <w:color w:val="1F3864"/>
            <w:u w:val="single"/>
          </w:rPr>
          <w:t xml:space="preserve">equation (1)</w:t>
        </w:r>
      </w:hyperlink>
      <w:bookmarkEnd w:id="911"/>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2" w:name="Eq4txt912"/>
      <w:hyperlink w:anchor="Eq4" w:history="1">
        <w:r>
          <w:rPr>
            <w:color w:val="1F3864"/>
            <w:u w:val="single"/>
          </w:rPr>
          <w:t xml:space="preserve">equation (4)</w:t>
        </w:r>
      </w:hyperlink>
      <w:bookmarkEnd w:id="912"/>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3" w:name="Eq2txt913"/>
      <w:hyperlink w:anchor="Eq2" w:history="1">
        <w:r>
          <w:rPr>
            <w:color w:val="1F3864"/>
            <w:u w:val="single"/>
          </w:rPr>
          <w:t xml:space="preserve">equation (2)</w:t>
        </w:r>
      </w:hyperlink>
      <w:bookmarkEnd w:id="913"/>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 w:id="18">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