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April 18, 2026  21:19</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5" w:name="AykutEtAl2026txt"/>
      <w:hyperlink w:anchor="AykutEtAl2026" w:history="1">
        <w:r>
          <w:rPr>
            <w:color w:val="1F3864"/>
            <w:u w:val="single"/>
          </w:rPr>
          <w:t xml:space="preserve">Aykut et al. 2026</w:t>
        </w:r>
      </w:hyperlink>
      <w:bookmarkEnd w:id="245"/>
      <w:r>
        <w:t xml:space="preserve">). Cloud computing exports already exceed $9 billion annually (</w:t>
      </w:r>
      <w:bookmarkStart w:id="260" w:name="WorldBank2025txt"/>
      <w:hyperlink w:anchor="WorldBank2025" w:history="1">
        <w:r>
          <w:rPr>
            <w:color w:val="1F3864"/>
            <w:u w:val="single"/>
          </w:rPr>
          <w:t xml:space="preserve">World Bank 2025</w:t>
        </w:r>
      </w:hyperlink>
      <w:bookmarkEnd w:id="260"/>
      <w:r>
        <w:t xml:space="preserve">). If Kyrgyzstan builds a 40 MW AI data center, it could generate annual revenue of $630–950 million at wholesale contract rates, equivalent to over 15% of Kyrgyzstan’s $3.8 billion in goods exports (</w:t>
      </w:r>
      <w:bookmarkStart w:id="266" w:name="WorldBank2024txt"/>
      <w:hyperlink w:anchor="WorldBank2024" w:history="1">
        <w:r>
          <w:rPr>
            <w:color w:val="1F3864"/>
            <w:u w:val="single"/>
          </w:rPr>
          <w:t xml:space="preserve">World Bank 2024</w:t>
        </w:r>
      </w:hyperlink>
      <w:bookmarkEnd w:id="266"/>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see Table 3, column (4)).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and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literatures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The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 typical cross-bloc pair without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and adversarial or sanctioned pairs face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Moreover, most announced investment flows between geopolitical allies, are consistent with the bilateral sovereignty premium rather than cost alone determining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59" w:name="IMF2025txt"/>
      <w:hyperlink w:anchor="IMF2025" w:history="1">
        <w:r>
          <w:rPr>
            <w:color w:val="1F3864"/>
            <w:u w:val="single"/>
          </w:rPr>
          <w:t xml:space="preserve">IMF 2025</w:t>
        </w:r>
      </w:hyperlink>
      <w:bookmarkEnd w:id="259"/>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5" w:name="Calcaterra2024txt"/>
      <w:hyperlink w:anchor="Calcaterra2024" w:history="1">
        <w:r>
          <w:rPr>
            <w:color w:val="1F3864"/>
            <w:u w:val="single"/>
          </w:rPr>
          <w:t xml:space="preserve">Calcaterra et al. 2024</w:t>
        </w:r>
      </w:hyperlink>
      <w:bookmarkEnd w:id="235"/>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1"/>
    </w:p>
    <w:p>
      <w:pPr>
        <w:spacing w:before="0" w:after="80" w:line="240" w:lineRule="exact"/>
        <w:ind w:hanging="720" w:left="720"/>
        <w:jc w:val="both"/>
      </w:pPr>
      <w:bookmarkStart w:id="502"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2"/>
    </w:p>
    <w:p>
      <w:pPr>
        <w:spacing w:before="0" w:after="80" w:line="240" w:lineRule="exact"/>
        <w:ind w:hanging="720" w:left="720"/>
        <w:jc w:val="both"/>
      </w:pPr>
      <w:bookmarkStart w:id="503"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3"/>
    </w:p>
    <w:p>
      <w:pPr>
        <w:spacing w:before="0" w:after="80" w:line="240" w:lineRule="exact"/>
        <w:ind w:hanging="720" w:left="720"/>
        <w:jc w:val="both"/>
      </w:pPr>
      <w:bookmarkStart w:id="504"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4"/>
    </w:p>
    <w:p>
      <w:pPr>
        <w:spacing w:before="0" w:after="80" w:line="240" w:lineRule="exact"/>
        <w:ind w:hanging="720" w:left="720"/>
        <w:jc w:val="both"/>
      </w:pPr>
      <w:bookmarkStart w:id="505"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5"/>
    </w:p>
    <w:p>
      <w:pPr>
        <w:spacing w:before="0" w:after="80" w:line="240" w:lineRule="exact"/>
        <w:ind w:hanging="720" w:left="720"/>
        <w:jc w:val="both"/>
      </w:pPr>
      <w:bookmarkStart w:id="506"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6"/>
    </w:p>
    <w:p>
      <w:pPr>
        <w:spacing w:before="0" w:after="80" w:line="240" w:lineRule="exact"/>
        <w:ind w:hanging="720" w:left="720"/>
        <w:jc w:val="both"/>
      </w:pPr>
      <w:bookmarkStart w:id="507"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7"/>
    </w:p>
    <w:p>
      <w:pPr>
        <w:spacing w:before="0" w:after="80" w:line="240" w:lineRule="exact"/>
        <w:ind w:hanging="720" w:left="720"/>
        <w:jc w:val="both"/>
      </w:pPr>
      <w:bookmarkStart w:id="508"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8"/>
    </w:p>
    <w:p>
      <w:pPr>
        <w:spacing w:before="0" w:after="80" w:line="240" w:lineRule="exact"/>
        <w:ind w:hanging="720" w:left="720"/>
        <w:jc w:val="both"/>
      </w:pPr>
      <w:bookmarkStart w:id="509"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9"/>
    </w:p>
    <w:p>
      <w:pPr>
        <w:spacing w:before="0" w:after="80" w:line="240" w:lineRule="exact"/>
        <w:ind w:hanging="720" w:left="720"/>
        <w:jc w:val="both"/>
      </w:pPr>
      <w:bookmarkStart w:id="510"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0"/>
    </w:p>
    <w:p>
      <w:pPr>
        <w:spacing w:before="0" w:after="80" w:line="240" w:lineRule="exact"/>
        <w:ind w:hanging="720" w:left="720"/>
        <w:jc w:val="both"/>
      </w:pPr>
      <w:bookmarkStart w:id="51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1"/>
    </w:p>
    <w:p>
      <w:pPr>
        <w:spacing w:before="0" w:after="80" w:line="240" w:lineRule="exact"/>
        <w:ind w:hanging="720" w:left="720"/>
        <w:jc w:val="both"/>
      </w:pPr>
      <w:bookmarkStart w:id="512"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2"/>
    </w:p>
    <w:p>
      <w:pPr>
        <w:spacing w:before="0" w:after="80" w:line="240" w:lineRule="exact"/>
        <w:ind w:hanging="720" w:left="720"/>
        <w:jc w:val="both"/>
      </w:pPr>
      <w:bookmarkStart w:id="513"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3"/>
    </w:p>
    <w:p>
      <w:pPr>
        <w:spacing w:before="0" w:after="80" w:line="240" w:lineRule="exact"/>
        <w:ind w:hanging="720" w:left="720"/>
        <w:jc w:val="both"/>
      </w:pPr>
      <w:bookmarkStart w:id="514"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4"/>
    </w:p>
    <w:p>
      <w:pPr>
        <w:spacing w:before="0" w:after="80" w:line="240" w:lineRule="exact"/>
        <w:ind w:hanging="720" w:left="720"/>
        <w:jc w:val="both"/>
      </w:pPr>
      <w:bookmarkStart w:id="51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5"/>
    </w:p>
    <w:p>
      <w:pPr>
        <w:spacing w:before="0" w:after="80" w:line="240" w:lineRule="exact"/>
        <w:ind w:hanging="720" w:left="720"/>
        <w:jc w:val="both"/>
      </w:pPr>
      <w:bookmarkStart w:id="516" w:name="Deloitte2020"/>
      <w:hyperlink w:anchor="Deloitte2020txt" w:history="1">
        <w:r>
          <w:rPr>
            <w:color w:val="1F3864"/>
            <w:u w:val="single"/>
          </w:rPr>
          <w:t xml:space="preserve">Deloitte and Google. (2020). </w:t>
        </w:r>
      </w:hyperlink>
      <w:r>
        <w:t>“Milliseconds Make Millions.” Deloitte Digital and Google.</w:t>
      </w:r>
      <w:bookmarkEnd w:id="516"/>
    </w:p>
    <w:p>
      <w:pPr>
        <w:spacing w:before="0" w:after="80" w:line="240" w:lineRule="exact"/>
        <w:ind w:hanging="720" w:left="720"/>
        <w:jc w:val="both"/>
      </w:pPr>
      <w:bookmarkStart w:id="51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7"/>
    </w:p>
    <w:p>
      <w:pPr>
        <w:spacing w:before="0" w:after="80" w:line="240" w:lineRule="exact"/>
        <w:ind w:hanging="720" w:left="720"/>
        <w:jc w:val="both"/>
      </w:pPr>
      <w:bookmarkStart w:id="51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8"/>
    </w:p>
    <w:p>
      <w:pPr>
        <w:spacing w:before="0" w:after="80" w:line="240" w:lineRule="exact"/>
        <w:ind w:hanging="720" w:left="720"/>
        <w:jc w:val="both"/>
      </w:pPr>
      <w:bookmarkStart w:id="51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9"/>
    </w:p>
    <w:p>
      <w:pPr>
        <w:spacing w:before="0" w:after="80" w:line="240" w:lineRule="exact"/>
        <w:ind w:hanging="720" w:left="720"/>
        <w:jc w:val="both"/>
      </w:pPr>
      <w:bookmarkStart w:id="520" w:name="EpochAI2024"/>
      <w:hyperlink w:anchor="EpochAI2024txt" w:history="1">
        <w:r>
          <w:rPr>
            <w:color w:val="1F3864"/>
            <w:u w:val="single"/>
          </w:rPr>
          <w:t xml:space="preserve">Epoch AI. (2024). </w:t>
        </w:r>
      </w:hyperlink>
      <w:r>
        <w:t>“The Training Compute of Notable AI Models.” epochai.org.</w:t>
      </w:r>
      <w:bookmarkEnd w:id="520"/>
    </w:p>
    <w:p>
      <w:pPr>
        <w:spacing w:before="0" w:after="80" w:line="240" w:lineRule="exact"/>
        <w:ind w:hanging="720" w:left="720"/>
        <w:jc w:val="both"/>
      </w:pPr>
      <w:bookmarkStart w:id="52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1"/>
    </w:p>
    <w:p>
      <w:pPr>
        <w:spacing w:before="0" w:after="80" w:line="240" w:lineRule="exact"/>
        <w:ind w:hanging="720" w:left="720"/>
        <w:jc w:val="both"/>
      </w:pPr>
      <w:bookmarkStart w:id="52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2"/>
    </w:p>
    <w:p>
      <w:pPr>
        <w:spacing w:before="0" w:after="80" w:line="240" w:lineRule="exact"/>
        <w:ind w:hanging="720" w:left="720"/>
        <w:jc w:val="both"/>
      </w:pPr>
      <w:bookmarkStart w:id="52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3"/>
    </w:p>
    <w:p>
      <w:pPr>
        <w:spacing w:before="0" w:after="80" w:line="240" w:lineRule="exact"/>
        <w:ind w:hanging="720" w:left="720"/>
        <w:jc w:val="both"/>
      </w:pPr>
      <w:bookmarkStart w:id="52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4"/>
    </w:p>
    <w:p>
      <w:pPr>
        <w:spacing w:before="0" w:after="80" w:line="240" w:lineRule="exact"/>
        <w:ind w:hanging="720" w:left="720"/>
        <w:jc w:val="both"/>
      </w:pPr>
      <w:bookmarkStart w:id="52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5"/>
    </w:p>
    <w:p>
      <w:pPr>
        <w:spacing w:before="0" w:after="80" w:line="240" w:lineRule="exact"/>
        <w:ind w:hanging="720" w:left="720"/>
        <w:jc w:val="both"/>
      </w:pPr>
      <w:bookmarkStart w:id="526" w:name="Google2024"/>
      <w:hyperlink w:anchor="Google2024txt" w:history="1">
        <w:r>
          <w:rPr>
            <w:color w:val="1F3864"/>
            <w:u w:val="single"/>
          </w:rPr>
          <w:t xml:space="preserve">Google. </w:t>
        </w:r>
      </w:hyperlink>
      <w:r>
        <w:t xml:space="preserve">(2024). </w:t>
      </w:r>
      <w:r>
        <w:rPr>
          <w:i/>
        </w:rPr>
        <w:t>2024 Environmental Report</w:t>
      </w:r>
      <w:r>
        <w:t>. sustainability.google.</w:t>
      </w:r>
      <w:bookmarkEnd w:id="526"/>
    </w:p>
    <w:p>
      <w:pPr>
        <w:spacing w:before="0" w:after="80" w:line="240" w:lineRule="exact"/>
        <w:ind w:hanging="720" w:left="720"/>
        <w:jc w:val="both"/>
      </w:pPr>
      <w:bookmarkStart w:id="52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7"/>
    </w:p>
    <w:p>
      <w:pPr>
        <w:spacing w:before="0" w:after="80" w:line="240" w:lineRule="exact"/>
        <w:ind w:hanging="720" w:left="720"/>
        <w:jc w:val="both"/>
      </w:pPr>
      <w:bookmarkStart w:id="528"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8"/>
    </w:p>
    <w:p>
      <w:pPr>
        <w:spacing w:before="0" w:after="80" w:line="240" w:lineRule="exact"/>
        <w:ind w:hanging="720" w:left="720"/>
        <w:jc w:val="both"/>
      </w:pPr>
      <w:bookmarkStart w:id="52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9"/>
    </w:p>
    <w:p>
      <w:pPr>
        <w:spacing w:before="0" w:after="80" w:line="240" w:lineRule="exact"/>
        <w:ind w:hanging="720" w:left="720"/>
        <w:jc w:val="both"/>
      </w:pPr>
      <w:bookmarkStart w:id="53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0"/>
    </w:p>
    <w:p>
      <w:pPr>
        <w:spacing w:before="0" w:after="80" w:line="240" w:lineRule="exact"/>
        <w:ind w:hanging="720" w:left="720"/>
        <w:jc w:val="both"/>
      </w:pPr>
      <w:bookmarkStart w:id="531" w:name="IEA2025"/>
      <w:hyperlink w:anchor="IEA2025txt" w:history="1">
        <w:r>
          <w:rPr>
            <w:color w:val="1F3864"/>
            <w:u w:val="single"/>
          </w:rPr>
          <w:t xml:space="preserve">IEA. (2025). </w:t>
        </w:r>
      </w:hyperlink>
      <w:r>
        <w:t>“Energy Demand from AI.” Published online at iea.org.</w:t>
      </w:r>
      <w:bookmarkEnd w:id="531"/>
    </w:p>
    <w:p>
      <w:pPr>
        <w:spacing w:before="0" w:after="80" w:line="240" w:lineRule="exact"/>
        <w:ind w:hanging="720" w:left="720"/>
        <w:jc w:val="both"/>
      </w:pPr>
      <w:bookmarkStart w:id="53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2"/>
    </w:p>
    <w:p>
      <w:pPr>
        <w:spacing w:before="0" w:after="80" w:line="240" w:lineRule="exact"/>
        <w:ind w:hanging="720" w:left="720"/>
        <w:jc w:val="both"/>
      </w:pPr>
      <w:bookmarkStart w:id="533"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3"/>
    </w:p>
    <w:p>
      <w:pPr>
        <w:spacing w:before="0" w:after="80" w:line="240" w:lineRule="exact"/>
        <w:ind w:hanging="720" w:left="720"/>
        <w:jc w:val="both"/>
      </w:pPr>
      <w:bookmarkStart w:id="53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4"/>
    </w:p>
    <w:p>
      <w:pPr>
        <w:spacing w:before="0" w:after="80" w:line="240" w:lineRule="exact"/>
        <w:ind w:hanging="720" w:left="720"/>
        <w:jc w:val="both"/>
      </w:pPr>
      <w:bookmarkStart w:id="53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5"/>
    </w:p>
    <w:p>
      <w:pPr>
        <w:spacing w:before="0" w:after="80" w:line="240" w:lineRule="exact"/>
        <w:ind w:hanging="720" w:left="720"/>
        <w:jc w:val="both"/>
      </w:pPr>
      <w:bookmarkStart w:id="53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6"/>
    </w:p>
    <w:p>
      <w:pPr>
        <w:spacing w:before="0" w:after="80" w:line="240" w:lineRule="exact"/>
        <w:ind w:hanging="720" w:left="720"/>
        <w:jc w:val="both"/>
      </w:pPr>
      <w:bookmarkStart w:id="53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7"/>
    </w:p>
    <w:p>
      <w:pPr>
        <w:spacing w:before="0" w:after="80" w:line="240" w:lineRule="exact"/>
        <w:ind w:hanging="720" w:left="720"/>
        <w:jc w:val="both"/>
      </w:pPr>
      <w:bookmarkStart w:id="53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8"/>
    </w:p>
    <w:p>
      <w:pPr>
        <w:spacing w:before="0" w:after="80" w:line="240" w:lineRule="exact"/>
        <w:ind w:hanging="720" w:left="720"/>
        <w:jc w:val="both"/>
      </w:pPr>
      <w:bookmarkStart w:id="53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9"/>
    </w:p>
    <w:p>
      <w:pPr>
        <w:spacing w:before="0" w:after="80" w:line="240" w:lineRule="exact"/>
        <w:ind w:hanging="720" w:left="720"/>
        <w:jc w:val="both"/>
      </w:pPr>
      <w:bookmarkStart w:id="540" w:name="NVIDIA2024"/>
      <w:r>
        <w:rPr>
          <w:color w:val="1F3864"/>
          <w:u w:val="single"/>
        </w:rPr>
        <w:t xml:space="preserve">NVIDIA. </w:t>
      </w:r>
      <w:r>
        <w:t xml:space="preserve">(2024). </w:t>
      </w:r>
      <w:r>
        <w:rPr>
          <w:i/>
        </w:rPr>
        <w:t>NVIDIA H100 Tensor Core GPU Datasheet</w:t>
      </w:r>
      <w:r>
        <w:t>. nvidia.com.</w:t>
      </w:r>
      <w:bookmarkEnd w:id="540"/>
    </w:p>
    <w:p>
      <w:pPr>
        <w:spacing w:before="0" w:after="80" w:line="240" w:lineRule="exact"/>
        <w:ind w:hanging="720" w:left="720"/>
        <w:jc w:val="both"/>
      </w:pPr>
      <w:bookmarkStart w:id="54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1"/>
    </w:p>
    <w:p>
      <w:pPr>
        <w:spacing w:before="0" w:after="80" w:line="240" w:lineRule="exact"/>
        <w:ind w:hanging="720" w:left="720"/>
        <w:jc w:val="both"/>
      </w:pPr>
      <w:bookmarkStart w:id="54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2"/>
    </w:p>
    <w:p>
      <w:pPr>
        <w:spacing w:before="0" w:after="80" w:line="240" w:lineRule="exact"/>
        <w:ind w:hanging="720" w:left="720"/>
        <w:jc w:val="both"/>
      </w:pPr>
      <w:bookmarkStart w:id="543" w:name="Sastry2024"/>
      <w:hyperlink w:anchor="Sastry2024txt" w:history="1">
        <w:r>
          <w:rPr>
            <w:color w:val="1F3864"/>
            <w:u w:val="single"/>
          </w:rPr>
          <w:t xml:space="preserve">Sastry, G., L. Heim, et al. (2024). </w:t>
        </w:r>
      </w:hyperlink>
      <w:r>
        <w:t>“Computing Power and the Governance of Artificial Intelligence.” arXiv:2402.08797.</w:t>
      </w:r>
      <w:bookmarkEnd w:id="543"/>
    </w:p>
    <w:p>
      <w:pPr>
        <w:spacing w:before="0" w:after="80" w:line="240" w:lineRule="exact"/>
        <w:ind w:hanging="720" w:left="720"/>
        <w:jc w:val="both"/>
      </w:pPr>
      <w:bookmarkStart w:id="54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4"/>
    </w:p>
    <w:p>
      <w:pPr>
        <w:spacing w:before="0" w:after="80" w:line="240" w:lineRule="exact"/>
        <w:ind w:hanging="720" w:left="720"/>
        <w:jc w:val="both"/>
      </w:pPr>
      <w:bookmarkStart w:id="545"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5"/>
    </w:p>
    <w:p>
      <w:pPr>
        <w:spacing w:before="0" w:after="80" w:line="240" w:lineRule="exact"/>
        <w:ind w:hanging="720" w:left="720"/>
        <w:jc w:val="both"/>
      </w:pPr>
      <w:bookmarkStart w:id="54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6"/>
    </w:p>
    <w:p>
      <w:pPr>
        <w:spacing w:before="0" w:after="80" w:line="240" w:lineRule="exact"/>
        <w:ind w:hanging="720" w:left="720"/>
        <w:jc w:val="both"/>
      </w:pPr>
      <w:bookmarkStart w:id="54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7"/>
    </w:p>
    <w:p>
      <w:pPr>
        <w:spacing w:before="0" w:after="80" w:line="240" w:lineRule="exact"/>
        <w:ind w:hanging="720" w:left="720"/>
        <w:jc w:val="both"/>
      </w:pPr>
      <w:bookmarkStart w:id="548"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8"/>
    </w:p>
    <w:p>
      <w:pPr>
        <w:spacing w:before="0" w:after="80" w:line="240" w:lineRule="exact"/>
        <w:ind w:hanging="720" w:left="720"/>
        <w:jc w:val="both"/>
      </w:pPr>
      <w:bookmarkStart w:id="549"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9"/>
    </w:p>
    <w:p>
      <w:pPr>
        <w:spacing w:before="0" w:after="80" w:line="240" w:lineRule="exact"/>
        <w:ind w:hanging="720" w:left="720"/>
        <w:jc w:val="both"/>
      </w:pPr>
      <w:bookmarkStart w:id="550"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0"/>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