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t>A Trade Model of AI Compute Services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v28  —  February 28, 2026  18:56</w:t>
      </w:r>
    </w:p>
    <w:p>
      <w:pPr>
        <w:spacing w:before="240" w:after="160" w:line="240" w:lineRule="auto"/>
        <w:ind w:firstLine="0" w:left="720" w:right="720"/>
        <w:jc w:val="both"/>
      </w:pPr>
      <w:r>
        <w:rPr>
          <w:b/>
        </w:rPr>
        <w:t>Abstract</w:t>
      </w:r>
      <w:r>
        <w:t>: Energy-rich developing countries could convert cheap electricity into high-value AI compute exports. This paper develops a trade model of compute services, distinguishing latency-insensitive training from latency-sensitive inference and incorporating a bilateral sovereignty premium. Calibration across 85 countries shows that several developing countries rank among the cheapest producers under cost-recovery pricing, but bilateral trust deficits sharply curtail developing-country exports: most lose exporter status, and only Kyrgyzstan retains training-export viability among developing nations. Because hardware dominates unit cost, the cross-country cost spread is only 12–20 percent, making compute both the easiest sector for developing countries to enter on cost grounds and the most vulnerable to small policy-induced frictions. The binding constraint for FLOP exporting is not electricity cost, but the institutional credibility needed to overcome bilateral trust deficits.</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00" w:name="EpochAI2024txt"/>
      <w:hyperlink w:anchor="EpochAI2024" w:history="1">
        <w:r>
          <w:rPr>
            <w:color w:val="1F3864"/>
            <w:u w:val="single"/>
          </w:rPr>
          <w:t xml:space="preserve">Epoch AI 2024</w:t>
        </w:r>
      </w:hyperlink>
      <w:bookmarkEnd w:id="200"/>
      <w:r>
        <w:t xml:space="preserve">). Data centers accounted for approximately 1.5% of global electricity demand in 2024, and that share is projected to more than double by 2030 (</w:t>
      </w:r>
      <w:bookmarkStart w:id="233" w:name="IEA2025txt"/>
      <w:hyperlink w:anchor="IEA2025" w:history="1">
        <w:r>
          <w:rPr>
            <w:color w:val="1F3864"/>
            <w:u w:val="single"/>
          </w:rPr>
          <w:t xml:space="preserve">IEA 2025</w:t>
        </w:r>
      </w:hyperlink>
      <w:bookmarkEnd w:id="233"/>
      <w:r>
        <w:t xml:space="preserve">).</w:t>
      </w:r>
    </w:p>
    <w:p>
      <w:pPr>
        <w:spacing w:before="0" w:after="160"/>
        <w:ind w:firstLine="0"/>
        <w:jc w:val="both"/>
      </w:pPr>
      <w:r>
        <w:t xml:space="preserve">This surge in demand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a higher value-added digital service. For resource-rich developing countries, FLOP exporting could offer a route up the value chain.</w:t>
      </w:r>
    </w:p>
    <w:p>
      <w:pPr>
        <w:spacing w:before="0" w:after="160"/>
        <w:ind w:firstLine="0"/>
        <w:jc w:val="both"/>
      </w:pPr>
      <w:r>
        <w:t xml:space="preserve">Several megaprojects confirm that FLOP exporting is technically and commercially feasible. Armenia is deploying 50,000 GPUs in a $4 billion investment (</w:t>
      </w:r>
      <w:bookmarkStart w:id="234" w:name="Firebird2026txt"/>
      <w:hyperlink w:anchor="Firebird2026" w:history="1">
        <w:r>
          <w:rPr>
            <w:color w:val="1F3864"/>
            <w:u w:val="single"/>
          </w:rPr>
          <w:t xml:space="preserve">Firebird 2026</w:t>
        </w:r>
      </w:hyperlink>
      <w:bookmarkEnd w:id="234"/>
      <w:r>
        <w:t xml:space="preserve">), Kenya, Saudi Arabia, and Malaysia have each attracted billion-dollar data center commitments, and cloud computing exports already exceed $9 billion annually (</w:t>
      </w:r>
      <w:bookmarkStart w:id="201" w:name="WorldBank2025txt"/>
      <w:hyperlink w:anchor="WorldBank2025" w:history="1">
        <w:r>
          <w:rPr>
            <w:color w:val="1F3864"/>
            <w:u w:val="single"/>
          </w:rPr>
          <w:t xml:space="preserve">World Bank 2025</w:t>
        </w:r>
      </w:hyperlink>
      <w:bookmarkEnd w:id="201"/>
      <w:r>
        <w:t xml:space="preserve">). A 40 MW data center in Kyrgyzstan could generate annual revenue of $630–950 million at wholesale contract rates, equivalent to over 15% of Kyrgyzstan’s $3.8 billion in goods exports (</w:t>
      </w:r>
      <w:bookmarkStart w:id="235" w:name="WorldBank2024txt"/>
      <w:hyperlink w:anchor="WorldBank2024" w:history="1">
        <w:r>
          <w:rPr>
            <w:color w:val="1F3864"/>
            <w:u w:val="single"/>
          </w:rPr>
          <w:t xml:space="preserve">World Bank 2024</w:t>
        </w:r>
      </w:hyperlink>
      <w:bookmarkEnd w:id="235"/>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6" w:name="Sastry2024txt"/>
      <w:hyperlink w:anchor="Sastry2024" w:history="1">
        <w:r>
          <w:rPr>
            <w:color w:val="1F3864"/>
            <w:u w:val="single"/>
          </w:rPr>
          <w:t xml:space="preserve">Sastry et al. 2024</w:t>
        </w:r>
      </w:hyperlink>
      <w:bookmarkEnd w:id="236"/>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37" w:name="Pilz2025txt"/>
      <w:hyperlink w:anchor="Pilz2025" w:history="1">
        <w:r>
          <w:rPr>
            <w:color w:val="1F3864"/>
            <w:u w:val="single"/>
          </w:rPr>
          <w:t xml:space="preserve">Pilz et al. 2025</w:t>
        </w:r>
      </w:hyperlink>
      <w:bookmarkEnd w:id="237"/>
      <w:r>
        <w:t xml:space="preserve">), but no formal trade model of compute exists. This paper offers the first such model, making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160"/>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12–20 percent. Several developing countries rank among the cheapest producers under cost-recovery pricing, but under the bilateral sovereignty specification, trust deficits eliminate all developing-country exports. For energy-rich developing countries, the binding constraint is not electricity cost but the institutional credibility needed to overcome bilateral trust deficits.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3" w:name="Goldfarb2018txt"/>
      <w:hyperlink w:anchor="Goldfarb2018" w:history="1">
        <w:r>
          <w:rPr>
            <w:color w:val="1F3864"/>
            <w:u w:val="single"/>
          </w:rPr>
          <w:t xml:space="preserve">Goldfarb and Trefler (2018)</w:t>
        </w:r>
      </w:hyperlink>
      <w:bookmarkEnd w:id="203"/>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38" w:name="Korinek2021txt"/>
      <w:hyperlink w:anchor="Korinek2021" w:history="1">
        <w:r>
          <w:rPr>
            <w:color w:val="1F3864"/>
            <w:u w:val="single"/>
          </w:rPr>
          <w:t xml:space="preserve">Korinek and Stiglitz (2021)</w:t>
        </w:r>
      </w:hyperlink>
      <w:bookmarkEnd w:id="238"/>
      <w:r>
        <w:t xml:space="preserve"> warn that developing countries may be left behind in the AI revolution; FLOP exporting offers a route in. The concept connects to </w:t>
      </w:r>
      <w:bookmarkStart w:id="249" w:name="Hausmann2007txt"/>
      <w:hyperlink w:anchor="Hausmann2007" w:history="1">
        <w:r>
          <w:rPr>
            <w:color w:val="1F3864"/>
            <w:u w:val="single"/>
          </w:rPr>
          <w:t xml:space="preserve">Hausmann et al. (2007)</w:t>
        </w:r>
      </w:hyperlink>
      <w:bookmarkEnd w:id="249"/>
      <w:r>
        <w:t xml:space="preserve"> on export composition and growth, and to </w:t>
      </w:r>
      <w:bookmarkStart w:id="245" w:name="Limao2001txt"/>
      <w:hyperlink w:anchor="Limao2001" w:history="1">
        <w:r>
          <w:rPr>
            <w:color w:val="1F3864"/>
            <w:u w:val="single"/>
          </w:rPr>
          <w:t xml:space="preserve">Limão and Venables (2001)</w:t>
        </w:r>
      </w:hyperlink>
      <w:bookmarkEnd w:id="245"/>
      <w:r>
        <w:t xml:space="preserve"> on infrastructure as a trade cost determinant — in our setting, network latency plays the analogous role.</w:t>
      </w:r>
    </w:p>
    <w:p>
      <w:pPr>
        <w:spacing w:before="0" w:after="160"/>
        <w:ind w:firstLine="0"/>
        <w:jc w:val="both"/>
      </w:pPr>
    </w:p>
    <w:p>
      <w:pPr>
        <w:spacing w:before="0" w:after="160"/>
        <w:ind w:firstLine="0"/>
        <w:jc w:val="both"/>
      </w:pPr>
      <w:r>
        <w:t xml:space="preserve">The closest precedent to our model is IT services offshoring, which is labor-intensive and skill-biased (</w:t>
      </w:r>
      <w:bookmarkStart w:id="204" w:name="Blinder2006txt"/>
      <w:hyperlink w:anchor="Blinder2006" w:history="1">
        <w:r>
          <w:rPr>
            <w:color w:val="1F3864"/>
            <w:u w:val="single"/>
          </w:rPr>
          <w:t xml:space="preserve">Blinder 2006</w:t>
        </w:r>
      </w:hyperlink>
      <w:bookmarkEnd w:id="204"/>
      <w:r>
        <w:t xml:space="preserve">), FLOP exporting is capital- and energy-intensive: the binding input is cheap electricity, not cheap labor, so the set of potential exporters is fundamentally different.</w:t>
      </w:r>
    </w:p>
    <w:p>
      <w:pPr>
        <w:spacing w:before="0" w:after="160"/>
        <w:ind w:firstLine="0"/>
        <w:jc w:val="both"/>
      </w:pPr>
      <w:r>
        <w:t xml:space="preserve">Several studies examine where firms should build data centers. </w:t>
      </w:r>
      <w:bookmarkStart w:id="205" w:name="Flucker2013txt"/>
      <w:hyperlink w:anchor="Flucker2013" w:history="1">
        <w:r>
          <w:rPr>
            <w:color w:val="1F3864"/>
            <w:u w:val="single"/>
          </w:rPr>
          <w:t xml:space="preserve">Flucker et al. (2013)</w:t>
        </w:r>
      </w:hyperlink>
      <w:bookmarkEnd w:id="205"/>
      <w:r>
        <w:t xml:space="preserve"> show that climate affects data center cooling costs. </w:t>
      </w:r>
      <w:bookmarkStart w:id="246" w:name="Liu2023txt"/>
      <w:hyperlink w:anchor="Liu2023" w:history="1">
        <w:r>
          <w:rPr>
            <w:color w:val="1F3864"/>
            <w:u w:val="single"/>
          </w:rPr>
          <w:t xml:space="preserve">Liu et al. (2023)</w:t>
        </w:r>
      </w:hyperlink>
      <w:bookmarkEnd w:id="246"/>
      <w:r>
        <w:t xml:space="preserve"> study data center placement under renewable energy constraints. In international trade theory, </w:t>
      </w:r>
      <w:bookmarkStart w:id="250" w:name="Brainard1997txt"/>
      <w:hyperlink w:anchor="Brainard1997" w:history="1">
        <w:r>
          <w:rPr>
            <w:color w:val="1F3864"/>
            <w:u w:val="single"/>
          </w:rPr>
          <w:t xml:space="preserve">Brainard (1997)</w:t>
        </w:r>
      </w:hyperlink>
      <w:bookmarkEnd w:id="250"/>
      <w:r>
        <w:t xml:space="preserve"> formalizes the proximity-concentration trade-off between serving a market locally and concentrating production abroad, and </w:t>
      </w:r>
      <w:bookmarkStart w:id="239" w:name="HMY2004txt"/>
      <w:hyperlink w:anchor="HMY2004" w:history="1">
        <w:r>
          <w:rPr>
            <w:color w:val="1F3864"/>
            <w:u w:val="single"/>
          </w:rPr>
          <w:t xml:space="preserve">Helpman et al. (2004)</w:t>
        </w:r>
      </w:hyperlink>
      <w:bookmarkEnd w:id="239"/>
      <w:r>
        <w:t xml:space="preserve"> extend this to heterogeneous firms choosing between exporting and FDI.</w:t>
      </w:r>
    </w:p>
    <w:p>
      <w:pPr>
        <w:spacing w:before="0" w:after="160"/>
        <w:ind w:firstLine="0"/>
        <w:jc w:val="both"/>
      </w:pPr>
      <w:r>
        <w:t xml:space="preserve">On governance, </w:t>
      </w:r>
      <w:bookmarkStart w:id="240" w:name="Sastry2024txt"/>
      <w:hyperlink w:anchor="Sastry2024" w:history="1">
        <w:r>
          <w:rPr>
            <w:color w:val="1F3864"/>
            <w:u w:val="single"/>
          </w:rPr>
          <w:t xml:space="preserve">Sastry et al. (2024)</w:t>
        </w:r>
      </w:hyperlink>
      <w:bookmarkEnd w:id="240"/>
      <w:r>
        <w:t xml:space="preserve"> argue that compute is well-suited for regulation. </w:t>
      </w:r>
      <w:bookmarkStart w:id="206" w:name="Lehdonvirta2024txt"/>
      <w:hyperlink w:anchor="Lehdonvirta2024" w:history="1">
        <w:r>
          <w:rPr>
            <w:color w:val="1F3864"/>
            <w:u w:val="single"/>
          </w:rPr>
          <w:t xml:space="preserve">Lehdonvirta et al. (2024)</w:t>
        </w:r>
      </w:hyperlink>
      <w:bookmarkEnd w:id="206"/>
      <w:r>
        <w:t xml:space="preserve"> map a “Compute North” with training-capable hardware versus a “Compute South” limited to inference chips. </w:t>
      </w:r>
      <w:bookmarkStart w:id="247" w:name="Pilz2025txt"/>
      <w:hyperlink w:anchor="Pilz2025" w:history="1">
        <w:r>
          <w:rPr>
            <w:color w:val="1F3864"/>
            <w:u w:val="single"/>
          </w:rPr>
          <w:t xml:space="preserve">Pilz et al. (2025)</w:t>
        </w:r>
      </w:hyperlink>
      <w:bookmarkEnd w:id="247"/>
      <w:r>
        <w:t xml:space="preserve"> project that data center power demand could reach 327 GW by 2030. The </w:t>
      </w:r>
      <w:bookmarkStart w:id="251" w:name="WorldBank2025txt"/>
      <w:hyperlink w:anchor="WorldBank2025" w:history="1">
        <w:r>
          <w:rPr>
            <w:color w:val="1F3864"/>
            <w:u w:val="single"/>
          </w:rPr>
          <w:t xml:space="preserve">World Bank (2025)</w:t>
        </w:r>
      </w:hyperlink>
      <w:bookmarkEnd w:id="251"/>
      <w:r>
        <w:t xml:space="preserve"> documents the resulting divide — high-income countries hold 77% of colocation capacity — but without a formal framework linking costs to trade patterns. </w:t>
      </w:r>
      <w:bookmarkStart w:id="241" w:name="Biglaiser2024txt"/>
      <w:hyperlink w:anchor="Biglaiser2024" w:history="1">
        <w:r>
          <w:rPr>
            <w:color w:val="1F3864"/>
            <w:u w:val="single"/>
          </w:rPr>
          <w:t xml:space="preserve">Biglaiser et al. (2024)</w:t>
        </w:r>
      </w:hyperlink>
      <w:bookmarkEnd w:id="241"/>
      <w:r>
        <w:t xml:space="preserve"> survey cloud market IO, and </w:t>
      </w:r>
      <w:bookmarkStart w:id="248" w:name="Stojkoski2024txt"/>
      <w:hyperlink w:anchor="Stojkoski2024" w:history="1">
        <w:r>
          <w:rPr>
            <w:color w:val="1F3864"/>
            <w:u w:val="single"/>
          </w:rPr>
          <w:t xml:space="preserve">Stojkoski et al. (2024)</w:t>
        </w:r>
      </w:hyperlink>
      <w:bookmarkEnd w:id="248"/>
      <w:r>
        <w:t xml:space="preserve"> estimate cloud export geography but treat services as homogeneous. The present model adds supply-side cost structure and a training–inference distinction.</w:t>
      </w:r>
    </w:p>
    <w:p>
      <w:pPr>
        <w:spacing w:before="0" w:after="160"/>
        <w:ind w:firstLine="0"/>
        <w:jc w:val="both"/>
      </w:pPr>
    </w:p>
    <w:p>
      <w:pPr>
        <w:spacing w:before="0" w:after="160"/>
        <w:ind w:firstLine="0"/>
        <w:jc w:val="both"/>
      </w:pPr>
    </w:p>
    <w:p>
      <w:pPr>
        <w:pStyle w:val="Heading1"/>
      </w:pPr>
      <w:r>
        <w:rPr>
          <w:rFonts w:ascii="Times New Roman" w:hAnsi="Times New Roman"/>
          <w:b/>
          <w:color w:val="2F5496"/>
          <w:sz w:val="28"/>
        </w:rPr>
        <w:t>3. Model of Compute Production and Trade</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for its Graphic Processing Units (GPU),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7" w:name="Ohlin1933txt"/>
      <w:hyperlink w:anchor="Ohlin1933" w:history="1">
        <w:r>
          <w:rPr>
            <w:color w:val="1F3864"/>
            <w:u w:val="single"/>
          </w:rPr>
          <w:t xml:space="preserve">Ohlin 1933</w:t>
        </w:r>
      </w:hyperlink>
      <w:bookmarkEnd w:id="207"/>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08" w:name="BaileyEtAl2017txt"/>
      <w:hyperlink w:anchor="BaileyEtAl2017" w:history="1">
        <w:r>
          <w:rPr>
            <w:color w:val="1F3864"/>
            <w:u w:val="single"/>
          </w:rPr>
          <w:t xml:space="preserve">Bailey, Strezhnev, and Voeten 2017</w:t>
        </w:r>
      </w:hyperlink>
      <w:bookmarkEnd w:id="208"/>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from </w:t>
      </w:r>
      <w:bookmarkStart w:id="900" w:name="Eq1txt900"/>
      <w:hyperlink w:anchor="Eq1" w:history="1">
        <w:r>
          <w:rPr>
            <w:color w:val="1F3864"/>
            <w:u w:val="single"/>
          </w:rPr>
          <w:t xml:space="preserve">equation (1)</w:t>
        </w:r>
      </w:hyperlink>
      <w:bookmarkEnd w:id="900"/>
      <w:r>
        <w:t xml:space="preserve">. Governance quality, grid reliability, and other institutional factors that affect the willingness of buyers to source compute from a particular country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rather than by a production cost adjustment.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ind w:firstLine="0"/>
        <w:jc w:val="both"/>
      </w:pPr>
      <w:r>
        <w:t xml:space="preserve">The cost-based equilibrium identifies the set of countries that could profitably produce and export compute. Which countries from this set actually attract investment depends additionally on agglomeration economies, hyperscaler market structure, and network connectivity (</w:t>
      </w:r>
      <w:bookmarkStart w:id="209" w:name="Krugman1991txt"/>
      <w:hyperlink w:anchor="Krugman1991" w:history="1">
        <w:r>
          <w:rPr>
            <w:color w:val="1F3864"/>
            <w:u w:val="single"/>
          </w:rPr>
          <w:t xml:space="preserve">Krugman 1991</w:t>
        </w:r>
      </w:hyperlink>
      <w:bookmarkEnd w:id="209"/>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are shown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0" w:name="Eurostat2025txt"/>
      <w:hyperlink w:anchor="Eurostat2025" w:history="1">
        <w:r>
          <w:rPr>
            <w:color w:val="1F3864"/>
            <w:u w:val="single"/>
          </w:rPr>
          <w:t xml:space="preserve">Eurostat 2025</w:t>
        </w:r>
      </w:hyperlink>
      <w:bookmarkEnd w:id="210"/>
      <w:r>
        <w:t xml:space="preserve">). For non-European countries, the prices are obtained from national regulator tariff sheets and secondary sources, including the U.S. Energy Information Administration (</w:t>
      </w:r>
      <w:bookmarkStart w:id="242" w:name="EIA2025txt"/>
      <w:hyperlink w:anchor="EIA2025" w:history="1">
        <w:r>
          <w:rPr>
            <w:color w:val="1F3864"/>
            <w:u w:val="single"/>
          </w:rPr>
          <w:t xml:space="preserve">EIA 2025</w:t>
        </w:r>
      </w:hyperlink>
      <w:bookmarkEnd w:id="242"/>
      <w:r>
        <w:t xml:space="preserve">) for the United States, KEPCO for South Korea,</w:t>
      </w:r>
      <w:r>
        <w:rPr>
          <w:rStyle w:val="FootnoteReference"/>
        </w:rPr>
        <w:footnoteReference w:id="24"/>
      </w:r>
      <w:r>
        <w:t xml:space="preserve">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6" w:name="UptimeInstitute2024txt"/>
      <w:hyperlink w:anchor="UptimeInstitute2024" w:history="1">
        <w:r>
          <w:rPr>
            <w:color w:val="1F3864"/>
            <w:u w:val="single"/>
          </w:rPr>
          <w:t xml:space="preserve">Uptime Institute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1" w:name="Deloitte2020txt"/>
      <w:hyperlink w:anchor="Deloitte2020" w:history="1">
        <w:r>
          <w:rPr>
            <w:color w:val="1F3864"/>
            <w:u w:val="single"/>
          </w:rPr>
          <w:t xml:space="preserve">Deloitte (2020)</w:t>
        </w:r>
      </w:hyperlink>
      <w:bookmarkEnd w:id="221"/>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2" w:name="Eq2txt902"/>
      <w:hyperlink w:anchor="Eq2" w:history="1">
        <w:r>
          <w:rPr>
            <w:color w:val="1F3864"/>
            <w:u w:val="single"/>
          </w:rPr>
          <w:t xml:space="preserve">eq.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0.04–0.07.</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 Construction costs are amortized over 15 years.</w:t>
      </w:r>
    </w:p>
    <w:p>
      <w:pPr>
        <w:spacing w:before="0" w:after="160"/>
        <w:ind w:firstLine="0"/>
        <w:jc w:val="both"/>
      </w:pPr>
      <w:r>
        <w:rPr>
          <w:rFonts w:ascii="Times New Roman" w:hAnsi="Times New Roman"/>
          <w:b w:val="0"/>
          <w:i/>
          <w:sz w:val="24"/>
        </w:rPr>
        <w:t xml:space="preserve">Governance. </w:t>
      </w:r>
      <w:r>
        <w:t xml:space="preserve">Governance quality, grid reliability, and other institutional factors that affect the attractiveness of a host country for compute investment enter the model through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(equation 2), not through a production cost adjustment. This reflects the observation that hardware is globally priced and dominates unit cost, so governance frictions primarily affect buyer willingness rather than physical production cost.</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by adjusting production costs and applying bilateral trade frictions.</w:t>
      </w:r>
    </w:p>
    <w:p>
      <w:pPr>
        <w:spacing w:before="0" w:after="160"/>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3" w:name="IMF2025txt"/>
      <w:hyperlink w:anchor="IMF2025" w:history="1">
        <w:r>
          <w:rPr>
            <w:color w:val="1F3864"/>
            <w:u w:val="single"/>
          </w:rPr>
          <w:t xml:space="preserve">IMF 2025</w:t>
        </w:r>
      </w:hyperlink>
      <w:bookmarkEnd w:id="243"/>
      <w:r>
        <w:t xml:space="preserve">, </w:t>
      </w:r>
      <w:bookmarkStart w:id="223" w:name="Lazard2025txt"/>
      <w:hyperlink w:anchor="Lazard2025" w:history="1">
        <w:r>
          <w:rPr>
            <w:color w:val="1F3864"/>
            <w:u w:val="single"/>
          </w:rPr>
          <w:t xml:space="preserve">Lazard 2025</w:t>
        </w:r>
      </w:hyperlink>
      <w:bookmarkEnd w:id="223"/>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w:t>
        </w:r>
      </w:hyperlink>
      <w:r>
        <w:t>) shifts the top of the ranking toward hydropower-rich countries: Kyrgyzstan, Canada, Ethiopia, Kosovo, and Tajikistan. Iran drops from first to 24th. 40 countries change their trade regimes.</w:t>
      </w:r>
    </w:p>
    <w:p>
      <w:pPr>
        <w:spacing w:before="0" w:after="160"/>
        <w:ind w:firstLine="0"/>
        <w:jc w:val="both"/>
      </w:pPr>
      <w:r>
        <w:t>The cost-recovery adjustment reshapes the rankings: Turkmenistan drops 16 places, Tajikistan drops 7. Countries whose low tariffs reflect subsidies rather than genuine resource advantage lose ground once fiscal transfers are removed. Because hardware dominates unit costs, the remaining cross-country variation is narrow. Cheap energy is necessary but not sufficient for FLOP exporting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ind w:firstLine="0"/>
        <w:jc w:val="both"/>
      </w:pPr>
      <w:r>
        <w:t>The gap between cost advantage and actual investment is wide. Eight of the twenty cheapest producers have under 100 MW of installed capacity (e.g., Kyrgyzstan: rank 1, 5 MW), while countries outside the top twenty host large clusters (Netherlands: rank 59, 1,800 MW; Ireland: rank 84, 1,260 MW). The cost ranking identifies the feasible set of exporters, not a prediction of realized investment.</w:t>
      </w:r>
      <m:oMath>
        <m:sSub>
          <m:sSubPr/>
          <m:e>
            <m:r>
              <m:rPr>
                <m:sty m:val="i"/>
              </m:rPr>
              <w:rPr>
                <w:rFonts w:ascii="Cambria Math" w:hAnsi="Cambria Math"/>
              </w:rPr>
              <m:t xml:space="preserve">K̄</m:t>
            </m:r>
          </m:e>
          <m:sub>
            <m:r>
              <m:rPr>
                <m:sty m:val="i"/>
              </m:rPr>
              <w:rPr>
                <w:rFonts w:ascii="Cambria Math" w:hAnsi="Cambria Math"/>
              </w:rPr>
              <m:t xml:space="preserve">j</m:t>
            </m:r>
          </m:sub>
        </m:sSub>
      </m:oMath>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is negative whenever a country’s unit cost lies below the equilibrium price, with the magnitude measuring the cost cushion available to absorb sovereignty frictions before the country loses export competitiveness. Canada’s large negative value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−0.0%</m:t>
        </m:r>
      </m:oMath>
      <w:r>
        <w:t xml:space="preserve">) means buyers could impose a substantial sovereignty premium and still find Canadian compute cheaper than the marginal supplier; values closer to zero flag thinner cost advantages more easily erased by sovereignty frictions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−6.9%</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−0.8%</m:t>
        </m:r>
      </m:oMath>
      <w:r>
        <w:t xml:space="preserve">, Switzerland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−7.2%</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3" w:name="Eq4txt903"/>
      <w:hyperlink w:anchor="Eq4" w:history="1">
        <w:r>
          <w:rPr>
            <w:color w:val="1F3864"/>
            <w:u w:val="single"/>
          </w:rPr>
          <w:t xml:space="preserve">equation (4)</w:t>
        </w:r>
      </w:hyperlink>
      <w:bookmarkEnd w:id="903"/>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1.00), confirming Proposition 2. </w:t>
      </w:r>
      <w:r>
        <w:t xml:space="preserve">The largest shadow values of grid capacity are in Kyrgyzstan ($0.014/hr), indicating modest returns to capacity expansion. </w:t>
      </w:r>
      <w:r>
        <w:t>Under the bilateral sovereignty premium, most training demand shifts to domestic production, and the residual export market is served by a single exporter at $1.58/hr.</w:t>
      </w:r>
    </w:p>
    <w:p>
      <w:pPr>
        <w:spacing w:before="0" w:after="160"/>
        <w:ind w:firstLine="0"/>
        <w:jc w:val="both"/>
      </w:pPr>
      <w:r>
        <w:t xml:space="preserve">Inference exports are more dispersed, with the top five exporters being Canada (43%), Kyrgyzstan (26%), Kosovo (6%), the United Kingdom (1%), and Indonesia (0.9%), collectively accounting for 77% of cross-border inference demand (HHI = 0.26). </w:t>
      </w:r>
    </w:p>
    <w:p>
      <w:pPr>
        <w:spacing w:before="0" w:after="160"/>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inference is sourced from Kosovo, for the United Kingdom domestically, and for France from Kosovo. For China, the cheapest foreign source of inference is Kyrgyzstan. Inference supply thus concentrates around latency-bounded regional hubs, each major market sourcing from a distinct nearby producer.</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ind w:firstLine="0"/>
        <w:jc w:val="both"/>
      </w:pP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4" w:name="EatonKortum2002txt"/>
      <w:hyperlink w:anchor="EatonKortum2002" w:history="1">
        <w:r>
          <w:rPr>
            <w:color w:val="1F3864"/>
            <w:u w:val="single"/>
          </w:rPr>
          <w:t xml:space="preserve">Eaton and Kortum 2002</w:t>
        </w:r>
      </w:hyperlink>
      <w:bookmarkEnd w:id="224"/>
      <w:r>
        <w:t xml:space="preserve">, </w:t>
      </w:r>
      <w:bookmarkStart w:id="244" w:name="ACR2012txt"/>
      <w:hyperlink w:anchor="ACR2012" w:history="1">
        <w:r>
          <w:rPr>
            <w:color w:val="1F3864"/>
            <w:u w:val="single"/>
          </w:rPr>
          <w:t xml:space="preserve">Arkolakis et al. 2012</w:t>
        </w:r>
      </w:hyperlink>
      <w:bookmarkEnd w:id="244"/>
      <w:r>
        <w:t xml:space="preserve">). At current demand levels (approximately 6 × 10¹⁰ GPU-hours at $1.50/hr), this amounts to roughly $1.3 billion per year. This cost is small enough that governments with legitimate data-sovereignty objectives — military applications, health records, national statistical systems — may rationally prefer domestic production even at the efficiency loss the model documents.</w:t>
      </w:r>
    </w:p>
    <w:p>
      <w:pPr>
        <w:spacing w:before="0" w:after="160"/>
        <w:ind w:firstLine="0"/>
        <w:jc w:val="both"/>
      </w:pPr>
      <w:r>
        <w:t xml:space="preserve">The welfare implications of the sovereignty premium depend on whether it reflects genuine security externalities or regulatory overreach. Some domestic processing preference is justified for genuinely confidential data, but much of the current policy push extends the sovereignty logic to routine commercial computation. The welfare cost is nontrivial: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Developing countries that adopt broad data localization requirements risk foreclosing both import savings and regional export opportunities — the very specialization gains the model predicts. The </w:t>
      </w:r>
      <w:bookmarkStart w:id="225" w:name="WorldBank2025txt"/>
      <w:hyperlink w:anchor="WorldBank2025" w:history="1">
        <w:r>
          <w:rPr>
            <w:color w:val="1F3864"/>
            <w:u w:val="single"/>
          </w:rPr>
          <w:t xml:space="preserve">World Bank (2025)</w:t>
        </w:r>
      </w:hyperlink>
      <w:bookmarkEnd w:id="225"/>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26" w:name="Calcaterra2024txt"/>
      <w:hyperlink w:anchor="Calcaterra2024" w:history="1">
        <w:r>
          <w:rPr>
            <w:color w:val="1F3864"/>
            <w:u w:val="single"/>
          </w:rPr>
          <w:t xml:space="preserve">Calcaterra et al. 2024</w:t>
        </w:r>
      </w:hyperlink>
      <w:bookmarkEnd w:id="226"/>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institutional weaknesses raise the cost of capital.</w:t>
      </w:r>
    </w:p>
    <w:p>
      <w:pPr>
        <w:spacing w:before="0" w:after="160"/>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potentially eroding their cost advantage. Qualitative findings are robust to GPU generation choices.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w:t>
      </w:r>
    </w:p>
    <w:p>
      <w:pPr>
        <w:spacing w:before="0" w:after="160"/>
        <w:ind w:firstLine="0"/>
        <w:jc w:val="both"/>
      </w:pPr>
      <w:r>
        <w:t>The sensitivity results can be read as comparative statics. A rise in global hardware costs increases the globally-priced cost share, compressing the locally-penalized component and muting governance penalties for developing-country exporters. Conversely,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 whether from subsidy removal or demand-driven grid strain — erodes the cost advantage that defines FLOP-exporting potential, as the endogenous electricity price extension above illustrates.</w:t>
      </w:r>
    </w:p>
    <w:p>
      <w:pPr>
        <w:spacing w:before="0" w:after="160"/>
        <w:ind w:firstLine="0"/>
        <w:jc w:val="both"/>
      </w:pPr>
      <w:r>
        <w:rPr>
          <w:rFonts w:ascii="Times New Roman" w:hAnsi="Times New Roman"/>
          <w:b w:val="0"/>
          <w:i/>
          <w:sz w:val="24"/>
        </w:rPr>
        <w:t xml:space="preserve">Hardware cost share. </w:t>
      </w:r>
      <w:hyperlink w:anchor="TableA3" w:history="1">
        <w:r>
          <w:rPr>
            <w:color w:val="1F3864"/>
            <w:u w:val="single"/>
          </w:rPr>
          <w:t xml:space="preserve">Table A3</w:t>
        </w:r>
      </w:hyperlink>
      <w:r>
        <w:t xml:space="preserve"> reports sensitivity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shifts the composition of the top fifteen. The qualitative result, that countries combining cheap energy with adequate governance retain their cost advantage, follows from hardware being globally priced, not from any particular parameter choice. The qualitative finding is robust across all specifications.</w:t>
      </w:r>
    </w:p>
    <w:p>
      <w:pPr>
        <w:spacing w:before="0" w:after="160"/>
        <w:ind w:firstLine="0"/>
        <w:jc w:val="both"/>
      </w:pPr>
      <w:r>
        <w:t>The comparative statics have clear economic intuition. The hardware cost share ρ is the most consequential parameter: when hardware’s share rises, the (identical) hardware cost dominates the unit cost, narrowing the cross-country spread and making electricity price differences less decisive — widening the door for developing-country entry.</w:t>
      </w:r>
    </w:p>
    <w:p>
      <w:pPr>
        <w:spacing w:before="0" w:after="160"/>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spacing w:before="0" w:after="160"/>
        <w:ind w:firstLine="0"/>
        <w:jc w:val="both"/>
      </w:pPr>
    </w:p>
    <w:p>
      <w:pPr>
        <w:spacing w:before="0" w:after="160"/>
        <w:ind w:firstLine="0"/>
        <w:jc w:val="both"/>
      </w:pPr>
    </w:p>
    <w:p>
      <w:pPr>
        <w:spacing w:before="0" w:after="160"/>
        <w:ind w:firstLine="0"/>
        <w:jc w:val="both"/>
      </w:pPr>
    </w:p>
    <w:p>
      <w:pPr>
        <w:pStyle w:val="Heading1"/>
      </w:pPr>
      <w:r>
        <w:rPr>
          <w:rFonts w:ascii="Times New Roman" w:hAnsi="Times New Roman"/>
          <w:b/>
          <w:color w:val="2F5496"/>
          <w:sz w:val="28"/>
        </w:rPr>
        <w:t>8. Conclusion</w:t>
      </w:r>
    </w:p>
    <w:p>
      <w:pPr>
        <w:spacing w:before="0" w:after="160"/>
        <w:ind w:firstLine="0"/>
        <w:jc w:val="both"/>
      </w:pPr>
      <w:r>
        <w:t xml:space="preserve">This paper develops a capacity-constrained Ricardian model of compute trade, distinguishing latency-insensitive training from latency-sensitive inference and incorporating bilateral sovereignty premia. The calibration reveals a paradox: energy-rich developing countries hold a genuine cost advantage in compute production, but bilateral trust deficits eliminate that advantage for nearly all of them. Under the bilateral specification, only Canada exports; sovereignty premia shift every other country toward domestic production or importing, at a demand-weighted welfare cost of 1.5% of compute spending. This paradox is the core finding: the countries best positioned to export compute on cost grounds are precisely those excluded by bilateral trust deficits. Because hardware accounts for roughly 90 percent of unit cost and is globally priced, the cross-country cost spread is only 12–20 percent — narrower than virtually any other tradable good. This makes compute both the easiest sector for developing countries to enter on cost grounds and the one most vulnerable to small frictions: a modest sovereignty premium, a slight governance penalty, or a higher cost of capital is sufficient to shift a country from exporter to importer. </w:t>
      </w:r>
    </w:p>
    <w:p>
      <w:pPr>
        <w:spacing w:before="0" w:after="160"/>
        <w:ind w:firstLine="0"/>
        <w:jc w:val="both"/>
      </w:pPr>
      <w:r>
        <w:t xml:space="preserve">For developing countries, the results identify both the opportunity and the barrier. Countries like Kyrgyzstan, Kosovo, Ethiopia, and Vietnam rank among the cheapest FLOP producers under cost-recovery pricing, and could use their energy resource endowments (hydropower, natural gas, and solar irradiance) to turn cheap power into exportable compute without building a domestic AI research ecosystem. But the bilateral specification shows that this opportunity is blocked by trust deficits. The binding constraint is therefore not electricity cost but institutional credibility: a country must be non-sanctioned, offer credible power purchase agreements, maintain adequate network connectivity, and present a regulatory environment stable enough for a hyperscaler to commit capital over a 15-year horizon. These are achievable conditions. The countries currently attracting hyperscaler investment — India, Kenya, Malaysia, Indonesia — meet them. Those that do not, despite lower electricity costs, lack one or more of these prerequisites. The progression across Table 3 makes the stakes concrete: cheap energy gets a country into the cost-feasible set (column 2), but bilateral trust eliminates the opportunity (column 3). FLOP exporting resembles aluminum smelting near cheap hydropower — imported capital equipment transforms local electricity into an exportable product with minimal domestic labor — but electricity, unlike oil or minerals, is renewable where generated from hydro, solar, or geothermal sources, and compute demand is growing faster than demand for any physical commodity. The resource curse literature (</w:t>
      </w:r>
      <w:bookmarkStart w:id="227" w:name="vanderPloeg2011txt"/>
      <w:hyperlink w:anchor="vanderPloeg2011" w:history="1">
        <w:r>
          <w:rPr>
            <w:color w:val="1F3864"/>
            <w:u w:val="single"/>
          </w:rPr>
          <w:t xml:space="preserve">van der Ploeg 2011</w:t>
        </w:r>
      </w:hyperlink>
      <w:bookmarkEnd w:id="227"/>
      <w:r>
        <w:t xml:space="preserve">) warns, however, that concentrated export revenues can lead to Dutch disease, institutional degradation, and exposure to demand cycles. Large-scale compute export revenues could also appreciate the real exchange rate, crowding out other tradable sectors, a channel particularly relevant for small, open economies where data center electricity consumption rivals existing industrial load. Whether FLOP exporting countries share these risks depends on the revenue-sharing model they adopt: a sovereign wealth fund approach (Norway) versus elite capture (Dutch disease). The share of surplus retained in the host country depends on ownership and fiscal structure: if the facility is foreign-owned, most operating surplus is repatriated, and the host retains only the electricity payment unless the government captures rent through taxation, equity participation, or resource royalties.</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 — though this rationale weakens for countries close to low-cost neighbors. For developing countries, the progression across Table 3 makes the policy challenge concrete: cheap energy gets a country into the cost-feasible set (column 2), but bilateral trust eliminates the opportunity (column 3). The binding constraints are not technological but institutional: non-sanctioned status, credible power purchase agreements, network connectivity, and a regulatory environment stable enough to justify a 15-year capital commitment.</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r>
        <w:t>Benz, S. and A. Jaax. (2020). “The Costs of Regulatory Barriers to Trade in Services: New Estimates of Ad Valorem Tariff Equivalents.” OECD Trade Policy Papers, No. 238. Paris: OECD Publishing.</w:t>
      </w:r>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5"/>
    </w:p>
    <w:p>
      <w:pPr>
        <w:spacing w:before="0" w:after="80" w:line="240" w:lineRule="exact"/>
        <w:ind w:hanging="720" w:left="720"/>
        <w:jc w:val="both"/>
      </w:pPr>
      <w:bookmarkStart w:id="506"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6"/>
    </w:p>
    <w:p>
      <w:pPr>
        <w:spacing w:before="0" w:after="80" w:line="240" w:lineRule="exact"/>
        <w:ind w:hanging="720" w:left="720"/>
        <w:jc w:val="both"/>
      </w:pPr>
      <w:bookmarkStart w:id="507"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7"/>
    </w:p>
    <w:p>
      <w:pPr>
        <w:spacing w:before="0" w:after="80" w:line="240" w:lineRule="exact"/>
        <w:ind w:hanging="720" w:left="720"/>
        <w:jc w:val="both"/>
      </w:pPr>
      <w:bookmarkStart w:id="508"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8"/>
    </w:p>
    <w:p>
      <w:pPr>
        <w:spacing w:before="0" w:after="80" w:line="240" w:lineRule="exact"/>
        <w:ind w:hanging="720" w:left="720"/>
        <w:jc w:val="both"/>
      </w:pPr>
      <w:bookmarkStart w:id="509" w:name="Deloitte2020"/>
      <w:hyperlink w:anchor="Deloitte2020txt" w:history="1">
        <w:r>
          <w:rPr>
            <w:color w:val="1F3864"/>
            <w:u w:val="single"/>
          </w:rPr>
          <w:t xml:space="preserve">Deloitte and Google. (2020). </w:t>
        </w:r>
      </w:hyperlink>
      <w:r>
        <w:t>“Milliseconds Make Millions.” Deloitte Digital and Google.</w:t>
      </w:r>
      <w:bookmarkEnd w:id="509"/>
    </w:p>
    <w:p>
      <w:pPr>
        <w:spacing w:before="0" w:after="80" w:line="240" w:lineRule="exact"/>
        <w:ind w:hanging="720" w:left="720"/>
        <w:jc w:val="both"/>
      </w:pPr>
      <w:bookmarkStart w:id="510"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0"/>
    </w:p>
    <w:p>
      <w:pPr>
        <w:spacing w:before="0" w:after="80" w:line="240" w:lineRule="exact"/>
        <w:ind w:hanging="720" w:left="720"/>
        <w:jc w:val="both"/>
      </w:pPr>
      <w:bookmarkStart w:id="511"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1"/>
    </w:p>
    <w:p>
      <w:pPr>
        <w:spacing w:before="0" w:after="80" w:line="240" w:lineRule="exact"/>
        <w:ind w:hanging="720" w:left="720"/>
        <w:jc w:val="both"/>
      </w:pPr>
      <w:bookmarkStart w:id="512"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2"/>
    </w:p>
    <w:p>
      <w:pPr>
        <w:spacing w:before="0" w:after="80" w:line="240" w:lineRule="exact"/>
        <w:ind w:hanging="720" w:left="720"/>
        <w:jc w:val="both"/>
      </w:pPr>
      <w:bookmarkStart w:id="513" w:name="EpochAI2024"/>
      <w:hyperlink w:anchor="EpochAI2024txt" w:history="1">
        <w:r>
          <w:rPr>
            <w:color w:val="1F3864"/>
            <w:u w:val="single"/>
          </w:rPr>
          <w:t xml:space="preserve">Epoch AI. (2024). </w:t>
        </w:r>
      </w:hyperlink>
      <w:r>
        <w:t>“The Training Compute of Notable AI Models.” epochai.org.</w:t>
      </w:r>
      <w:bookmarkEnd w:id="513"/>
    </w:p>
    <w:p>
      <w:pPr>
        <w:spacing w:before="0" w:after="80" w:line="240" w:lineRule="exact"/>
        <w:ind w:hanging="720" w:left="720"/>
        <w:jc w:val="both"/>
      </w:pPr>
      <w:bookmarkStart w:id="514"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4"/>
    </w:p>
    <w:p>
      <w:pPr>
        <w:spacing w:before="0" w:after="80" w:line="240" w:lineRule="exact"/>
        <w:ind w:hanging="720" w:left="720"/>
        <w:jc w:val="both"/>
      </w:pPr>
      <w:bookmarkStart w:id="515" w:name="Farole2011"/>
      <w:r>
        <w:rPr>
          <w:color w:val="1F3864"/>
          <w:u w:val="single"/>
        </w:rPr>
        <w:t xml:space="preserve">Farole, T. </w:t>
      </w:r>
      <w:r>
        <w:t xml:space="preserve">(2011). </w:t>
      </w:r>
      <w:r>
        <w:rPr>
          <w:i/>
        </w:rPr>
        <w:t>Special Economic Zones in Africa: Comparing Performance and Learning from Global Experiences</w:t>
      </w:r>
      <w:r>
        <w:t xml:space="preserve">. Washington, DC: </w:t>
      </w:r>
      <w:bookmarkStart w:id="228" w:name="WorldBank2024txt"/>
      <w:hyperlink w:anchor="WorldBank2024" w:history="1">
        <w:r>
          <w:rPr>
            <w:color w:val="1F3864"/>
            <w:u w:val="single"/>
          </w:rPr>
          <w:t xml:space="preserve">World Bank</w:t>
        </w:r>
      </w:hyperlink>
      <w:bookmarkEnd w:id="228"/>
      <w:r>
        <w:t xml:space="preserve">.</w:t>
      </w:r>
      <w:bookmarkEnd w:id="515"/>
    </w:p>
    <w:p>
      <w:pPr>
        <w:spacing w:before="0" w:after="80" w:line="240" w:lineRule="exact"/>
        <w:ind w:hanging="720" w:left="720"/>
        <w:jc w:val="both"/>
      </w:pPr>
      <w:bookmarkStart w:id="516"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6"/>
    </w:p>
    <w:p>
      <w:pPr>
        <w:spacing w:before="0" w:after="80" w:line="240" w:lineRule="exact"/>
        <w:ind w:hanging="720" w:left="720"/>
        <w:jc w:val="both"/>
      </w:pPr>
      <w:bookmarkStart w:id="517"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7"/>
    </w:p>
    <w:p>
      <w:pPr>
        <w:spacing w:before="0" w:after="80" w:line="240" w:lineRule="exact"/>
        <w:ind w:hanging="720" w:left="720"/>
        <w:jc w:val="both"/>
      </w:pPr>
      <w:bookmarkStart w:id="518" w:name="Frick2019"/>
      <w:r>
        <w:rPr>
          <w:color w:val="1F3864"/>
          <w:u w:val="single"/>
        </w:rPr>
        <w:t xml:space="preserve">Frick, S., A. Rodríguez-Pose, and M. Wong. (2019). </w:t>
      </w:r>
      <w:r>
        <w:t xml:space="preserve">“Toward Economically Dynamic Special Economic Zones in Emerging Countries.” </w:t>
      </w:r>
      <w:r>
        <w:rPr>
          <w:i/>
        </w:rPr>
        <w:t>Economic Geography</w:t>
      </w:r>
      <w:r>
        <w:t>, 95(1): 30–64.</w:t>
      </w:r>
      <w:bookmarkEnd w:id="518"/>
    </w:p>
    <w:p>
      <w:pPr>
        <w:spacing w:before="0" w:after="80" w:line="240" w:lineRule="exact"/>
        <w:ind w:hanging="720" w:left="720"/>
        <w:jc w:val="both"/>
      </w:pPr>
      <w:bookmarkStart w:id="519"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9"/>
    </w:p>
    <w:p>
      <w:pPr>
        <w:spacing w:before="0" w:after="80" w:line="240" w:lineRule="exact"/>
        <w:ind w:hanging="720" w:left="720"/>
        <w:jc w:val="both"/>
      </w:pPr>
      <w:bookmarkStart w:id="520"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0"/>
    </w:p>
    <w:p>
      <w:pPr>
        <w:spacing w:before="0" w:after="80" w:line="240" w:lineRule="exact"/>
        <w:ind w:hanging="720" w:left="720"/>
        <w:jc w:val="both"/>
      </w:pPr>
      <w:bookmarkStart w:id="521" w:name="Google2024"/>
      <w:r>
        <w:rPr>
          <w:color w:val="1F3864"/>
          <w:u w:val="single"/>
        </w:rPr>
        <w:t xml:space="preserve">Google. </w:t>
      </w:r>
      <w:r>
        <w:t xml:space="preserve">(2024). </w:t>
      </w:r>
      <w:r>
        <w:rPr>
          <w:i/>
        </w:rPr>
        <w:t>2024 Environmental Report</w:t>
      </w:r>
      <w:r>
        <w:t>. sustainability.google.</w:t>
      </w:r>
      <w:bookmarkEnd w:id="521"/>
    </w:p>
    <w:p>
      <w:pPr>
        <w:spacing w:before="0" w:after="80" w:line="240" w:lineRule="exact"/>
        <w:ind w:hanging="720" w:left="720"/>
        <w:jc w:val="both"/>
      </w:pPr>
      <w:bookmarkStart w:id="522"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2"/>
    </w:p>
    <w:p>
      <w:pPr>
        <w:spacing w:before="0" w:after="80" w:line="240" w:lineRule="exact"/>
        <w:ind w:hanging="720" w:left="720"/>
        <w:jc w:val="both"/>
      </w:pPr>
      <w:bookmarkStart w:id="523"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3"/>
    </w:p>
    <w:p>
      <w:pPr>
        <w:spacing w:before="0" w:after="80" w:line="240" w:lineRule="exact"/>
        <w:ind w:hanging="720" w:left="720"/>
        <w:jc w:val="both"/>
      </w:pPr>
      <w:bookmarkStart w:id="524"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4"/>
    </w:p>
    <w:p>
      <w:pPr>
        <w:spacing w:before="0" w:after="80" w:line="240" w:lineRule="exact"/>
        <w:ind w:hanging="720" w:left="720"/>
        <w:jc w:val="both"/>
      </w:pPr>
      <w:bookmarkStart w:id="525" w:name="IEA2025"/>
      <w:hyperlink w:anchor="IEA2025txt" w:history="1">
        <w:r>
          <w:rPr>
            <w:color w:val="1F3864"/>
            <w:u w:val="single"/>
          </w:rPr>
          <w:t xml:space="preserve">IEA. (2025). </w:t>
        </w:r>
      </w:hyperlink>
      <w:r>
        <w:t>“Energy Demand from AI.” Published online at iea.org.</w:t>
      </w:r>
      <w:bookmarkEnd w:id="525"/>
    </w:p>
    <w:p>
      <w:pPr>
        <w:spacing w:before="0" w:after="80" w:line="240" w:lineRule="exact"/>
        <w:ind w:hanging="720" w:left="720"/>
        <w:jc w:val="both"/>
      </w:pPr>
      <w:bookmarkStart w:id="526"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6"/>
    </w:p>
    <w:p>
      <w:pPr>
        <w:spacing w:before="0" w:after="80" w:line="240" w:lineRule="exact"/>
        <w:ind w:hanging="720" w:left="720"/>
        <w:jc w:val="both"/>
      </w:pPr>
      <w:bookmarkStart w:id="527"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7"/>
    </w:p>
    <w:p>
      <w:pPr>
        <w:spacing w:before="0" w:after="80" w:line="240" w:lineRule="exact"/>
        <w:ind w:hanging="720" w:left="720"/>
        <w:jc w:val="both"/>
      </w:pPr>
      <w:bookmarkStart w:id="52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8"/>
    </w:p>
    <w:p>
      <w:pPr>
        <w:spacing w:before="0" w:after="80" w:line="240" w:lineRule="exact"/>
        <w:ind w:hanging="720" w:left="720"/>
        <w:jc w:val="both"/>
      </w:pPr>
      <w:bookmarkStart w:id="529"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9"/>
    </w:p>
    <w:p>
      <w:pPr>
        <w:spacing w:before="0" w:after="80" w:line="240" w:lineRule="exact"/>
        <w:ind w:hanging="720" w:left="720"/>
        <w:jc w:val="both"/>
      </w:pPr>
      <w:bookmarkStart w:id="530"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0"/>
    </w:p>
    <w:p>
      <w:pPr>
        <w:spacing w:before="0" w:after="80" w:line="240" w:lineRule="exact"/>
        <w:ind w:hanging="720" w:left="720"/>
        <w:jc w:val="both"/>
      </w:pPr>
      <w:bookmarkStart w:id="531"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29" w:name="WorldBank2024txt"/>
      <w:hyperlink w:anchor="WorldBank2024" w:history="1">
        <w:r>
          <w:rPr>
            <w:i/>
            <w:color w:val="1F3864"/>
            <w:u w:val="single"/>
          </w:rPr>
          <w:t xml:space="preserve">World Bank</w:t>
        </w:r>
      </w:hyperlink>
      <w:bookmarkEnd w:id="229"/>
      <w:r>
        <w:rPr>
          <w:i/>
        </w:rPr>
        <w:t xml:space="preserve"> Economic Review</w:t>
      </w:r>
      <w:r>
        <w:t>, 15(3): 451–479.</w:t>
      </w:r>
      <w:bookmarkEnd w:id="531"/>
    </w:p>
    <w:p>
      <w:pPr>
        <w:spacing w:before="0" w:after="80" w:line="240" w:lineRule="exact"/>
        <w:ind w:hanging="720" w:left="720"/>
        <w:jc w:val="both"/>
      </w:pPr>
      <w:bookmarkStart w:id="532"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2"/>
    </w:p>
    <w:p>
      <w:pPr>
        <w:spacing w:before="0" w:after="80" w:line="240" w:lineRule="exact"/>
        <w:ind w:hanging="720" w:left="720"/>
        <w:jc w:val="both"/>
      </w:pPr>
      <w:bookmarkStart w:id="533" w:name="NVIDIA2024"/>
      <w:r>
        <w:rPr>
          <w:color w:val="1F3864"/>
          <w:u w:val="single"/>
        </w:rPr>
        <w:t xml:space="preserve">NVIDIA. </w:t>
      </w:r>
      <w:r>
        <w:t xml:space="preserve">(2024). </w:t>
      </w:r>
      <w:r>
        <w:rPr>
          <w:i/>
        </w:rPr>
        <w:t>NVIDIA H100 Tensor Core GPU Datasheet</w:t>
      </w:r>
      <w:r>
        <w:t>. nvidia.com.</w:t>
      </w:r>
      <w:bookmarkEnd w:id="533"/>
    </w:p>
    <w:p>
      <w:pPr>
        <w:spacing w:before="0" w:after="80" w:line="240" w:lineRule="exact"/>
        <w:ind w:hanging="720" w:left="720"/>
        <w:jc w:val="both"/>
      </w:pPr>
      <w:bookmarkStart w:id="534"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4"/>
    </w:p>
    <w:p>
      <w:pPr>
        <w:spacing w:before="0" w:after="80" w:line="240" w:lineRule="exact"/>
        <w:ind w:hanging="720" w:left="720"/>
        <w:jc w:val="both"/>
      </w:pPr>
      <w:bookmarkStart w:id="535"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5"/>
    </w:p>
    <w:p>
      <w:pPr>
        <w:spacing w:before="0" w:after="80" w:line="240" w:lineRule="exact"/>
        <w:ind w:hanging="720" w:left="720"/>
        <w:jc w:val="both"/>
      </w:pPr>
      <w:bookmarkStart w:id="536" w:name="Sastry2024"/>
      <w:hyperlink w:anchor="Sastry2024txt" w:history="1">
        <w:r>
          <w:rPr>
            <w:color w:val="1F3864"/>
            <w:u w:val="single"/>
          </w:rPr>
          <w:t xml:space="preserve">Sastry, G., L. Heim, et al. (2024). </w:t>
        </w:r>
      </w:hyperlink>
      <w:r>
        <w:t>“Computing Power and the Governance of Artificial Intelligence.” arXiv:2402.08797.</w:t>
      </w:r>
      <w:bookmarkEnd w:id="536"/>
    </w:p>
    <w:p>
      <w:pPr>
        <w:spacing w:before="0" w:after="80" w:line="240" w:lineRule="exact"/>
        <w:ind w:hanging="720" w:left="720"/>
        <w:jc w:val="both"/>
      </w:pPr>
      <w:bookmarkStart w:id="537"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7"/>
    </w:p>
    <w:p>
      <w:pPr>
        <w:spacing w:before="0" w:after="80" w:line="240" w:lineRule="exact"/>
        <w:ind w:hanging="720" w:left="720"/>
        <w:jc w:val="both"/>
      </w:pPr>
      <w:bookmarkStart w:id="53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8"/>
    </w:p>
    <w:p>
      <w:pPr>
        <w:spacing w:before="0" w:after="80" w:line="240" w:lineRule="exact"/>
        <w:ind w:hanging="720" w:left="720"/>
        <w:jc w:val="both"/>
      </w:pPr>
      <w:bookmarkStart w:id="539" w:name="TurnerLee2025"/>
      <w:r>
        <w:rPr>
          <w:color w:val="1F3864"/>
          <w:u w:val="single"/>
        </w:rPr>
        <w:t xml:space="preserve">Turner Lee, N., and D. West. (2025). </w:t>
      </w:r>
      <w:r>
        <w:t>“The Future of Data Centers.” Brookings Institution, November 2025.</w:t>
      </w:r>
      <w:bookmarkEnd w:id="539"/>
    </w:p>
    <w:p>
      <w:pPr>
        <w:spacing w:before="0" w:after="80" w:line="240" w:lineRule="exact"/>
        <w:ind w:hanging="720" w:left="720"/>
        <w:jc w:val="both"/>
      </w:pPr>
      <w:bookmarkStart w:id="540" w:name="UNCTAD2025"/>
      <w:r>
        <w:rPr>
          <w:color w:val="1F3864"/>
          <w:u w:val="single"/>
        </w:rPr>
        <w:t xml:space="preserve">UNCTAD. </w:t>
      </w:r>
      <w:r>
        <w:t xml:space="preserve">(2025). </w:t>
      </w:r>
      <w:r>
        <w:rPr>
          <w:i/>
        </w:rPr>
        <w:t>Technology and Innovation Report 2025</w:t>
      </w:r>
      <w:r>
        <w:t>. Geneva: United Nations.</w:t>
      </w:r>
      <w:bookmarkEnd w:id="540"/>
    </w:p>
    <w:p>
      <w:pPr>
        <w:spacing w:before="0" w:after="80" w:line="240" w:lineRule="exact"/>
        <w:ind w:hanging="720" w:left="720"/>
        <w:jc w:val="both"/>
      </w:pPr>
      <w:bookmarkStart w:id="54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1"/>
    </w:p>
    <w:p>
      <w:pPr>
        <w:spacing w:before="0" w:after="80" w:line="240" w:lineRule="exact"/>
        <w:ind w:hanging="720" w:left="720"/>
        <w:jc w:val="both"/>
      </w:pPr>
      <w:bookmarkStart w:id="542"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2"/>
    </w:p>
    <w:p>
      <w:pPr>
        <w:spacing w:before="0" w:after="80" w:line="240" w:lineRule="exact"/>
        <w:ind w:hanging="720" w:left="720"/>
        <w:jc w:val="both"/>
      </w:pPr>
      <w:bookmarkStart w:id="543"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3"/>
    </w:p>
    <w:p>
      <w:pPr>
        <w:spacing w:before="0" w:after="80" w:line="240" w:lineRule="exact"/>
        <w:ind w:hanging="720" w:left="720"/>
        <w:jc w:val="both"/>
      </w:pPr>
      <w:bookmarkStart w:id="544" w:name="WorldBank2017"/>
      <w:r>
        <w:rPr>
          <w:color w:val="1F3864"/>
          <w:u w:val="single"/>
        </w:rPr>
        <w:t xml:space="preserve">World Bank. </w:t>
      </w:r>
      <w:r>
        <w:t xml:space="preserve">(2017). </w:t>
      </w:r>
      <w:r>
        <w:rPr>
          <w:i/>
        </w:rPr>
        <w:t>Special Economic Zones: An Operational Review of Their Impacts</w:t>
      </w:r>
      <w:r>
        <w:t xml:space="preserve">. Washington, DC: </w:t>
      </w:r>
      <w:bookmarkStart w:id="230" w:name="WorldBank2024txt"/>
      <w:hyperlink w:anchor="WorldBank2024" w:history="1">
        <w:r>
          <w:rPr>
            <w:color w:val="1F3864"/>
            <w:u w:val="single"/>
          </w:rPr>
          <w:t xml:space="preserve">World Bank</w:t>
        </w:r>
      </w:hyperlink>
      <w:bookmarkEnd w:id="230"/>
      <w:r>
        <w:t xml:space="preserve">.</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1" w:name="WorldBank2024txt"/>
      <w:hyperlink w:anchor="WorldBank2024" w:history="1">
        <w:r>
          <w:rPr>
            <w:color w:val="1F3864"/>
            <w:u w:val="single"/>
          </w:rPr>
          <w:t xml:space="preserve">World Bank</w:t>
        </w:r>
      </w:hyperlink>
      <w:bookmarkEnd w:id="231"/>
      <w:r>
        <w:t xml:space="preserve">.</w:t>
      </w:r>
      <w:bookmarkEnd w:id="546"/>
    </w:p>
    <w:p>
      <w:pPr>
        <w:spacing w:before="0" w:after="80" w:line="240" w:lineRule="exact"/>
        <w:ind w:hanging="720" w:left="720"/>
        <w:jc w:val="both"/>
      </w:pPr>
      <w:bookmarkStart w:id="547" w:name="WBES2025"/>
      <w:r>
        <w:rPr>
          <w:color w:val="1F3864"/>
          <w:u w:val="single"/>
        </w:rPr>
        <w:t xml:space="preserve">World Bank. </w:t>
      </w:r>
      <w:r>
        <w:t xml:space="preserve">(2025). </w:t>
      </w:r>
      <w:r>
        <w:rPr>
          <w:i/>
        </w:rPr>
        <w:t>Enterprise Surveys</w:t>
      </w:r>
      <w:r>
        <w:t xml:space="preserve">. Washington, DC: </w:t>
      </w:r>
      <w:bookmarkStart w:id="232" w:name="WorldBank2024txt"/>
      <w:hyperlink w:anchor="WorldBank2024" w:history="1">
        <w:r>
          <w:rPr>
            <w:color w:val="1F3864"/>
            <w:u w:val="single"/>
          </w:rPr>
          <w:t xml:space="preserve">World Bank</w:t>
        </w:r>
      </w:hyperlink>
      <w:bookmarkEnd w:id="232"/>
      <w:r>
        <w:t xml:space="preserve">. enterprisesurveys.org.</w:t>
      </w:r>
      <w:bookmarkEnd w:id="547"/>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2828925"/>
            <wp:docPr id="1" name="Picture 1"/>
            <wp:cNvGraphicFramePr>
              <a:graphicFrameLocks noChangeAspect="1"/>
            </wp:cNvGraphicFramePr>
            <a:graphic>
              <a:graphicData uri="http://schemas.openxmlformats.org/drawingml/2006/picture">
                <pic:pic>
                  <pic:nvPicPr>
                    <pic:cNvPr id="0" name="calibration_strategy_v31.png"/>
                    <pic:cNvPicPr/>
                  </pic:nvPicPr>
                  <pic:blipFill>
                    <a:blip r:embed="rId10"/>
                    <a:stretch>
                      <a:fillRect/>
                    </a:stretch>
                  </pic:blipFill>
                  <pic:spPr>
                    <a:xfrm>
                      <a:off x="0" y="0"/>
                      <a:ext cx="5029200" cy="2828925"/>
                    </a:xfrm>
                    <a:prstGeom prst="rect"/>
                  </pic:spPr>
                </pic:pic>
              </a:graphicData>
            </a:graphic>
          </wp:inline>
        </w:drawing>
      </w:r>
    </w:p>
    <w:p>
      <w:pPr>
        <w:spacing w:before="80" w:after="120" w:line="240" w:lineRule="auto"/>
        <w:ind w:firstLine="0" w:left="720" w:right="720"/>
        <w:jc w:val="both"/>
      </w:pPr>
      <w:r>
        <w:rPr>
          <w:b/>
          <w:sz w:val="20"/>
        </w:rPr>
        <w:t xml:space="preserve">Notes: </w:t>
      </w:r>
      <w:r>
        <w:rPr>
          <w:sz w:val="20"/>
        </w:rPr>
        <w:t>Step 1 adjusts production costs from observed tariffs to cost-recovery pricing. Step 2 applies bilateral sovereignty premiums.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(2) Cost-Recovery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(3) Bilateral</w:t>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75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75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Type</w:t>
            </w:r>
          </w:p>
        </w:tc>
      </w:tr>
      <w:tr>
        <w:tc>
          <w:tcPr>
            <w:tcW w:w="1800" w:type="dxa"/>
          </w:tcPr>
          <w:p>
            <w:pPr>
              <w:jc w:val="left"/>
              <w:spacing w:before="10" w:after="10"/>
            </w:pPr>
            <w:r/>
            <w:r>
              <w:rPr>
                <w:rFonts w:ascii="Times New Roman" w:hAnsi="Times New Roman"/>
                <w:sz w:val="16"/>
              </w:rPr>
              <w:t>Kyrgyzstan</w:t>
            </w:r>
          </w:p>
        </w:tc>
        <w:tc>
          <w:tcPr>
            <w:tcW w:w="7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4</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1</w:t>
            </w:r>
          </w:p>
        </w:tc>
        <w:tc>
          <w:tcPr>
            <w:tcW w:w="450" w:type="dxa"/>
          </w:tcPr>
          <w:p>
            <w:pPr>
              <w:jc w:val="center"/>
              <w:spacing w:before="10" w:after="10"/>
            </w:pPr>
            <w:r/>
            <w:r>
              <w:rPr>
                <w:rFonts w:ascii="Times New Roman" w:hAnsi="Times New Roman"/>
                <w:sz w:val="16"/>
              </w:rPr>
              <w:t>EE</w:t>
            </w:r>
          </w:p>
        </w:tc>
        <w:tc>
          <w:tcPr>
            <w:tcW w:w="500" w:type="dxa"/>
          </w:tcPr>
          <w:p>
            <w:pPr>
              <w:jc w:val="center"/>
              <w:spacing w:before="10" w:after="10"/>
            </w:pPr>
            <w:r/>
            <w:r>
              <w:rPr>
                <w:rFonts w:ascii="Times New Roman" w:hAnsi="Times New Roman"/>
                <w:sz w:val="16"/>
              </w:rPr>
              <w:t>EE</w:t>
            </w:r>
          </w:p>
        </w:tc>
      </w:tr>
      <w:tr>
        <w:tc>
          <w:tcPr>
            <w:tcW w:w="1800" w:type="dxa"/>
          </w:tcPr>
          <w:p>
            <w:pPr>
              <w:jc w:val="left"/>
              <w:spacing w:before="10" w:after="10"/>
            </w:pPr>
            <w:r/>
            <w:r>
              <w:rPr>
                <w:rFonts w:ascii="Times New Roman" w:hAnsi="Times New Roman"/>
                <w:sz w:val="16"/>
              </w:rPr>
              <w:t>Canada</w:t>
            </w:r>
          </w:p>
        </w:tc>
        <w:tc>
          <w:tcPr>
            <w:tcW w:w="7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7</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2</w:t>
            </w:r>
          </w:p>
        </w:tc>
        <w:tc>
          <w:tcPr>
            <w:tcW w:w="450" w:type="dxa"/>
          </w:tcPr>
          <w:p>
            <w:pPr>
              <w:jc w:val="center"/>
              <w:spacing w:before="10" w:after="10"/>
            </w:pPr>
            <w:r/>
            <w:r>
              <w:rPr>
                <w:rFonts w:ascii="Times New Roman" w:hAnsi="Times New Roman"/>
                <w:sz w:val="16"/>
              </w:rPr>
              <w:t>EE</w:t>
            </w:r>
          </w:p>
        </w:tc>
        <w:tc>
          <w:tcPr>
            <w:tcW w:w="500" w:type="dxa"/>
          </w:tcPr>
          <w:p>
            <w:pPr>
              <w:jc w:val="center"/>
              <w:spacing w:before="10" w:after="10"/>
            </w:pPr>
            <w:r/>
            <w:r>
              <w:rPr>
                <w:rFonts w:ascii="Times New Roman" w:hAnsi="Times New Roman"/>
                <w:sz w:val="16"/>
              </w:rPr>
              <w:t>EE</w:t>
            </w:r>
          </w:p>
        </w:tc>
      </w:tr>
      <w:tr>
        <w:tc>
          <w:tcPr>
            <w:tcW w:w="1800" w:type="dxa"/>
          </w:tcPr>
          <w:p>
            <w:pPr>
              <w:jc w:val="left"/>
              <w:spacing w:before="10" w:after="10"/>
            </w:pPr>
            <w:r/>
            <w:r>
              <w:rPr>
                <w:rFonts w:ascii="Times New Roman" w:hAnsi="Times New Roman"/>
                <w:sz w:val="16"/>
              </w:rPr>
              <w:t>Ethiopia</w:t>
            </w:r>
          </w:p>
        </w:tc>
        <w:tc>
          <w:tcPr>
            <w:tcW w:w="7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3</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3</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Kosovo</w:t>
            </w:r>
          </w:p>
        </w:tc>
        <w:tc>
          <w:tcPr>
            <w:tcW w:w="7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10</w:t>
            </w:r>
          </w:p>
        </w:tc>
        <w:tc>
          <w:tcPr>
            <w:tcW w:w="450" w:type="dxa"/>
          </w:tcPr>
          <w:p>
            <w:pPr>
              <w:jc w:val="center"/>
              <w:spacing w:before="10" w:after="10"/>
            </w:pPr>
            <w:r/>
            <w:r>
              <w:rPr>
                <w:rFonts w:ascii="Times New Roman" w:hAnsi="Times New Roman"/>
                <w:sz w:val="16"/>
              </w:rPr>
              <w:t>IE</w:t>
            </w:r>
          </w:p>
        </w:tc>
        <w:tc>
          <w:tcPr>
            <w:tcW w:w="7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4</w:t>
            </w:r>
          </w:p>
        </w:tc>
        <w:tc>
          <w:tcPr>
            <w:tcW w:w="450" w:type="dxa"/>
          </w:tcPr>
          <w:p>
            <w:pPr>
              <w:jc w:val="center"/>
              <w:spacing w:before="10" w:after="10"/>
            </w:pPr>
            <w:r/>
            <w:r>
              <w:rPr>
                <w:rFonts w:ascii="Times New Roman" w:hAnsi="Times New Roman"/>
                <w:sz w:val="16"/>
              </w:rPr>
              <w:t>IE</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Tajikistan</w:t>
            </w:r>
          </w:p>
        </w:tc>
        <w:tc>
          <w:tcPr>
            <w:tcW w:w="7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12</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5</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Montenegro</w:t>
            </w:r>
          </w:p>
        </w:tc>
        <w:tc>
          <w:tcPr>
            <w:tcW w:w="7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13</w:t>
            </w:r>
          </w:p>
        </w:tc>
        <w:tc>
          <w:tcPr>
            <w:tcW w:w="450" w:type="dxa"/>
          </w:tcPr>
          <w:p>
            <w:pPr>
              <w:jc w:val="center"/>
              <w:spacing w:before="10" w:after="10"/>
            </w:pPr>
            <w:r/>
            <w:r>
              <w:rPr>
                <w:rFonts w:ascii="Times New Roman" w:hAnsi="Times New Roman"/>
                <w:sz w:val="16"/>
              </w:rPr>
              <w:t>IE</w:t>
            </w:r>
          </w:p>
        </w:tc>
        <w:tc>
          <w:tcPr>
            <w:tcW w:w="7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6</w:t>
            </w:r>
          </w:p>
        </w:tc>
        <w:tc>
          <w:tcPr>
            <w:tcW w:w="450" w:type="dxa"/>
          </w:tcPr>
          <w:p>
            <w:pPr>
              <w:jc w:val="center"/>
              <w:spacing w:before="10" w:after="10"/>
            </w:pPr>
            <w:r/>
            <w:r>
              <w:rPr>
                <w:rFonts w:ascii="Times New Roman" w:hAnsi="Times New Roman"/>
                <w:sz w:val="16"/>
              </w:rPr>
              <w:t>IE</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China</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14</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7</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II</w:t>
            </w:r>
          </w:p>
        </w:tc>
      </w:tr>
      <w:tr>
        <w:tc>
          <w:tcPr>
            <w:tcW w:w="1800" w:type="dxa"/>
          </w:tcPr>
          <w:p>
            <w:pPr>
              <w:jc w:val="left"/>
              <w:spacing w:before="10" w:after="10"/>
            </w:pPr>
            <w:r/>
            <w:r>
              <w:rPr>
                <w:rFonts w:ascii="Times New Roman" w:hAnsi="Times New Roman"/>
                <w:sz w:val="16"/>
              </w:rPr>
              <w:t>Ukraine</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16</w:t>
            </w:r>
          </w:p>
        </w:tc>
        <w:tc>
          <w:tcPr>
            <w:tcW w:w="450" w:type="dxa"/>
          </w:tcPr>
          <w:p>
            <w:pPr>
              <w:jc w:val="center"/>
              <w:spacing w:before="10" w:after="10"/>
            </w:pPr>
            <w:r/>
            <w:r>
              <w:rPr>
                <w:rFonts w:ascii="Times New Roman" w:hAnsi="Times New Roman"/>
                <w:sz w:val="16"/>
              </w:rPr>
              <w:t>IE</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8</w:t>
            </w:r>
          </w:p>
        </w:tc>
        <w:tc>
          <w:tcPr>
            <w:tcW w:w="450" w:type="dxa"/>
          </w:tcPr>
          <w:p>
            <w:pPr>
              <w:jc w:val="center"/>
              <w:spacing w:before="10" w:after="10"/>
            </w:pPr>
            <w:r/>
            <w:r>
              <w:rPr>
                <w:rFonts w:ascii="Times New Roman" w:hAnsi="Times New Roman"/>
                <w:sz w:val="16"/>
              </w:rPr>
              <w:t>IE</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Argentina</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17</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9</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Colombia</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18</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10</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Azerbaijan</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19</w:t>
            </w:r>
          </w:p>
        </w:tc>
        <w:tc>
          <w:tcPr>
            <w:tcW w:w="450" w:type="dxa"/>
          </w:tcPr>
          <w:p>
            <w:pPr>
              <w:jc w:val="center"/>
              <w:spacing w:before="10" w:after="10"/>
            </w:pPr>
            <w:r/>
            <w:r>
              <w:rPr>
                <w:rFonts w:ascii="Times New Roman" w:hAnsi="Times New Roman"/>
                <w:sz w:val="16"/>
              </w:rPr>
              <w:t>IE</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11</w:t>
            </w:r>
          </w:p>
        </w:tc>
        <w:tc>
          <w:tcPr>
            <w:tcW w:w="450" w:type="dxa"/>
          </w:tcPr>
          <w:p>
            <w:pPr>
              <w:jc w:val="center"/>
              <w:spacing w:before="10" w:after="10"/>
            </w:pPr>
            <w:r/>
            <w:r>
              <w:rPr>
                <w:rFonts w:ascii="Times New Roman" w:hAnsi="Times New Roman"/>
                <w:sz w:val="16"/>
              </w:rPr>
              <w:t>IE</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Russia</w:t>
            </w:r>
          </w:p>
        </w:tc>
        <w:tc>
          <w:tcPr>
            <w:tcW w:w="7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8</w:t>
            </w:r>
          </w:p>
        </w:tc>
        <w:tc>
          <w:tcPr>
            <w:tcW w:w="450" w:type="dxa"/>
          </w:tcPr>
          <w:p>
            <w:pPr>
              <w:jc w:val="center"/>
              <w:spacing w:before="10" w:after="10"/>
            </w:pPr>
            <w:r/>
            <w:r>
              <w:rPr>
                <w:rFonts w:ascii="Times New Roman" w:hAnsi="Times New Roman"/>
                <w:sz w:val="16"/>
              </w:rPr>
              <w:t>DD</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12</w:t>
            </w:r>
          </w:p>
        </w:tc>
        <w:tc>
          <w:tcPr>
            <w:tcW w:w="450" w:type="dxa"/>
          </w:tcPr>
          <w:p>
            <w:pPr>
              <w:jc w:val="center"/>
              <w:spacing w:before="10" w:after="10"/>
            </w:pPr>
            <w:r/>
            <w:r>
              <w:rPr>
                <w:rFonts w:ascii="Times New Roman" w:hAnsi="Times New Roman"/>
                <w:sz w:val="16"/>
              </w:rPr>
              <w:t>DD</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Norway</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20</w:t>
            </w:r>
          </w:p>
        </w:tc>
        <w:tc>
          <w:tcPr>
            <w:tcW w:w="450" w:type="dxa"/>
          </w:tcPr>
          <w:p>
            <w:pPr>
              <w:jc w:val="center"/>
              <w:spacing w:before="10" w:after="10"/>
            </w:pPr>
            <w:r/>
            <w:r>
              <w:rPr>
                <w:rFonts w:ascii="Times New Roman" w:hAnsi="Times New Roman"/>
                <w:sz w:val="16"/>
              </w:rPr>
              <w:t>IE</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13</w:t>
            </w:r>
          </w:p>
        </w:tc>
        <w:tc>
          <w:tcPr>
            <w:tcW w:w="450" w:type="dxa"/>
          </w:tcPr>
          <w:p>
            <w:pPr>
              <w:jc w:val="center"/>
              <w:spacing w:before="10" w:after="10"/>
            </w:pPr>
            <w:r/>
            <w:r>
              <w:rPr>
                <w:rFonts w:ascii="Times New Roman" w:hAnsi="Times New Roman"/>
                <w:sz w:val="16"/>
              </w:rPr>
              <w:t>IE</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Algeria</w:t>
            </w:r>
          </w:p>
        </w:tc>
        <w:tc>
          <w:tcPr>
            <w:tcW w:w="7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6</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14</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Finland</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23</w:t>
            </w:r>
          </w:p>
        </w:tc>
        <w:tc>
          <w:tcPr>
            <w:tcW w:w="450" w:type="dxa"/>
          </w:tcPr>
          <w:p>
            <w:pPr>
              <w:jc w:val="center"/>
              <w:spacing w:before="10" w:after="10"/>
            </w:pPr>
            <w:r/>
            <w:r>
              <w:rPr>
                <w:rFonts w:ascii="Times New Roman" w:hAnsi="Times New Roman"/>
                <w:sz w:val="16"/>
              </w:rPr>
              <w:t>IE</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15</w:t>
            </w:r>
          </w:p>
        </w:tc>
        <w:tc>
          <w:tcPr>
            <w:tcW w:w="450" w:type="dxa"/>
          </w:tcPr>
          <w:p>
            <w:pPr>
              <w:jc w:val="center"/>
              <w:spacing w:before="10" w:after="10"/>
            </w:pPr>
            <w:r/>
            <w:r>
              <w:rPr>
                <w:rFonts w:ascii="Times New Roman" w:hAnsi="Times New Roman"/>
                <w:sz w:val="16"/>
              </w:rPr>
              <w:t>IE</w:t>
            </w:r>
          </w:p>
        </w:tc>
        <w:tc>
          <w:tcPr>
            <w:tcW w:w="500" w:type="dxa"/>
          </w:tcPr>
          <w:p>
            <w:pPr>
              <w:jc w:val="center"/>
              <w:spacing w:before="10" w:after="10"/>
            </w:pPr>
            <w:r/>
            <w:r>
              <w:rPr>
                <w:rFonts w:ascii="Times New Roman" w:hAnsi="Times New Roman"/>
                <w:sz w:val="16"/>
              </w:rPr>
              <w:t>IE</w:t>
            </w:r>
          </w:p>
        </w:tc>
      </w:tr>
      <w:tr>
        <w:tc>
          <w:tcPr>
            <w:tcW w:w="1800" w:type="dxa"/>
          </w:tcPr>
          <w:p>
            <w:pPr>
              <w:jc w:val="left"/>
              <w:spacing w:before="10" w:after="10"/>
            </w:pPr>
            <w:r/>
            <w:r>
              <w:rPr>
                <w:rFonts w:ascii="Times New Roman" w:hAnsi="Times New Roman"/>
                <w:sz w:val="16"/>
              </w:rPr>
              <w:t>Vietnam</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24</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16</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Brazil</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26</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17</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Turkmenistan</w:t>
            </w:r>
          </w:p>
        </w:tc>
        <w:tc>
          <w:tcPr>
            <w:tcW w:w="750" w:type="dxa"/>
          </w:tcPr>
          <w:p>
            <w:pPr>
              <w:jc w:val="center"/>
              <w:spacing w:before="10" w:after="10"/>
            </w:pPr>
            <w:r/>
            <w:r>
              <w:rPr>
                <w:rFonts w:ascii="Times New Roman" w:hAnsi="Times New Roman"/>
                <w:sz w:val="16"/>
              </w:rPr>
              <w:t>$1.57</w:t>
            </w:r>
          </w:p>
        </w:tc>
        <w:tc>
          <w:tcPr>
            <w:tcW w:w="450" w:type="dxa"/>
          </w:tcPr>
          <w:p>
            <w:pPr>
              <w:jc w:val="center"/>
              <w:spacing w:before="10" w:after="10"/>
            </w:pPr>
            <w:r/>
            <w:r>
              <w:rPr>
                <w:rFonts w:ascii="Times New Roman" w:hAnsi="Times New Roman"/>
                <w:sz w:val="16"/>
              </w:rPr>
              <w:t>2</w:t>
            </w:r>
          </w:p>
        </w:tc>
        <w:tc>
          <w:tcPr>
            <w:tcW w:w="450" w:type="dxa"/>
          </w:tcPr>
          <w:p>
            <w:pPr>
              <w:jc w:val="center"/>
              <w:spacing w:before="10" w:after="10"/>
            </w:pPr>
            <w:r/>
            <w:r>
              <w:rPr>
                <w:rFonts w:ascii="Times New Roman" w:hAnsi="Times New Roman"/>
                <w:sz w:val="16"/>
              </w:rPr>
              <w:t>DD</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18</w:t>
            </w:r>
          </w:p>
        </w:tc>
        <w:tc>
          <w:tcPr>
            <w:tcW w:w="450" w:type="dxa"/>
          </w:tcPr>
          <w:p>
            <w:pPr>
              <w:jc w:val="center"/>
              <w:spacing w:before="10" w:after="10"/>
            </w:pPr>
            <w:r/>
            <w:r>
              <w:rPr>
                <w:rFonts w:ascii="Times New Roman" w:hAnsi="Times New Roman"/>
                <w:sz w:val="16"/>
              </w:rPr>
              <w:t>DD</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Egypt</w:t>
            </w:r>
          </w:p>
        </w:tc>
        <w:tc>
          <w:tcPr>
            <w:tcW w:w="7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5</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19</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Sweden</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28</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20</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IE</w:t>
            </w:r>
          </w:p>
        </w:tc>
      </w:tr>
      <w:tr>
        <w:tc>
          <w:tcPr>
            <w:tcW w:w="1800" w:type="dxa"/>
          </w:tcPr>
          <w:p>
            <w:pPr>
              <w:jc w:val="left"/>
              <w:spacing w:before="10" w:after="10"/>
            </w:pPr>
            <w:r/>
            <w:r>
              <w:rPr>
                <w:rFonts w:ascii="Times New Roman" w:hAnsi="Times New Roman"/>
                <w:sz w:val="16"/>
              </w:rPr>
              <w:t>India</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29</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21</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Indonesia</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30</w:t>
            </w:r>
          </w:p>
        </w:tc>
        <w:tc>
          <w:tcPr>
            <w:tcW w:w="450" w:type="dxa"/>
          </w:tcPr>
          <w:p>
            <w:pPr>
              <w:jc w:val="center"/>
              <w:spacing w:before="10" w:after="10"/>
            </w:pPr>
            <w:r/>
            <w:r>
              <w:rPr>
                <w:rFonts w:ascii="Times New Roman" w:hAnsi="Times New Roman"/>
                <w:sz w:val="16"/>
              </w:rPr>
              <w:t>IE</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22</w:t>
            </w:r>
          </w:p>
        </w:tc>
        <w:tc>
          <w:tcPr>
            <w:tcW w:w="450" w:type="dxa"/>
          </w:tcPr>
          <w:p>
            <w:pPr>
              <w:jc w:val="center"/>
              <w:spacing w:before="10" w:after="10"/>
            </w:pPr>
            <w:r/>
            <w:r>
              <w:rPr>
                <w:rFonts w:ascii="Times New Roman" w:hAnsi="Times New Roman"/>
                <w:sz w:val="16"/>
              </w:rPr>
              <w:t>IE</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Kazakhstan</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21</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23</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Iran</w:t>
            </w:r>
          </w:p>
        </w:tc>
        <w:tc>
          <w:tcPr>
            <w:tcW w:w="750" w:type="dxa"/>
          </w:tcPr>
          <w:p>
            <w:pPr>
              <w:jc w:val="center"/>
              <w:spacing w:before="10" w:after="10"/>
            </w:pPr>
            <w:r/>
            <w:r>
              <w:rPr>
                <w:rFonts w:ascii="Times New Roman" w:hAnsi="Times New Roman"/>
                <w:sz w:val="16"/>
              </w:rPr>
              <w:t>$1.56</w:t>
            </w:r>
          </w:p>
        </w:tc>
        <w:tc>
          <w:tcPr>
            <w:tcW w:w="450" w:type="dxa"/>
          </w:tcPr>
          <w:p>
            <w:pPr>
              <w:jc w:val="center"/>
              <w:spacing w:before="10" w:after="10"/>
            </w:pPr>
            <w:r/>
            <w:r>
              <w:rPr>
                <w:rFonts w:ascii="Times New Roman" w:hAnsi="Times New Roman"/>
                <w:sz w:val="16"/>
              </w:rPr>
              <w:t>1</w:t>
            </w:r>
          </w:p>
        </w:tc>
        <w:tc>
          <w:tcPr>
            <w:tcW w:w="450" w:type="dxa"/>
          </w:tcPr>
          <w:p>
            <w:pPr>
              <w:jc w:val="center"/>
              <w:spacing w:before="10" w:after="10"/>
            </w:pPr>
            <w:r/>
            <w:r>
              <w:rPr>
                <w:rFonts w:ascii="Times New Roman" w:hAnsi="Times New Roman"/>
                <w:sz w:val="16"/>
              </w:rPr>
              <w:t>DD</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24</w:t>
            </w:r>
          </w:p>
        </w:tc>
        <w:tc>
          <w:tcPr>
            <w:tcW w:w="450" w:type="dxa"/>
          </w:tcPr>
          <w:p>
            <w:pPr>
              <w:jc w:val="center"/>
              <w:spacing w:before="10" w:after="10"/>
            </w:pPr>
            <w:r/>
            <w:r>
              <w:rPr>
                <w:rFonts w:ascii="Times New Roman" w:hAnsi="Times New Roman"/>
                <w:sz w:val="16"/>
              </w:rPr>
              <w:t>DD</w:t>
            </w:r>
          </w:p>
        </w:tc>
        <w:tc>
          <w:tcPr>
            <w:tcW w:w="500" w:type="dxa"/>
          </w:tcPr>
          <w:p>
            <w:pPr>
              <w:jc w:val="center"/>
              <w:spacing w:before="10" w:after="10"/>
            </w:pPr>
            <w:r/>
            <w:r>
              <w:rPr>
                <w:rFonts w:ascii="Times New Roman" w:hAnsi="Times New Roman"/>
                <w:sz w:val="16"/>
              </w:rPr>
              <w:t>II</w:t>
            </w:r>
          </w:p>
        </w:tc>
      </w:tr>
      <w:tr>
        <w:tc>
          <w:tcPr>
            <w:tcBorders>
              <w:bottom w:val="double" w:sz="4" w:space="0" w:color="auto"/>
            </w:tcBorders>
            <w:tcW w:w="1800" w:type="dxa"/>
          </w:tcPr>
          <w:p>
            <w:pPr>
              <w:jc w:val="left"/>
              <w:spacing w:before="10" w:after="10"/>
            </w:pPr>
            <w:r/>
            <w:r>
              <w:rPr>
                <w:rFonts w:ascii="Times New Roman" w:hAnsi="Times New Roman"/>
                <w:sz w:val="16"/>
              </w:rPr>
              <w:t>Georgia</w:t>
            </w:r>
          </w:p>
        </w:tc>
        <w:tc>
          <w:tcPr>
            <w:tcBorders>
              <w:bottom w:val="double" w:sz="4" w:space="0" w:color="auto"/>
            </w:tcBorders>
            <w:tcW w:w="750" w:type="dxa"/>
          </w:tcPr>
          <w:p>
            <w:pPr>
              <w:jc w:val="center"/>
              <w:spacing w:before="10" w:after="10"/>
            </w:pPr>
            <w:r/>
            <w:r>
              <w:rPr>
                <w:rFonts w:ascii="Times New Roman" w:hAnsi="Times New Roman"/>
                <w:sz w:val="16"/>
              </w:rPr>
              <w:t>$1.63</w:t>
            </w:r>
          </w:p>
        </w:tc>
        <w:tc>
          <w:tcPr>
            <w:tcBorders>
              <w:bottom w:val="double" w:sz="4" w:space="0" w:color="auto"/>
            </w:tcBorders>
            <w:tcW w:w="450" w:type="dxa"/>
          </w:tcPr>
          <w:p>
            <w:pPr>
              <w:jc w:val="center"/>
              <w:spacing w:before="10" w:after="10"/>
            </w:pPr>
            <w:r/>
            <w:r>
              <w:rPr>
                <w:rFonts w:ascii="Times New Roman" w:hAnsi="Times New Roman"/>
                <w:sz w:val="16"/>
              </w:rPr>
              <w:t>31</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750" w:type="dxa"/>
          </w:tcPr>
          <w:p>
            <w:pPr>
              <w:jc w:val="center"/>
              <w:spacing w:before="10" w:after="10"/>
            </w:pPr>
            <w:r/>
            <w:r>
              <w:rPr>
                <w:rFonts w:ascii="Times New Roman" w:hAnsi="Times New Roman"/>
                <w:sz w:val="16"/>
              </w:rPr>
              <w:t>$1.63</w:t>
            </w:r>
          </w:p>
        </w:tc>
        <w:tc>
          <w:tcPr>
            <w:tcBorders>
              <w:bottom w:val="double" w:sz="4" w:space="0" w:color="auto"/>
            </w:tcBorders>
            <w:tcW w:w="450" w:type="dxa"/>
          </w:tcPr>
          <w:p>
            <w:pPr>
              <w:jc w:val="center"/>
              <w:spacing w:before="10" w:after="10"/>
            </w:pPr>
            <w:r/>
            <w:r>
              <w:rPr>
                <w:rFonts w:ascii="Times New Roman" w:hAnsi="Times New Roman"/>
                <w:sz w:val="16"/>
              </w:rPr>
              <w:t>25</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500" w:type="dxa"/>
          </w:tcPr>
          <w:p>
            <w:pPr>
              <w:jc w:val="center"/>
              <w:spacing w:before="10" w:after="10"/>
            </w:pPr>
            <w:r/>
            <w:r>
              <w:rPr>
                <w:rFonts w:ascii="Times New Roman" w:hAnsi="Times New Roman"/>
                <w:sz w:val="16"/>
              </w:rPr>
              <w:t>DD</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Specifications (1) and (2) show unit cost ($/GPU-hr), rank among 85 countries, and regime type. (3) shows regime type only (cost and rank unchanged from (2)). EE = training + inference exporter; IE = inference exporter; DD = domestic producer; II = full importer. (1) Raw: observed electricity tariffs. (2) Cost-recovery: subsidized tariffs replaced with LRMC. (3) Bilateral: bilateral sovereignty premium λᵢⱼ from </w:t>
      </w:r>
      <w:bookmarkStart w:id="904" w:name="Eq2txt904"/>
      <w:hyperlink w:anchor="Eq2" w:history="1">
        <w:r>
          <w:rPr>
            <w:rFonts w:ascii="Times New Roman" w:hAnsi="Times New Roman"/>
            <w:sz w:val="20"/>
            <w:color w:val="1F3864"/>
            <w:u w:val="single"/>
          </w:rPr>
          <w:t xml:space="preserve">equation (2)</w:t>
        </w:r>
      </w:hyperlink>
      <w:bookmarkEnd w:id="904"/>
      <w:r>
        <w:rPr>
          <w:rFonts w:ascii="Times New Roman" w:hAnsi="Times New Roman"/>
          <w:sz w:val="20"/>
        </w:rPr>
        <w:t xml:space="preserve">; only regime assignments change. * = sanctioned/GPU-blocked. † = developing-country exporter.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
              <w:rPr>
                <w:sz w:val="16"/>
              </w:rPr>
              <w:t>$0.128</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
              <w:rPr>
                <w:sz w:val="16"/>
              </w:rPr>
              <w:t>$0.130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5" w:name="Eq4txt905"/>
      <w:hyperlink w:anchor="Eq4" w:history="1">
        <w:r>
          <w:rPr>
            <w:sz w:val="20"/>
            <w:color w:val="1F3864"/>
            <w:u w:val="single"/>
          </w:rPr>
          <w:t xml:space="preserve">equation (4)</w:t>
        </w:r>
      </w:hyperlink>
      <w:bookmarkEnd w:id="905"/>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6" w:name="Eq1txt906"/>
      <w:hyperlink w:anchor="Eq1" w:history="1">
        <w:r>
          <w:rPr>
            <w:color w:val="1F3864"/>
            <w:u w:val="single"/>
          </w:rPr>
          <w:t xml:space="preserve">equation (1)</w:t>
        </w:r>
      </w:hyperlink>
      <w:bookmarkEnd w:id="906"/>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7" w:name="Eq4txt907"/>
      <w:hyperlink w:anchor="Eq4" w:history="1">
        <w:r>
          <w:rPr>
            <w:color w:val="1F3864"/>
            <w:u w:val="single"/>
          </w:rPr>
          <w:t xml:space="preserve">equation (4)</w:t>
        </w:r>
      </w:hyperlink>
      <w:bookmarkEnd w:id="907"/>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8" w:name="Eq2txt908"/>
      <w:hyperlink w:anchor="Eq2" w:history="1">
        <w:r>
          <w:rPr>
            <w:color w:val="1F3864"/>
            <w:u w:val="single"/>
          </w:rPr>
          <w:t xml:space="preserve">equation (2)</w:t>
        </w:r>
      </w:hyperlink>
      <w:bookmarkEnd w:id="908"/>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10</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10</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Canada, Ethiopia, Kosovo, Tajikistan</w:t>
            </w:r>
          </w:p>
        </w:tc>
      </w:tr>
    </w:tbl>
    <w:p>
      <w:pPr>
        <w:spacing w:before="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Table A6.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spacing w:before="0" w:after="0"/>
      </w:pPr>
      <w:r>
        <w:br w:type="page"/>
      </w:r>
    </w:p>
    <w:p>
      <w:pPr>
        <w:pStyle w:val="Heading1"/>
      </w:pPr>
      <w:r>
        <w:rPr>
          <w:rFonts w:ascii="Times New Roman" w:hAnsi="Times New Roman"/>
          <w:b/>
          <w:color w:val="2F5496"/>
          <w:sz w:val="28"/>
        </w:rPr>
        <w:t>Appendix F: Workload Classification</w:t>
      </w:r>
    </w:p>
    <w:p>
      <w:pPr>
        <w:spacing w:before="0" w:after="160"/>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(Benz and Jaax 2020).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