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29, 2026  00:18</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of global electricity demand, and that share is projected to exceed 3%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5" w:name="AykutEtAl2026txt"/>
      <w:hyperlink w:anchor="AykutEtAl2026" w:history="1">
        <w:r>
          <w:rPr>
            <w:color w:val="1F3864"/>
            <w:u w:val="single"/>
          </w:rPr>
          <w:t xml:space="preserve">Aykut et al. 2026</w:t>
        </w:r>
      </w:hyperlink>
      <w:bookmarkEnd w:id="245"/>
      <w:r>
        <w:t xml:space="preserve">) and annual cloud computing exports exceed $9 billion (</w:t>
      </w:r>
      <w:bookmarkStart w:id="260" w:name="WorldBank2025txt"/>
      <w:hyperlink w:anchor="WorldBank2025" w:history="1">
        <w:r>
          <w:rPr>
            <w:color w:val="1F3864"/>
            <w:u w:val="single"/>
          </w:rPr>
          <w:t xml:space="preserve">World Bank 2025</w:t>
        </w:r>
      </w:hyperlink>
      <w:bookmarkEnd w:id="260"/>
      <w:r>
        <w:t xml:space="preserve">).</w:t>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and makes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above is Ricardian (country-specific production costs driven by technology and input prices), but the justification for resource-rich comparative advantage is closer to the Heckscher–Ohlin: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wedge dependence on bilateral institutional alignment follows from the incomplete-contracts theory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Cost advantage and actual investment diverge sharply.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Most investment flows between geopolitical allies, consistent with the bilateral sovereignty premium rather than cost alone driving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reducing the share of global training demand available to foreign producers from 3% to 0%.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across all horizons; counties that have ever hosted a data center exhibit a 3.9 percent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of financing capital.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Countries with cheap electricity and favorable cooling conditions face a low barrier to cost-competitiveness. But even modest frictions, such as a sovereignty premium, a governance penalty, or a higher cost of capital, can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P. Cook, J. Mackovyak, H. Parmar, and M. Scheller. </w:t>
        </w:r>
      </w:hyperlink>
      <w:r>
        <w:t>(2024). Power Surge: Navigating US Electricity Demand Growth.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L. Heim, H. Belfield, M. Anderljung, M. Brundage, J. Hazell, C. O’Keefe, G. K. Hadfield, R. Ngo, K. Pilz, G. Gor, E. Bluemke, S. Shoker, J. Egan, R. F. Trager, S. Avin, A. Weller, Y. Bengio,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L. Heim, A. Ho, T. Besiroglu, M. Hobbhahn,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