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v30  —  March 03, 2026  20:28</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0" w:name="IEA2025txt"/>
      <w:hyperlink w:anchor="IEA2025" w:history="1">
        <w:r>
          <w:rPr>
            <w:color w:val="1F3864"/>
            <w:u w:val="single"/>
          </w:rPr>
          <w:t xml:space="preserve">IEA 2025</w:t>
        </w:r>
      </w:hyperlink>
      <w:bookmarkEnd w:id="230"/>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1" w:name="Firebird2026txt"/>
      <w:hyperlink w:anchor="Firebird2026" w:history="1">
        <w:r>
          <w:rPr>
            <w:color w:val="1F3864"/>
            <w:u w:val="single"/>
          </w:rPr>
          <w:t xml:space="preserve">Firebird 2026</w:t>
        </w:r>
      </w:hyperlink>
      <w:bookmarkEnd w:id="231"/>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If Kyrgyzstan builds a 40 MW AI data center, it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5" w:name="Korinek2021txt"/>
      <w:hyperlink w:anchor="Korinek2021" w:history="1">
        <w:r>
          <w:rPr>
            <w:color w:val="1F3864"/>
            <w:u w:val="single"/>
          </w:rPr>
          <w:t xml:space="preserve">Korinek and Stiglitz (2021)</w:t>
        </w:r>
      </w:hyperlink>
      <w:bookmarkEnd w:id="235"/>
      <w:r>
        <w:t xml:space="preserve"> warn that developing countries may be left behind in the AI revolution; FLOP exporting offers a route in. The concept relates to </w:t>
      </w:r>
      <w:bookmarkStart w:id="246" w:name="Hausmann2007txt"/>
      <w:hyperlink w:anchor="Hausmann2007" w:history="1">
        <w:r>
          <w:rPr>
            <w:color w:val="1F3864"/>
            <w:u w:val="single"/>
          </w:rPr>
          <w:t xml:space="preserve">Hausmann et al. (2007)</w:t>
        </w:r>
      </w:hyperlink>
      <w:bookmarkEnd w:id="246"/>
      <w:r>
        <w:t xml:space="preserve"> on export composition and growth, and to </w:t>
      </w:r>
      <w:bookmarkStart w:id="242" w:name="Limao2001txt"/>
      <w:hyperlink w:anchor="Limao2001" w:history="1">
        <w:r>
          <w:rPr>
            <w:color w:val="1F3864"/>
            <w:u w:val="single"/>
          </w:rPr>
          <w:t xml:space="preserve">Limão and Venables (2001)</w:t>
        </w:r>
      </w:hyperlink>
      <w:bookmarkEnd w:id="242"/>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3" w:name="Liu2023txt"/>
      <w:hyperlink w:anchor="Liu2023" w:history="1">
        <w:r>
          <w:rPr>
            <w:color w:val="1F3864"/>
            <w:u w:val="single"/>
          </w:rPr>
          <w:t xml:space="preserve">Liu et al. (2023)</w:t>
        </w:r>
      </w:hyperlink>
      <w:bookmarkEnd w:id="243"/>
      <w:r>
        <w:t xml:space="preserve"> study data center placement under renewable energy constraints. In international trade theory, </w:t>
      </w:r>
      <w:bookmarkStart w:id="247" w:name="Brainard1997txt"/>
      <w:hyperlink w:anchor="Brainard1997" w:history="1">
        <w:r>
          <w:rPr>
            <w:color w:val="1F3864"/>
            <w:u w:val="single"/>
          </w:rPr>
          <w:t xml:space="preserve">Brainard (1997)</w:t>
        </w:r>
      </w:hyperlink>
      <w:bookmarkEnd w:id="247"/>
      <w:r>
        <w:t xml:space="preserve"> formalizes the proximity-concentration trade-off between serving a market locally and concentrating production abroad, and </w:t>
      </w:r>
      <w:bookmarkStart w:id="236" w:name="HMY2004txt"/>
      <w:hyperlink w:anchor="HMY2004" w:history="1">
        <w:r>
          <w:rPr>
            <w:color w:val="1F3864"/>
            <w:u w:val="single"/>
          </w:rPr>
          <w:t xml:space="preserve">Helpman et al. (2004)</w:t>
        </w:r>
      </w:hyperlink>
      <w:bookmarkEnd w:id="236"/>
      <w:r>
        <w:t xml:space="preserve"> extend this to heterogeneous firms choosing between exporting and FDI.</w:t>
      </w:r>
    </w:p>
    <w:p>
      <w:pPr>
        <w:spacing w:before="0" w:after="160" w:line="360" w:lineRule="auto"/>
        <w:ind w:firstLine="0"/>
        <w:jc w:val="both"/>
      </w:pPr>
      <w:r>
        <w:t xml:space="preserve">On governance, </w:t>
      </w:r>
      <w:bookmarkStart w:id="237" w:name="Sastry2024txt"/>
      <w:hyperlink w:anchor="Sastry2024" w:history="1">
        <w:r>
          <w:rPr>
            <w:color w:val="1F3864"/>
            <w:u w:val="single"/>
          </w:rPr>
          <w:t xml:space="preserve">Sastry et al. (2024)</w:t>
        </w:r>
      </w:hyperlink>
      <w:bookmarkEnd w:id="237"/>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4" w:name="Pilz2025txt"/>
      <w:hyperlink w:anchor="Pilz2025" w:history="1">
        <w:r>
          <w:rPr>
            <w:color w:val="1F3864"/>
            <w:u w:val="single"/>
          </w:rPr>
          <w:t xml:space="preserve">Pilz et al. (2025)</w:t>
        </w:r>
      </w:hyperlink>
      <w:bookmarkEnd w:id="244"/>
      <w:r>
        <w:t xml:space="preserve"> project that data center power demand could reach 327 GW by 2030. The </w:t>
      </w:r>
      <w:bookmarkStart w:id="248" w:name="WorldBank2025txt"/>
      <w:hyperlink w:anchor="WorldBank2025" w:history="1">
        <w:r>
          <w:rPr>
            <w:color w:val="1F3864"/>
            <w:u w:val="single"/>
          </w:rPr>
          <w:t xml:space="preserve">World Bank (2025)</w:t>
        </w:r>
      </w:hyperlink>
      <w:bookmarkEnd w:id="248"/>
      <w:r>
        <w:t xml:space="preserve"> documents the resulting divide,  high-income countries hold 77% of colocation capacity,  but without a formal framework linking costs to trade patterns. </w:t>
      </w:r>
      <w:bookmarkStart w:id="238" w:name="Biglaiser2024txt"/>
      <w:hyperlink w:anchor="Biglaiser2024" w:history="1">
        <w:r>
          <w:rPr>
            <w:color w:val="1F3864"/>
            <w:u w:val="single"/>
          </w:rPr>
          <w:t xml:space="preserve">Biglaiser et al. (2024)</w:t>
        </w:r>
      </w:hyperlink>
      <w:bookmarkEnd w:id="238"/>
      <w:r>
        <w:t xml:space="preserve"> survey cloud market IO, and </w:t>
      </w:r>
      <w:bookmarkStart w:id="245" w:name="Stojkoski2024txt"/>
      <w:hyperlink w:anchor="Stojkoski2024" w:history="1">
        <w:r>
          <w:rPr>
            <w:color w:val="1F3864"/>
            <w:u w:val="single"/>
          </w:rPr>
          <w:t xml:space="preserve">Stojkoski et al. (2024)</w:t>
        </w:r>
      </w:hyperlink>
      <w:bookmarkEnd w:id="245"/>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16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0" w:name="IMF2025txt"/>
      <w:hyperlink w:anchor="IMF2025" w:history="1">
        <w:r>
          <w:rPr>
            <w:color w:val="1F3864"/>
            <w:u w:val="single"/>
          </w:rPr>
          <w:t xml:space="preserve">IMF 2025</w:t>
        </w:r>
      </w:hyperlink>
      <w:bookmarkEnd w:id="240"/>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1" w:name="ACR2012txt"/>
      <w:hyperlink w:anchor="ACR2012" w:history="1">
        <w:r>
          <w:rPr>
            <w:color w:val="1F3864"/>
            <w:u w:val="single"/>
          </w:rPr>
          <w:t xml:space="preserve">Arkolakis et al. 2012</w:t>
        </w:r>
      </w:hyperlink>
      <w:bookmarkEnd w:id="24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the specialization gains that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4"/>
    </w:p>
    <w:p>
      <w:pPr>
        <w:spacing w:before="0" w:after="80" w:line="240" w:lineRule="exact"/>
        <w:ind w:hanging="720" w:left="720"/>
        <w:jc w:val="both"/>
      </w:pPr>
      <w:bookmarkStart w:id="505"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5"/>
    </w:p>
    <w:p>
      <w:pPr>
        <w:spacing w:before="0" w:after="80" w:line="240" w:lineRule="exact"/>
        <w:ind w:hanging="720" w:left="720"/>
        <w:jc w:val="both"/>
      </w:pPr>
      <w:bookmarkStart w:id="506"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6"/>
    </w:p>
    <w:p>
      <w:pPr>
        <w:spacing w:before="0" w:after="80" w:line="240" w:lineRule="exact"/>
        <w:ind w:hanging="720" w:left="720"/>
        <w:jc w:val="both"/>
      </w:pPr>
      <w:bookmarkStart w:id="507"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7"/>
    </w:p>
    <w:p>
      <w:pPr>
        <w:spacing w:before="0" w:after="80" w:line="240" w:lineRule="exact"/>
        <w:ind w:hanging="720" w:left="720"/>
        <w:jc w:val="both"/>
      </w:pPr>
      <w:bookmarkStart w:id="508"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8"/>
    </w:p>
    <w:p>
      <w:pPr>
        <w:spacing w:before="0" w:after="80" w:line="240" w:lineRule="exact"/>
        <w:ind w:hanging="720" w:left="720"/>
        <w:jc w:val="both"/>
      </w:pPr>
      <w:bookmarkStart w:id="509"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9"/>
    </w:p>
    <w:p>
      <w:pPr>
        <w:spacing w:before="0" w:after="80" w:line="240" w:lineRule="exact"/>
        <w:ind w:hanging="720" w:left="720"/>
        <w:jc w:val="both"/>
      </w:pPr>
      <w:bookmarkStart w:id="510" w:name="Deloitte2020"/>
      <w:hyperlink w:anchor="Deloitte2020txt" w:history="1">
        <w:r>
          <w:rPr>
            <w:color w:val="1F3864"/>
            <w:u w:val="single"/>
          </w:rPr>
          <w:t xml:space="preserve">Deloitte and Google. (2020). </w:t>
        </w:r>
      </w:hyperlink>
      <w:r>
        <w:t>“Milliseconds Make Millions.” Deloitte Digital and Google.</w:t>
      </w:r>
      <w:bookmarkEnd w:id="510"/>
    </w:p>
    <w:p>
      <w:pPr>
        <w:spacing w:before="0" w:after="80" w:line="240" w:lineRule="exact"/>
        <w:ind w:hanging="720" w:left="720"/>
        <w:jc w:val="both"/>
      </w:pPr>
      <w:bookmarkStart w:id="511"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1"/>
    </w:p>
    <w:p>
      <w:pPr>
        <w:spacing w:before="0" w:after="80" w:line="240" w:lineRule="exact"/>
        <w:ind w:hanging="720" w:left="720"/>
        <w:jc w:val="both"/>
      </w:pPr>
      <w:bookmarkStart w:id="512"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2"/>
    </w:p>
    <w:p>
      <w:pPr>
        <w:spacing w:before="0" w:after="80" w:line="240" w:lineRule="exact"/>
        <w:ind w:hanging="720" w:left="720"/>
        <w:jc w:val="both"/>
      </w:pPr>
      <w:bookmarkStart w:id="51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3"/>
    </w:p>
    <w:p>
      <w:pPr>
        <w:spacing w:before="0" w:after="80" w:line="240" w:lineRule="exact"/>
        <w:ind w:hanging="720" w:left="720"/>
        <w:jc w:val="both"/>
      </w:pPr>
      <w:bookmarkStart w:id="514" w:name="EpochAI2024"/>
      <w:hyperlink w:anchor="EpochAI2024txt" w:history="1">
        <w:r>
          <w:rPr>
            <w:color w:val="1F3864"/>
            <w:u w:val="single"/>
          </w:rPr>
          <w:t xml:space="preserve">Epoch AI. (2024). </w:t>
        </w:r>
      </w:hyperlink>
      <w:r>
        <w:t>“The Training Compute of Notable AI Models.” epochai.org.</w:t>
      </w:r>
      <w:bookmarkEnd w:id="514"/>
    </w:p>
    <w:p>
      <w:pPr>
        <w:spacing w:before="0" w:after="80" w:line="240" w:lineRule="exact"/>
        <w:ind w:hanging="720" w:left="720"/>
        <w:jc w:val="both"/>
      </w:pPr>
      <w:bookmarkStart w:id="515"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hyperlink w:anchor="Google2024txt" w:history="1">
        <w:r>
          <w:rPr>
            <w:color w:val="1F3864"/>
            <w:u w:val="single"/>
          </w:rPr>
          <w:t xml:space="preserve">Google. </w:t>
        </w:r>
      </w:hyperlink>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7" w:name="WorldBank2024txt"/>
      <w:hyperlink w:anchor="WorldBank2024" w:history="1">
        <w:r>
          <w:rPr>
            <w:i/>
            <w:color w:val="1F3864"/>
            <w:u w:val="single"/>
          </w:rPr>
          <w:t xml:space="preserve">World Bank</w:t>
        </w:r>
      </w:hyperlink>
      <w:bookmarkEnd w:id="227"/>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28" w:name="WorldBank2024txt"/>
      <w:hyperlink w:anchor="WorldBank2024" w:history="1">
        <w:r>
          <w:rPr>
            <w:color w:val="1F3864"/>
            <w:u w:val="single"/>
          </w:rPr>
          <w:t xml:space="preserve">World Bank</w:t>
        </w:r>
      </w:hyperlink>
      <w:bookmarkEnd w:id="228"/>
      <w:r>
        <w:t xml:space="preserve">.</w:t>
      </w:r>
      <w:bookmarkEnd w:id="541"/>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29" w:name="ABD2020txt"/>
      <w:hyperlink w:anchor="ABD2020" w:history="1">
        <w:r>
          <w:rPr>
            <w:color w:val="1F3864"/>
            <w:u w:val="single"/>
          </w:rPr>
          <w:t xml:space="preserve">ABD 2020</w:t>
        </w:r>
      </w:hyperlink>
      <w:bookmarkEnd w:id="229"/>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j with positive compute demand such that </w:t>
      </w:r>
      <m:oMath>
        <m:sSub>
          <m:sSubPr/>
          <m:e>
            <m:r>
              <m:rPr>
                <m:sty m:val="i"/>
              </m:rPr>
              <w:rPr>
                <w:rFonts w:ascii="Cambria Math" w:hAnsi="Cambria Math"/>
              </w:rPr>
              <m:t xml:space="preserve">d</m:t>
            </m:r>
          </m:e>
          <m:sub>
            <m:r>
              <m:rPr>
                <m:sty m:val="i"/>
              </m:rPr>
              <w:rPr>
                <w:rFonts w:ascii="Cambria Math" w:hAnsi="Cambria Math"/>
              </w:rPr>
              <m:t xml:space="preserve">ij</m:t>
            </m:r>
          </m:sub>
        </m:sSub>
        <m:r>
          <m:rPr>
            <m:sty m:val="p"/>
          </m:rPr>
          <w:rPr>
            <w:rFonts w:ascii="Cambria Math" w:hAnsi="Cambria Math"/>
          </w:rPr>
          <m:t xml:space="preserve"> &lt; </m:t>
        </m:r>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A hypothetical country with the globally lowest production cost but round-trip latency exceeding </w:t>
      </w:r>
      <m:oMath>
        <m:sSub>
          <m:sSubPr/>
          <m:e>
            <m:r>
              <m:rPr>
                <m:sty m:val="i"/>
              </m:rPr>
              <w:rPr>
                <w:rFonts w:ascii="Cambria Math" w:hAnsi="Cambria Math"/>
              </w:rPr>
              <m:t xml:space="preserve">τ</m:t>
            </m:r>
          </m:e>
          <m:sub>
            <m:r>
              <m:rPr>
                <m:sty m:val="i"/>
              </m:rPr>
              <w:rPr>
                <w:rFonts w:ascii="Cambria Math" w:hAnsi="Cambria Math"/>
              </w:rPr>
              <m:t xml:space="preserve">max</m:t>
            </m:r>
          </m:sub>
        </m:sSub>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