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23:29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rPr>
          <w:rFonts w:ascii="Times New Roman" w:hAnsi="Times New Roman"/>
          <w:b w:val="0"/>
          <w:i/>
          <w:sz w:val="24"/>
        </w:rPr>
        <w:t xml:space="preserve">Fiscal sustainability. </w:t>
      </w:r>
      <w:r>
        <w:t>Even after adjusting for cost-recovery pricing, fiscal sustainability remains a concern.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3168"/>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3168"/>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3168"/>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3168"/>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3168"/>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3168"/>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3168"/>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3168"/>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3168"/>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3168"/>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3168"/>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3168"/>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3168"/>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