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jc w:val="center"/>
      </w:pPr>
      <w:r>
        <w:rPr>
          <w:rFonts w:ascii="Times New Roman" w:hAnsi="Times New Roman"/>
          <w:b/>
          <w:sz w:val="32"/>
        </w:rPr>
        <w:t>Comparative Advantage in Compute Exports:</w:t>
        <w:br/>
        <w:t>A Two-Segment Model with Heterogeneous Trade Costs</w:t>
      </w:r>
    </w:p>
    <w:p>
      <w:pPr>
        <w:pStyle w:val="Heading2"/>
      </w:pPr>
      <w:r>
        <w:t>Abstract</w:t>
      </w:r>
    </w:p>
    <w:p>
      <w:pPr>
        <w:ind w:firstLine="720"/>
      </w:pPr>
      <w:r>
        <w:t>This note models international trade in computational capacity (FLOPs) by distinguishing training compute (latency-insensitive, fully tradable) from inference compute (latency-sensitive, regionally tradable). The asymmetry generates comparative advantage: remote countries with cheap energy specialize in training exports, while countries proximate to demand centers retain advantage in inference. We derive entry conditions for developing countries, characterize the demand center’s make-or-buy decision across four sourcing regimes, and outline a calibration strategy using electricity prices, network latency, and data center deployment data.</w:t>
      </w:r>
    </w:p>
    <w:p>
      <w:pPr>
        <w:pStyle w:val="Heading1"/>
      </w:pPr>
      <w:r>
        <w:t>1. Model Setup</w:t>
      </w:r>
    </w:p>
    <w:p>
      <w:pPr>
        <w:ind w:firstLine="720"/>
      </w:pPr>
      <w:r>
        <w:t xml:space="preserve">Consider </w:t>
      </w:r>
      <m:oMath>
        <m:r>
          <m:rPr/>
          <w:rPr>
            <w:rFonts w:ascii="Cambria Math" w:hAnsi="Cambria Math"/>
          </w:rPr>
          <m:t>N</m:t>
        </m:r>
      </m:oMath>
      <w:r>
        <w:t xml:space="preserve"> countries producing compute services. We distinguish </w:t>
      </w:r>
      <w:r>
        <w:rPr>
          <w:b/>
        </w:rPr>
        <w:t>training compute</w:t>
      </w:r>
      <w:r>
        <w:t xml:space="preserve"> (batch workloads: model training, fine-tuning, data processing; latency irrelevant) from </w:t>
      </w:r>
      <w:r>
        <w:rPr>
          <w:b/>
        </w:rPr>
        <w:t>inference compute</w:t>
      </w:r>
      <w:r>
        <w:t xml:space="preserve"> (real-time workloads: chatbot responses, recommendations; quality degrades with latency).</w:t>
      </w:r>
    </w:p>
    <w:p>
      <w:pPr>
        <w:pStyle w:val="Heading2"/>
      </w:pPr>
      <w:r>
        <w:t>1.1 Production Technology</w:t>
      </w:r>
    </w:p>
    <w:p>
      <w:pPr>
        <w:ind w:firstLine="720"/>
      </w:pPr>
      <w:r>
        <w:t xml:space="preserve">The unit cost of producing one FLOP in country </w:t>
      </w:r>
      <m:oMath>
        <m:r>
          <m:rPr/>
          <w:rPr>
            <w:rFonts w:ascii="Cambria Math" w:hAnsi="Cambria Math"/>
          </w:rPr>
          <m:t>j</m:t>
        </m:r>
      </m:oMath>
      <w:r>
        <w:t xml:space="preserve"> is:</w:t>
      </w:r>
    </w:p>
    <w:tbl>
      <w:tblPr>
        <w:jc w:val="center"/>
        <w:tblLook w:firstColumn="1" w:firstRow="1" w:lastColumn="0" w:lastRow="0" w:noHBand="0" w:noVBand="1" w:val="04A0"/>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320"/>
        <w:gridCol w:w="4320"/>
      </w:tblGrid>
      <w:tr>
        <w:tc>
          <w:tcPr>
            <w:tcW w:type="dxa" w:w="4320"/>
            <w:tcW w:w="8460" w:type="dxa"/>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jc w:val="center"/>
              <w:spacing w:before="0" w:after="0"/>
            </w:pPr>
            <m:oMathPara>
              <m:oMath>
                <m:sSub>
                  <m:sSubPr/>
                  <m:e>
                    <m:r>
                      <m:rPr/>
                      <w:rPr>
                        <w:rFonts w:ascii="Cambria Math" w:hAnsi="Cambria Math"/>
                      </w:rPr>
                      <m:t>c</m:t>
                    </m:r>
                  </m:e>
                  <m:sub>
                    <m:r>
                      <m:rPr/>
                      <w:rPr>
                        <w:rFonts w:ascii="Cambria Math" w:hAnsi="Cambria Math"/>
                      </w:rPr>
                      <m:t>j</m:t>
                    </m:r>
                  </m:sub>
                </m:sSub>
                <m:r>
                  <m:rPr>
                    <m:sty m:val="p"/>
                  </m:rPr>
                  <w:rPr>
                    <w:rFonts w:ascii="Cambria Math" w:hAnsi="Cambria Math"/>
                  </w:rPr>
                  <m:t> = (</m:t>
                </m:r>
                <m:r>
                  <m:rPr/>
                  <w:rPr>
                    <w:rFonts w:ascii="Cambria Math" w:hAnsi="Cambria Math"/>
                  </w:rPr>
                  <m:t>α</m:t>
                </m:r>
                <m:r>
                  <m:rPr>
                    <m:sty m:val="p"/>
                  </m:rPr>
                  <w:rPr>
                    <w:rFonts w:ascii="Cambria Math" w:hAnsi="Cambria Math"/>
                  </w:rPr>
                  <m:t> + </m:t>
                </m:r>
                <m:r>
                  <m:rPr/>
                  <w:rPr>
                    <w:rFonts w:ascii="Cambria Math" w:hAnsi="Cambria Math"/>
                  </w:rPr>
                  <m:t>δγ(</m:t>
                </m:r>
                <m:sSub>
                  <m:sSubPr/>
                  <m:e>
                    <m:r>
                      <m:rPr/>
                      <w:rPr>
                        <w:rFonts w:ascii="Cambria Math" w:hAnsi="Cambria Math"/>
                      </w:rPr>
                      <m:t>θ</m:t>
                    </m:r>
                  </m:e>
                  <m:sub>
                    <m:r>
                      <m:rPr/>
                      <w:rPr>
                        <w:rFonts w:ascii="Cambria Math" w:hAnsi="Cambria Math"/>
                      </w:rPr>
                      <m:t>j</m:t>
                    </m:r>
                  </m:sub>
                </m:sSub>
                <m:r>
                  <m:rPr/>
                  <w:rPr>
                    <w:rFonts w:ascii="Cambria Math" w:hAnsi="Cambria Math"/>
                  </w:rPr>
                  <m:t>)</m:t>
                </m:r>
                <m:r>
                  <m:rPr>
                    <m:sty m:val="p"/>
                  </m:rPr>
                  <w:rPr>
                    <w:rFonts w:ascii="Cambria Math" w:hAnsi="Cambria Math"/>
                  </w:rPr>
                  <m:t>)</m:t>
                </m:r>
                <m:sSubSup>
                  <m:sSubSupPr/>
                  <m:e>
                    <m:r>
                      <m:rPr>
                        <m:sty m:val="p"/>
                      </m:rPr>
                      <w:rPr>
                        <w:rFonts w:ascii="Cambria Math" w:hAnsi="Cambria Math"/>
                      </w:rPr>
                      <m:t>p</m:t>
                    </m:r>
                  </m:e>
                  <m:sub>
                    <m:r>
                      <m:rPr/>
                      <w:rPr>
                        <w:rFonts w:ascii="Cambria Math" w:hAnsi="Cambria Math"/>
                      </w:rPr>
                      <m:t>j</m:t>
                    </m:r>
                  </m:sub>
                  <m:sup>
                    <m:r>
                      <m:rPr/>
                      <w:rPr>
                        <w:rFonts w:ascii="Cambria Math" w:hAnsi="Cambria Math"/>
                      </w:rPr>
                      <m:t>E</m:t>
                    </m:r>
                  </m:sup>
                </m:sSubSup>
                <m:r>
                  <m:rPr>
                    <m:sty m:val="p"/>
                  </m:rPr>
                  <w:rPr>
                    <w:rFonts w:ascii="Cambria Math" w:hAnsi="Cambria Math"/>
                  </w:rPr>
                  <m:t> + βr + η</m:t>
                </m:r>
                <m:sSubSup>
                  <m:sSubSupPr/>
                  <m:e>
                    <m:r>
                      <m:rPr>
                        <m:sty m:val="p"/>
                      </m:rPr>
                      <w:rPr>
                        <w:rFonts w:ascii="Cambria Math" w:hAnsi="Cambria Math"/>
                      </w:rPr>
                      <m:t>p</m:t>
                    </m:r>
                  </m:e>
                  <m:sub>
                    <m:r>
                      <m:rPr/>
                      <w:rPr>
                        <w:rFonts w:ascii="Cambria Math" w:hAnsi="Cambria Math"/>
                      </w:rPr>
                      <m:t>j</m:t>
                    </m:r>
                  </m:sub>
                  <m:sup>
                    <m:r>
                      <m:rPr/>
                      <w:rPr>
                        <w:rFonts w:ascii="Cambria Math" w:hAnsi="Cambria Math"/>
                      </w:rPr>
                      <m:t>L</m:t>
                    </m:r>
                  </m:sup>
                </m:sSubSup>
              </m:oMath>
            </m:oMathPara>
          </w:p>
        </w:tc>
        <w:tc>
          <w:tcPr>
            <w:tcW w:type="dxa" w:w="4320"/>
            <w:tcW w:w="900" w:type="dxa"/>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jc w:val="right"/>
              <w:spacing w:before="0" w:after="0"/>
            </w:pPr>
            <w:r>
              <w:t>(1)</w:t>
            </w:r>
          </w:p>
        </w:tc>
      </w:tr>
    </w:tbl>
    <w:p>
      <w:pPr>
        <w:ind w:firstLine="720"/>
      </w:pPr>
      <w:r>
        <w:t xml:space="preserve">where α is energy intensity per FLOP, δγ(θ) captures cooling costs (increasing in temperature), </w:t>
      </w:r>
      <m:oMath>
        <m:sSubSup>
          <m:sSubSupPr/>
          <m:e>
            <m:r>
              <m:rPr>
                <m:sty m:val="p"/>
              </m:rPr>
              <w:rPr>
                <w:rFonts w:ascii="Cambria Math" w:hAnsi="Cambria Math"/>
              </w:rPr>
              <m:t>p</m:t>
            </m:r>
          </m:e>
          <m:sub>
            <m:r>
              <m:rPr/>
              <w:rPr>
                <w:rFonts w:ascii="Cambria Math" w:hAnsi="Cambria Math"/>
              </w:rPr>
              <m:t>j</m:t>
            </m:r>
          </m:sub>
          <m:sup>
            <m:r>
              <m:rPr/>
              <w:rPr>
                <w:rFonts w:ascii="Cambria Math" w:hAnsi="Cambria Math"/>
              </w:rPr>
              <m:t>E</m:t>
            </m:r>
          </m:sup>
        </m:sSubSup>
      </m:oMath>
      <w:r>
        <w:t xml:space="preserve"> is the electricity price, βr is the hardware rental cost (common across countries because GPU prices are set globally), and </w:t>
      </w:r>
      <m:oMath>
        <m:r>
          <m:rPr/>
          <w:rPr>
            <w:rFonts w:ascii="Cambria Math" w:hAnsi="Cambria Math"/>
          </w:rPr>
          <m:t>η</m:t>
        </m:r>
        <m:sSubSup>
          <m:sSubSupPr/>
          <m:e>
            <m:r>
              <m:rPr>
                <m:sty m:val="p"/>
              </m:rPr>
              <w:rPr>
                <w:rFonts w:ascii="Cambria Math" w:hAnsi="Cambria Math"/>
              </w:rPr>
              <m:t>p</m:t>
            </m:r>
          </m:e>
          <m:sub>
            <m:r>
              <m:rPr/>
              <w:rPr>
                <w:rFonts w:ascii="Cambria Math" w:hAnsi="Cambria Math"/>
              </w:rPr>
              <m:t>j</m:t>
            </m:r>
          </m:sub>
          <m:sup>
            <m:r>
              <m:rPr/>
              <w:rPr>
                <w:rFonts w:ascii="Cambria Math" w:hAnsi="Cambria Math"/>
              </w:rPr>
              <m:t>L</m:t>
            </m:r>
          </m:sup>
        </m:sSubSup>
      </m:oMath>
      <w:r>
        <w:t xml:space="preserve"> is the land cost. Since βr is common, cross-country cost variation reduces to a country-specific component </w:t>
      </w:r>
      <m:oMath>
        <m:sSub>
          <m:sSubPr/>
          <m:e>
            <m:r>
              <m:rPr/>
              <w:rPr>
                <w:rFonts w:ascii="Cambria Math" w:hAnsi="Cambria Math"/>
              </w:rPr>
              <m:t>ĉ</m:t>
            </m:r>
          </m:e>
          <m:sub>
            <m:r>
              <m:rPr/>
              <w:rPr>
                <w:rFonts w:ascii="Cambria Math" w:hAnsi="Cambria Math"/>
              </w:rPr>
              <m:t>j</m:t>
            </m:r>
          </m:sub>
        </m:sSub>
        <m:r>
          <m:rPr>
            <m:sty m:val="p"/>
          </m:rPr>
          <w:rPr>
            <w:rFonts w:ascii="Cambria Math" w:hAnsi="Cambria Math"/>
          </w:rPr>
          <m:t> ≡ </m:t>
        </m:r>
        <m:sSub>
          <m:sSubPr/>
          <m:e>
            <m:r>
              <m:rPr/>
              <w:rPr>
                <w:rFonts w:ascii="Cambria Math" w:hAnsi="Cambria Math"/>
              </w:rPr>
              <m:t>c</m:t>
            </m:r>
          </m:e>
          <m:sub>
            <m:r>
              <m:rPr/>
              <w:rPr>
                <w:rFonts w:ascii="Cambria Math" w:hAnsi="Cambria Math"/>
              </w:rPr>
              <m:t>j</m:t>
            </m:r>
          </m:sub>
        </m:sSub>
        <m:r>
          <m:rPr>
            <m:sty m:val="p"/>
          </m:rPr>
          <w:rPr>
            <w:rFonts w:ascii="Cambria Math" w:hAnsi="Cambria Math"/>
          </w:rPr>
          <m:t> − βr</m:t>
        </m:r>
      </m:oMath>
      <w:r>
        <w:t xml:space="preserve"> determined entirely by energy, climate, and land.</w:t>
      </w:r>
    </w:p>
    <w:p>
      <w:pPr>
        <w:pStyle w:val="Heading2"/>
      </w:pPr>
      <w:r>
        <w:t>1.2 Trade Costs</w:t>
      </w:r>
    </w:p>
    <w:p>
      <w:pPr>
        <w:ind w:firstLine="720"/>
      </w:pPr>
      <w:r>
        <w:t xml:space="preserve">Trade costs differ across segments. Let </w:t>
      </w:r>
      <m:oMath>
        <m:sSub>
          <m:sSubPr/>
          <m:e>
            <m:r>
              <m:rPr/>
              <w:rPr>
                <w:rFonts w:ascii="Cambria Math" w:hAnsi="Cambria Math"/>
              </w:rPr>
              <m:t>l</m:t>
            </m:r>
          </m:e>
          <m:sub>
            <m:r>
              <m:rPr/>
              <w:rPr>
                <w:rFonts w:ascii="Cambria Math" w:hAnsi="Cambria Math"/>
              </w:rPr>
              <m:t>jk</m:t>
            </m:r>
          </m:sub>
        </m:sSub>
      </m:oMath>
      <w:r>
        <w:t xml:space="preserve"> denote one-way latency (round-trip time) between countries </w:t>
      </w:r>
      <m:oMath>
        <m:r>
          <m:rPr/>
          <w:rPr>
            <w:rFonts w:ascii="Cambria Math" w:hAnsi="Cambria Math"/>
          </w:rPr>
          <m:t>j</m:t>
        </m:r>
      </m:oMath>
      <w:r>
        <w:t xml:space="preserve"> and </w:t>
      </w:r>
      <m:oMath>
        <m:r>
          <m:rPr/>
          <w:rPr>
            <w:rFonts w:ascii="Cambria Math" w:hAnsi="Cambria Math"/>
          </w:rPr>
          <m:t>k</m:t>
        </m:r>
      </m:oMath>
      <w:r>
        <w:t xml:space="preserve">, determined by fiber-optic distance. For training, trade costs are negligible: the client ships data once, receives results after hours or weeks, and the iceberg factor is </w:t>
      </w:r>
      <m:oMath>
        <m:sSup>
          <m:sSupPr/>
          <m:e>
            <m:r>
              <m:rPr/>
              <w:rPr>
                <w:rFonts w:ascii="Cambria Math" w:hAnsi="Cambria Math"/>
              </w:rPr>
              <m:t>τ</m:t>
            </m:r>
          </m:e>
          <m:sup>
            <m:r>
              <m:rPr/>
              <w:rPr>
                <w:rFonts w:ascii="Cambria Math" w:hAnsi="Cambria Math"/>
              </w:rPr>
              <m:t>T</m:t>
            </m:r>
          </m:sup>
        </m:sSup>
        <m:r>
          <m:rPr>
            <m:sty m:val="p"/>
          </m:rPr>
          <w:rPr>
            <w:rFonts w:ascii="Cambria Math" w:hAnsi="Cambria Math"/>
          </w:rPr>
          <m:t> = 1</m:t>
        </m:r>
      </m:oMath>
      <w:r>
        <w:t>. For inference, latency degrades service quality. We model this as a Samuelson iceberg cost that is zero below a perceptual threshold and increasing above it:</w:t>
      </w:r>
    </w:p>
    <w:tbl>
      <w:tblPr>
        <w:jc w:val="center"/>
        <w:tblLook w:firstColumn="1" w:firstRow="1" w:lastColumn="0" w:lastRow="0" w:noHBand="0" w:noVBand="1" w:val="04A0"/>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320"/>
        <w:gridCol w:w="4320"/>
      </w:tblGrid>
      <w:tr>
        <w:tc>
          <w:tcPr>
            <w:tcW w:type="dxa" w:w="4320"/>
            <w:tcW w:w="8460" w:type="dxa"/>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jc w:val="center"/>
              <w:spacing w:before="0" w:after="0"/>
            </w:pPr>
            <m:oMathPara>
              <m:oMath>
                <m:sSup>
                  <m:sSupPr/>
                  <m:e>
                    <m:r>
                      <m:rPr/>
                      <w:rPr>
                        <w:rFonts w:ascii="Cambria Math" w:hAnsi="Cambria Math"/>
                      </w:rPr>
                      <m:t>τ</m:t>
                    </m:r>
                  </m:e>
                  <m:sup>
                    <m:r>
                      <m:rPr/>
                      <w:rPr>
                        <w:rFonts w:ascii="Cambria Math" w:hAnsi="Cambria Math"/>
                      </w:rPr>
                      <m:t>I</m:t>
                    </m:r>
                  </m:sup>
                </m:sSup>
                <m:r>
                  <m:rPr>
                    <m:sty m:val="p"/>
                  </m:rPr>
                  <w:rPr>
                    <w:rFonts w:ascii="Cambria Math" w:hAnsi="Cambria Math"/>
                  </w:rPr>
                  <m:t>(</m:t>
                </m:r>
                <m:sSub>
                  <m:sSubPr/>
                  <m:e>
                    <m:r>
                      <m:rPr/>
                      <w:rPr>
                        <w:rFonts w:ascii="Cambria Math" w:hAnsi="Cambria Math"/>
                      </w:rPr>
                      <m:t>l</m:t>
                    </m:r>
                  </m:e>
                  <m:sub>
                    <m:r>
                      <m:rPr/>
                      <w:rPr>
                        <w:rFonts w:ascii="Cambria Math" w:hAnsi="Cambria Math"/>
                      </w:rPr>
                      <m:t>jk</m:t>
                    </m:r>
                  </m:sub>
                </m:sSub>
                <m:r>
                  <m:rPr>
                    <m:sty m:val="p"/>
                  </m:rPr>
                  <w:rPr>
                    <w:rFonts w:ascii="Cambria Math" w:hAnsi="Cambria Math"/>
                  </w:rPr>
                  <m:t>) = 1</m:t>
                </m:r>
                <m:r>
                  <m:rPr>
                    <m:sty m:val="p"/>
                  </m:rPr>
                  <w:rPr>
                    <w:rFonts w:ascii="Cambria Math" w:hAnsi="Cambria Math"/>
                  </w:rPr>
                  <m:t>                    </m:t>
                </m:r>
                <m:r>
                  <m:rPr>
                    <m:sty m:val="p"/>
                  </m:rPr>
                  <w:rPr>
                    <w:rFonts w:ascii="Cambria Math" w:hAnsi="Cambria Math"/>
                  </w:rPr>
                  <m:t>if  </m:t>
                </m:r>
                <m:sSub>
                  <m:sSubPr/>
                  <m:e>
                    <m:r>
                      <m:rPr/>
                      <w:rPr>
                        <w:rFonts w:ascii="Cambria Math" w:hAnsi="Cambria Math"/>
                      </w:rPr>
                      <m:t>l</m:t>
                    </m:r>
                  </m:e>
                  <m:sub>
                    <m:r>
                      <m:rPr/>
                      <w:rPr>
                        <w:rFonts w:ascii="Cambria Math" w:hAnsi="Cambria Math"/>
                      </w:rPr>
                      <m:t>jk</m:t>
                    </m:r>
                  </m:sub>
                </m:sSub>
                <m:r>
                  <m:rPr>
                    <m:sty m:val="p"/>
                  </m:rPr>
                  <w:rPr>
                    <w:rFonts w:ascii="Cambria Math" w:hAnsi="Cambria Math"/>
                  </w:rPr>
                  <m:t> ≤ </m:t>
                </m:r>
                <m:r>
                  <m:rPr/>
                  <w:rPr>
                    <w:rFonts w:ascii="Cambria Math" w:hAnsi="Cambria Math"/>
                  </w:rPr>
                  <m:t>l̄</m:t>
                </m:r>
              </m:oMath>
            </m:oMathPara>
          </w:p>
          <w:p>
            <w:pPr>
              <w:jc w:val="center"/>
              <w:spacing w:before="0" w:after="0"/>
            </w:pPr>
            <m:oMathPara>
              <m:oMath>
                <m:sSup>
                  <m:sSupPr/>
                  <m:e>
                    <m:r>
                      <m:rPr/>
                      <w:rPr>
                        <w:rFonts w:ascii="Cambria Math" w:hAnsi="Cambria Math"/>
                      </w:rPr>
                      <m:t>τ</m:t>
                    </m:r>
                  </m:e>
                  <m:sup>
                    <m:r>
                      <m:rPr/>
                      <w:rPr>
                        <w:rFonts w:ascii="Cambria Math" w:hAnsi="Cambria Math"/>
                      </w:rPr>
                      <m:t>I</m:t>
                    </m:r>
                  </m:sup>
                </m:sSup>
                <m:r>
                  <m:rPr>
                    <m:sty m:val="p"/>
                  </m:rPr>
                  <w:rPr>
                    <w:rFonts w:ascii="Cambria Math" w:hAnsi="Cambria Math"/>
                  </w:rPr>
                  <m:t>(</m:t>
                </m:r>
                <m:sSub>
                  <m:sSubPr/>
                  <m:e>
                    <m:r>
                      <m:rPr/>
                      <w:rPr>
                        <w:rFonts w:ascii="Cambria Math" w:hAnsi="Cambria Math"/>
                      </w:rPr>
                      <m:t>l</m:t>
                    </m:r>
                  </m:e>
                  <m:sub>
                    <m:r>
                      <m:rPr/>
                      <w:rPr>
                        <w:rFonts w:ascii="Cambria Math" w:hAnsi="Cambria Math"/>
                      </w:rPr>
                      <m:t>jk</m:t>
                    </m:r>
                  </m:sub>
                </m:sSub>
                <m:r>
                  <m:rPr>
                    <m:sty m:val="p"/>
                  </m:rPr>
                  <w:rPr>
                    <w:rFonts w:ascii="Cambria Math" w:hAnsi="Cambria Math"/>
                  </w:rPr>
                  <m:t>) = 1 + σ(</m:t>
                </m:r>
                <m:sSub>
                  <m:sSubPr/>
                  <m:e>
                    <m:r>
                      <m:rPr/>
                      <w:rPr>
                        <w:rFonts w:ascii="Cambria Math" w:hAnsi="Cambria Math"/>
                      </w:rPr>
                      <m:t>l</m:t>
                    </m:r>
                  </m:e>
                  <m:sub>
                    <m:r>
                      <m:rPr/>
                      <w:rPr>
                        <w:rFonts w:ascii="Cambria Math" w:hAnsi="Cambria Math"/>
                      </w:rPr>
                      <m:t>jk</m:t>
                    </m:r>
                  </m:sub>
                </m:sSub>
                <m:r>
                  <m:rPr>
                    <m:sty m:val="p"/>
                  </m:rPr>
                  <w:rPr>
                    <w:rFonts w:ascii="Cambria Math" w:hAnsi="Cambria Math"/>
                  </w:rPr>
                  <m:t> − </m:t>
                </m:r>
                <m:r>
                  <m:rPr/>
                  <w:rPr>
                    <w:rFonts w:ascii="Cambria Math" w:hAnsi="Cambria Math"/>
                  </w:rPr>
                  <m:t>l̄</m:t>
                </m:r>
                <m:r>
                  <m:rPr>
                    <m:sty m:val="p"/>
                  </m:rPr>
                  <w:rPr>
                    <w:rFonts w:ascii="Cambria Math" w:hAnsi="Cambria Math"/>
                  </w:rPr>
                  <m:t>)</m:t>
                </m:r>
                <m:r>
                  <m:rPr>
                    <m:sty m:val="p"/>
                  </m:rPr>
                  <w:rPr>
                    <w:rFonts w:ascii="Cambria Math" w:hAnsi="Cambria Math"/>
                  </w:rPr>
                  <m:t>       </m:t>
                </m:r>
                <m:r>
                  <m:rPr>
                    <m:sty m:val="p"/>
                  </m:rPr>
                  <w:rPr>
                    <w:rFonts w:ascii="Cambria Math" w:hAnsi="Cambria Math"/>
                  </w:rPr>
                  <m:t>if  </m:t>
                </m:r>
                <m:sSub>
                  <m:sSubPr/>
                  <m:e>
                    <m:r>
                      <m:rPr/>
                      <w:rPr>
                        <w:rFonts w:ascii="Cambria Math" w:hAnsi="Cambria Math"/>
                      </w:rPr>
                      <m:t>l</m:t>
                    </m:r>
                  </m:e>
                  <m:sub>
                    <m:r>
                      <m:rPr/>
                      <w:rPr>
                        <w:rFonts w:ascii="Cambria Math" w:hAnsi="Cambria Math"/>
                      </w:rPr>
                      <m:t>jk</m:t>
                    </m:r>
                  </m:sub>
                </m:sSub>
                <m:r>
                  <m:rPr>
                    <m:sty m:val="p"/>
                  </m:rPr>
                  <w:rPr>
                    <w:rFonts w:ascii="Cambria Math" w:hAnsi="Cambria Math"/>
                  </w:rPr>
                  <m:t> &gt; </m:t>
                </m:r>
                <m:r>
                  <m:rPr/>
                  <w:rPr>
                    <w:rFonts w:ascii="Cambria Math" w:hAnsi="Cambria Math"/>
                  </w:rPr>
                  <m:t>l̄</m:t>
                </m:r>
              </m:oMath>
            </m:oMathPara>
          </w:p>
        </w:tc>
        <w:tc>
          <w:tcPr>
            <w:tcW w:type="dxa" w:w="4320"/>
            <w:tcW w:w="900" w:type="dxa"/>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jc w:val="right"/>
              <w:spacing w:before="0" w:after="0"/>
            </w:pPr>
            <w:r>
              <w:t>(2)</w:t>
            </w:r>
          </w:p>
        </w:tc>
      </w:tr>
    </w:tbl>
    <w:p>
      <w:pPr>
        <w:ind w:firstLine="720"/>
      </w:pPr>
      <w:r>
        <w:t xml:space="preserve">Equation (2) is the key trade-cost specification. The parameter </w:t>
      </w:r>
      <m:oMath>
        <m:r>
          <m:rPr/>
          <w:rPr>
            <w:rFonts w:ascii="Cambria Math" w:hAnsi="Cambria Math"/>
          </w:rPr>
          <m:t>l̄</m:t>
        </m:r>
      </m:oMath>
      <w:r>
        <w:t xml:space="preserve"> ≈ 40 ms is the latency threshold below which users perceive no quality degradation — empirically, the round-trip time within which a chatbot response feels instantaneous. Below this threshold the iceberg factor equals one: compute delivered from abroad is a perfect substitute for domestic compute, just as in training. Above the threshold, each additional millisecond of latency imposes a proportional quality penalty governed by </w:t>
      </w:r>
      <m:oMath>
        <m:r>
          <m:rPr/>
          <w:rPr>
            <w:rFonts w:ascii="Cambria Math" w:hAnsi="Cambria Math"/>
          </w:rPr>
          <m:t>σ</m:t>
        </m:r>
      </m:oMath>
      <w:r>
        <w:t xml:space="preserve">. This functions exactly like a per-unit trade cost in the Samuelson framework: the buyer must purchase </w:t>
      </w:r>
      <m:oMath>
        <m:sSup>
          <m:sSupPr/>
          <m:e>
            <m:r>
              <m:rPr/>
              <w:rPr>
                <w:rFonts w:ascii="Cambria Math" w:hAnsi="Cambria Math"/>
              </w:rPr>
              <m:t>τ</m:t>
            </m:r>
          </m:e>
          <m:sup>
            <m:r>
              <m:rPr/>
              <w:rPr>
                <w:rFonts w:ascii="Cambria Math" w:hAnsi="Cambria Math"/>
              </w:rPr>
              <m:t>I</m:t>
            </m:r>
          </m:sup>
        </m:sSup>
        <m:r>
          <m:rPr>
            <m:sty m:val="p"/>
          </m:rPr>
          <w:rPr>
            <w:rFonts w:ascii="Cambria Math" w:hAnsi="Cambria Math"/>
          </w:rPr>
          <m:t> &gt; 1</m:t>
        </m:r>
      </m:oMath>
      <w:r>
        <w:t xml:space="preserve"> units of foreign compute to receive one effective unit of service. The piecewise structure means that countries within the latency threshold of a demand center face zero trade costs for inference — they compete on production costs alone — while countries beyond the threshold face a distance penalty that scales linearly with excess latency. Under perfect competition, the delivered price of compute from country </w:t>
      </w:r>
      <m:oMath>
        <m:r>
          <m:rPr/>
          <w:rPr>
            <w:rFonts w:ascii="Cambria Math" w:hAnsi="Cambria Math"/>
          </w:rPr>
          <m:t>j</m:t>
        </m:r>
      </m:oMath>
      <w:r>
        <w:t xml:space="preserve"> to demand center </w:t>
      </w:r>
      <m:oMath>
        <m:r>
          <m:rPr/>
          <w:rPr>
            <w:rFonts w:ascii="Cambria Math" w:hAnsi="Cambria Math"/>
          </w:rPr>
          <m:t>k</m:t>
        </m:r>
      </m:oMath>
      <w:r>
        <w:t xml:space="preserve"> is </w:t>
      </w:r>
      <m:oMath>
        <m:sSub>
          <m:sSubPr/>
          <m:e>
            <m:r>
              <m:rPr/>
              <w:rPr>
                <w:rFonts w:ascii="Cambria Math" w:hAnsi="Cambria Math"/>
              </w:rPr>
              <m:t>c</m:t>
            </m:r>
          </m:e>
          <m:sub>
            <m:r>
              <m:rPr/>
              <w:rPr>
                <w:rFonts w:ascii="Cambria Math" w:hAnsi="Cambria Math"/>
              </w:rPr>
              <m:t>j</m:t>
            </m:r>
          </m:sub>
        </m:sSub>
        <m:r>
          <m:rPr>
            <m:sty m:val="p"/>
          </m:rPr>
          <w:rPr>
            <w:rFonts w:ascii="Cambria Math" w:hAnsi="Cambria Math"/>
          </w:rPr>
          <m:t> ⋅ </m:t>
        </m:r>
        <m:sSup>
          <m:sSupPr/>
          <m:e>
            <m:r>
              <m:rPr/>
              <w:rPr>
                <w:rFonts w:ascii="Cambria Math" w:hAnsi="Cambria Math"/>
              </w:rPr>
              <m:t>τ</m:t>
            </m:r>
          </m:e>
          <m:sup>
            <m:r>
              <m:rPr/>
              <w:rPr>
                <w:rFonts w:ascii="Cambria Math" w:hAnsi="Cambria Math"/>
              </w:rPr>
              <m:t>s</m:t>
            </m:r>
          </m:sup>
        </m:sSup>
        <m:r>
          <m:rPr>
            <m:sty m:val="p"/>
          </m:rPr>
          <w:rPr>
            <w:rFonts w:ascii="Cambria Math" w:hAnsi="Cambria Math"/>
          </w:rPr>
          <m:t>(</m:t>
        </m:r>
        <m:sSub>
          <m:sSubPr/>
          <m:e>
            <m:r>
              <m:rPr/>
              <w:rPr>
                <w:rFonts w:ascii="Cambria Math" w:hAnsi="Cambria Math"/>
              </w:rPr>
              <m:t>l</m:t>
            </m:r>
          </m:e>
          <m:sub>
            <m:r>
              <m:rPr/>
              <w:rPr>
                <w:rFonts w:ascii="Cambria Math" w:hAnsi="Cambria Math"/>
              </w:rPr>
              <m:t>jk</m:t>
            </m:r>
          </m:sub>
        </m:sSub>
        <m:r>
          <m:rPr>
            <m:sty m:val="p"/>
          </m:rPr>
          <w:rPr>
            <w:rFonts w:ascii="Cambria Math" w:hAnsi="Cambria Math"/>
          </w:rPr>
          <m:t>)</m:t>
        </m:r>
      </m:oMath>
      <w:r>
        <w:t xml:space="preserve"> for segment </w:t>
      </w:r>
      <m:oMath>
        <m:r>
          <m:rPr>
            <m:sty m:val="p"/>
          </m:rPr>
          <w:rPr>
            <w:rFonts w:ascii="Cambria Math" w:hAnsi="Cambria Math"/>
          </w:rPr>
          <m:t>s ∈ {T, I}</m:t>
        </m:r>
      </m:oMath>
      <w:r>
        <w:t>, and each demand center sources from the lowest delivered-cost provider.</w:t>
      </w:r>
    </w:p>
    <w:p>
      <w:pPr>
        <w:pStyle w:val="Heading1"/>
      </w:pPr>
      <w:r>
        <w:t>2. Comparative Advantage Results</w:t>
      </w:r>
    </w:p>
    <w:p>
      <w:pPr>
        <w:ind w:firstLine="720"/>
      </w:pPr>
      <w:r>
        <w:rPr>
          <w:b/>
        </w:rPr>
        <w:t>Proposition 1</w:t>
      </w:r>
      <w:r>
        <w:t xml:space="preserve"> (Geographic Separation). Let country </w:t>
      </w:r>
      <m:oMath>
        <m:r>
          <m:rPr/>
          <w:rPr>
            <w:rFonts w:ascii="Cambria Math" w:hAnsi="Cambria Math"/>
          </w:rPr>
          <m:t>j</m:t>
        </m:r>
      </m:oMath>
      <w:r>
        <w:t xml:space="preserve"> be the lowest-cost FLOP producer but located far from demand center </w:t>
      </w:r>
      <m:oMath>
        <m:r>
          <m:rPr/>
          <w:rPr>
            <w:rFonts w:ascii="Cambria Math" w:hAnsi="Cambria Math"/>
          </w:rPr>
          <m:t>k</m:t>
        </m:r>
      </m:oMath>
      <w:r>
        <w:t xml:space="preserve">. A higher-cost country </w:t>
      </w:r>
      <m:oMath>
        <m:r>
          <m:rPr/>
          <w:rPr>
            <w:rFonts w:ascii="Cambria Math" w:hAnsi="Cambria Math"/>
          </w:rPr>
          <m:t>j′</m:t>
        </m:r>
      </m:oMath>
      <w:r>
        <w:t xml:space="preserve"> closer to </w:t>
      </w:r>
      <m:oMath>
        <m:r>
          <m:rPr/>
          <w:rPr>
            <w:rFonts w:ascii="Cambria Math" w:hAnsi="Cambria Math"/>
          </w:rPr>
          <m:t>k</m:t>
        </m:r>
      </m:oMath>
      <w:r>
        <w:t xml:space="preserve"> wins the inference contract whenever its cost disadvantage </w:t>
      </w:r>
      <m:oMath>
        <m:sSub>
          <m:sSubPr/>
          <m:e>
            <m:r>
              <m:rPr/>
              <w:rPr>
                <w:rFonts w:ascii="Cambria Math" w:hAnsi="Cambria Math"/>
              </w:rPr>
              <m:t>c</m:t>
            </m:r>
          </m:e>
          <m:sub>
            <m:r>
              <m:rPr/>
              <w:rPr>
                <w:rFonts w:ascii="Cambria Math" w:hAnsi="Cambria Math"/>
              </w:rPr>
              <m:t>j′</m:t>
            </m:r>
          </m:sub>
        </m:sSub>
        <m:r>
          <m:rPr>
            <m:sty m:val="p"/>
          </m:rPr>
          <w:rPr>
            <w:rFonts w:ascii="Cambria Math" w:hAnsi="Cambria Math"/>
          </w:rPr>
          <m:t> − </m:t>
        </m:r>
        <m:sSub>
          <m:sSubPr/>
          <m:e>
            <m:r>
              <m:rPr/>
              <w:rPr>
                <w:rFonts w:ascii="Cambria Math" w:hAnsi="Cambria Math"/>
              </w:rPr>
              <m:t>c</m:t>
            </m:r>
          </m:e>
          <m:sub>
            <m:r>
              <m:rPr/>
              <w:rPr>
                <w:rFonts w:ascii="Cambria Math" w:hAnsi="Cambria Math"/>
              </w:rPr>
              <m:t>j</m:t>
            </m:r>
          </m:sub>
        </m:sSub>
      </m:oMath>
      <w:r>
        <w:t xml:space="preserve"> is less than the latency advantage </w:t>
      </w:r>
      <m:oMath>
        <m:sSub>
          <m:sSubPr/>
          <m:e>
            <m:r>
              <m:rPr/>
              <w:rPr>
                <w:rFonts w:ascii="Cambria Math" w:hAnsi="Cambria Math"/>
              </w:rPr>
              <m:t>c</m:t>
            </m:r>
          </m:e>
          <m:sub>
            <m:r>
              <m:rPr/>
              <w:rPr>
                <w:rFonts w:ascii="Cambria Math" w:hAnsi="Cambria Math"/>
              </w:rPr>
              <m:t>j</m:t>
            </m:r>
          </m:sub>
        </m:sSub>
        <m:r>
          <m:rPr>
            <m:sty m:val="p"/>
          </m:rPr>
          <w:rPr>
            <w:rFonts w:ascii="Cambria Math" w:hAnsi="Cambria Math"/>
          </w:rPr>
          <m:t> ⋅ [τ(</m:t>
        </m:r>
        <m:sSub>
          <m:sSubPr/>
          <m:e>
            <m:r>
              <m:rPr/>
              <w:rPr>
                <w:rFonts w:ascii="Cambria Math" w:hAnsi="Cambria Math"/>
              </w:rPr>
              <m:t>l</m:t>
            </m:r>
          </m:e>
          <m:sub>
            <m:r>
              <m:rPr/>
              <w:rPr>
                <w:rFonts w:ascii="Cambria Math" w:hAnsi="Cambria Math"/>
              </w:rPr>
              <m:t>jk</m:t>
            </m:r>
          </m:sub>
        </m:sSub>
        <m:r>
          <m:rPr>
            <m:sty m:val="p"/>
          </m:rPr>
          <w:rPr>
            <w:rFonts w:ascii="Cambria Math" w:hAnsi="Cambria Math"/>
          </w:rPr>
          <m:t>) − τ(</m:t>
        </m:r>
        <m:sSub>
          <m:sSubPr/>
          <m:e>
            <m:r>
              <m:rPr/>
              <w:rPr>
                <w:rFonts w:ascii="Cambria Math" w:hAnsi="Cambria Math"/>
              </w:rPr>
              <m:t>l</m:t>
            </m:r>
          </m:e>
          <m:sub>
            <m:r>
              <m:rPr/>
              <w:rPr>
                <w:rFonts w:ascii="Cambria Math" w:hAnsi="Cambria Math"/>
              </w:rPr>
              <m:t>j′k</m:t>
            </m:r>
          </m:sub>
        </m:sSub>
        <m:r>
          <m:rPr>
            <m:sty m:val="p"/>
          </m:rPr>
          <w:rPr>
            <w:rFonts w:ascii="Cambria Math" w:hAnsi="Cambria Math"/>
          </w:rPr>
          <m:t>)]</m:t>
        </m:r>
      </m:oMath>
      <w:r>
        <w:t>. This condition is trivially satisfied for training (τ = 1), so the training market concentrates in the global lowest-cost locations while inference production disperses geographically toward demand centers.</w:t>
      </w:r>
    </w:p>
    <w:p>
      <w:pPr>
        <w:ind w:firstLine="720"/>
      </w:pPr>
      <w:r>
        <w:rPr>
          <w:b/>
        </w:rPr>
        <w:t>Proposition 2</w:t>
      </w:r>
      <w:r>
        <w:t xml:space="preserve"> (Entry with Fixed Costs). Building a data center requires a fixed investment </w:t>
      </w:r>
      <m:oMath>
        <m:r>
          <m:rPr/>
          <w:rPr>
            <w:rFonts w:ascii="Cambria Math" w:hAnsi="Cambria Math"/>
          </w:rPr>
          <m:t>F</m:t>
        </m:r>
      </m:oMath>
      <w:r>
        <w:t xml:space="preserve">, so the entrant’s average cost includes an amortized fixed-cost term. A developing country </w:t>
      </w:r>
      <m:oMath>
        <m:r>
          <m:rPr/>
          <w:rPr>
            <w:rFonts w:ascii="Cambria Math" w:hAnsi="Cambria Math"/>
          </w:rPr>
          <m:t>j</m:t>
        </m:r>
      </m:oMath>
      <w:r>
        <w:t xml:space="preserve"> can profitably enter the global training market iff:</w:t>
      </w:r>
    </w:p>
    <w:tbl>
      <w:tblPr>
        <w:jc w:val="center"/>
        <w:tblLook w:firstColumn="1" w:firstRow="1" w:lastColumn="0" w:lastRow="0" w:noHBand="0" w:noVBand="1" w:val="04A0"/>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320"/>
        <w:gridCol w:w="4320"/>
      </w:tblGrid>
      <w:tr>
        <w:tc>
          <w:tcPr>
            <w:tcW w:type="dxa" w:w="4320"/>
            <w:tcW w:w="8460" w:type="dxa"/>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jc w:val="center"/>
              <w:spacing w:before="0" w:after="0"/>
            </w:pPr>
            <m:oMathPara>
              <m:oMath>
                <m:sSub>
                  <m:sSubPr/>
                  <m:e>
                    <m:r>
                      <m:rPr/>
                      <w:rPr>
                        <w:rFonts w:ascii="Cambria Math" w:hAnsi="Cambria Math"/>
                      </w:rPr>
                      <m:t>c</m:t>
                    </m:r>
                  </m:e>
                  <m:sub>
                    <m:r>
                      <m:rPr/>
                      <w:rPr>
                        <w:rFonts w:ascii="Cambria Math" w:hAnsi="Cambria Math"/>
                      </w:rPr>
                      <m:t>j</m:t>
                    </m:r>
                  </m:sub>
                </m:sSub>
                <m:r>
                  <m:rPr>
                    <m:sty m:val="p"/>
                  </m:rPr>
                  <w:rPr>
                    <w:rFonts w:ascii="Cambria Math" w:hAnsi="Cambria Math"/>
                  </w:rPr>
                  <m:t> + </m:t>
                </m:r>
                <m:f>
                  <m:fPr/>
                  <m:num>
                    <m:r>
                      <m:rPr/>
                      <w:rPr>
                        <w:rFonts w:ascii="Cambria Math" w:hAnsi="Cambria Math"/>
                      </w:rPr>
                      <m:t>F</m:t>
                    </m:r>
                  </m:num>
                  <m:den>
                    <m:sSub>
                      <m:sSubPr/>
                      <m:e>
                        <m:r>
                          <m:rPr/>
                          <w:rPr>
                            <w:rFonts w:ascii="Cambria Math" w:hAnsi="Cambria Math"/>
                          </w:rPr>
                          <m:t>Q</m:t>
                        </m:r>
                      </m:e>
                      <m:sub>
                        <m:r>
                          <m:rPr/>
                          <w:rPr>
                            <w:rFonts w:ascii="Cambria Math" w:hAnsi="Cambria Math"/>
                          </w:rPr>
                          <m:t>j</m:t>
                        </m:r>
                      </m:sub>
                    </m:sSub>
                  </m:den>
                </m:f>
                <m:r>
                  <m:rPr>
                    <m:sty m:val="p"/>
                  </m:rPr>
                  <w:rPr>
                    <w:rFonts w:ascii="Cambria Math" w:hAnsi="Cambria Math"/>
                  </w:rPr>
                  <m:t> &lt; </m:t>
                </m:r>
                <m:sSub>
                  <m:sSubPr/>
                  <m:e>
                    <m:r>
                      <m:rPr/>
                      <w:rPr>
                        <w:rFonts w:ascii="Cambria Math" w:hAnsi="Cambria Math"/>
                      </w:rPr>
                      <m:t>c</m:t>
                    </m:r>
                  </m:e>
                  <m:sub>
                    <m:r>
                      <m:rPr/>
                      <w:rPr>
                        <w:rFonts w:ascii="Cambria Math" w:hAnsi="Cambria Math"/>
                      </w:rPr>
                      <m:t>j∗</m:t>
                    </m:r>
                  </m:sub>
                </m:sSub>
              </m:oMath>
            </m:oMathPara>
          </w:p>
        </w:tc>
        <w:tc>
          <w:tcPr>
            <w:tcW w:type="dxa" w:w="4320"/>
            <w:tcW w:w="900" w:type="dxa"/>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jc w:val="right"/>
              <w:spacing w:before="0" w:after="0"/>
            </w:pPr>
            <w:r>
              <w:t>(3)</w:t>
            </w:r>
          </w:p>
        </w:tc>
      </w:tr>
    </w:tbl>
    <w:p>
      <w:pPr>
        <w:ind w:firstLine="720"/>
      </w:pPr>
      <w:r>
        <w:t xml:space="preserve">where </w:t>
      </w:r>
      <m:oMath>
        <m:sSub>
          <m:sSubPr/>
          <m:e>
            <m:r>
              <m:rPr/>
              <w:rPr>
                <w:rFonts w:ascii="Cambria Math" w:hAnsi="Cambria Math"/>
              </w:rPr>
              <m:t>Q</m:t>
            </m:r>
          </m:e>
          <m:sub>
            <m:r>
              <m:rPr/>
              <w:rPr>
                <w:rFonts w:ascii="Cambria Math" w:hAnsi="Cambria Math"/>
              </w:rPr>
              <m:t>j</m:t>
            </m:r>
          </m:sub>
        </m:sSub>
      </m:oMath>
      <w:r>
        <w:t xml:space="preserve"> is the volume of compute country </w:t>
      </w:r>
      <m:oMath>
        <m:r>
          <m:rPr/>
          <w:rPr>
            <w:rFonts w:ascii="Cambria Math" w:hAnsi="Cambria Math"/>
          </w:rPr>
          <m:t>j</m:t>
        </m:r>
      </m:oMath>
      <w:r>
        <w:t xml:space="preserve"> expects to sell. This creates a Helpman-Melitz-Yeaple selection effect: the country needs both low variable costs </w:t>
      </w:r>
      <m:oMath>
        <m:sSub>
          <m:sSubPr/>
          <m:e>
            <m:r>
              <m:rPr/>
              <w:rPr>
                <w:rFonts w:ascii="Cambria Math" w:hAnsi="Cambria Math"/>
              </w:rPr>
              <m:t>c</m:t>
            </m:r>
          </m:e>
          <m:sub>
            <m:r>
              <m:rPr/>
              <w:rPr>
                <w:rFonts w:ascii="Cambria Math" w:hAnsi="Cambria Math"/>
              </w:rPr>
              <m:t>j</m:t>
            </m:r>
          </m:sub>
        </m:sSub>
      </m:oMath>
      <w:r>
        <w:t xml:space="preserve"> and sufficient expected demand </w:t>
      </w:r>
      <m:oMath>
        <m:sSub>
          <m:sSubPr/>
          <m:e>
            <m:r>
              <m:rPr/>
              <w:rPr>
                <w:rFonts w:ascii="Cambria Math" w:hAnsi="Cambria Math"/>
              </w:rPr>
              <m:t>Q</m:t>
            </m:r>
          </m:e>
          <m:sub>
            <m:r>
              <m:rPr/>
              <w:rPr>
                <w:rFonts w:ascii="Cambria Math" w:hAnsi="Cambria Math"/>
              </w:rPr>
              <m:t>j</m:t>
            </m:r>
          </m:sub>
        </m:sSub>
      </m:oMath>
      <w:r>
        <w:t xml:space="preserve"> to clear the fixed-cost hurdle. Small cheap-energy countries may have </w:t>
      </w:r>
      <m:oMath>
        <m:sSub>
          <m:sSubPr/>
          <m:e>
            <m:r>
              <m:rPr/>
              <w:rPr>
                <w:rFonts w:ascii="Cambria Math" w:hAnsi="Cambria Math"/>
              </w:rPr>
              <m:t>c</m:t>
            </m:r>
          </m:e>
          <m:sub>
            <m:r>
              <m:rPr/>
              <w:rPr>
                <w:rFonts w:ascii="Cambria Math" w:hAnsi="Cambria Math"/>
              </w:rPr>
              <m:t>j</m:t>
            </m:r>
          </m:sub>
        </m:sSub>
        <m:r>
          <m:rPr>
            <m:sty m:val="p"/>
          </m:rPr>
          <w:rPr>
            <w:rFonts w:ascii="Cambria Math" w:hAnsi="Cambria Math"/>
          </w:rPr>
          <m:t> &lt; </m:t>
        </m:r>
        <m:sSub>
          <m:sSubPr/>
          <m:e>
            <m:r>
              <m:rPr/>
              <w:rPr>
                <w:rFonts w:ascii="Cambria Math" w:hAnsi="Cambria Math"/>
              </w:rPr>
              <m:t>c</m:t>
            </m:r>
          </m:e>
          <m:sub>
            <m:r>
              <m:rPr/>
              <w:rPr>
                <w:rFonts w:ascii="Cambria Math" w:hAnsi="Cambria Math"/>
              </w:rPr>
              <m:t>j∗</m:t>
            </m:r>
          </m:sub>
        </m:sSub>
      </m:oMath>
      <w:r>
        <w:t xml:space="preserve"> yet fail the entry condition because their expected volume is too low to amortize the data center investment. Entry into inference serving demand center </w:t>
      </w:r>
      <m:oMath>
        <m:r>
          <m:rPr/>
          <w:rPr>
            <w:rFonts w:ascii="Cambria Math" w:hAnsi="Cambria Math"/>
          </w:rPr>
          <m:t>k</m:t>
        </m:r>
      </m:oMath>
      <w:r>
        <w:t xml:space="preserve"> requires </w:t>
      </w:r>
      <m:oMath>
        <m:sSub>
          <m:sSubPr/>
          <m:e>
            <m:r>
              <m:rPr/>
              <w:rPr>
                <w:rFonts w:ascii="Cambria Math" w:hAnsi="Cambria Math"/>
              </w:rPr>
              <m:t>c</m:t>
            </m:r>
          </m:e>
          <m:sub>
            <m:r>
              <m:rPr/>
              <w:rPr>
                <w:rFonts w:ascii="Cambria Math" w:hAnsi="Cambria Math"/>
              </w:rPr>
              <m:t>j</m:t>
            </m:r>
          </m:sub>
        </m:sSub>
        <m:r>
          <m:rPr>
            <m:sty m:val="p"/>
          </m:rPr>
          <w:rPr>
            <w:rFonts w:ascii="Cambria Math" w:hAnsi="Cambria Math"/>
          </w:rPr>
          <m:t> ⋅ τ(</m:t>
        </m:r>
        <m:sSub>
          <m:sSubPr/>
          <m:e>
            <m:r>
              <m:rPr/>
              <w:rPr>
                <w:rFonts w:ascii="Cambria Math" w:hAnsi="Cambria Math"/>
              </w:rPr>
              <m:t>l</m:t>
            </m:r>
          </m:e>
          <m:sub>
            <m:r>
              <m:rPr/>
              <w:rPr>
                <w:rFonts w:ascii="Cambria Math" w:hAnsi="Cambria Math"/>
              </w:rPr>
              <m:t>jk</m:t>
            </m:r>
          </m:sub>
        </m:sSub>
        <m:r>
          <m:rPr>
            <m:sty m:val="p"/>
          </m:rPr>
          <w:rPr>
            <w:rFonts w:ascii="Cambria Math" w:hAnsi="Cambria Math"/>
          </w:rPr>
          <m:t>) + </m:t>
        </m:r>
        <m:f>
          <m:fPr/>
          <m:num>
            <m:r>
              <m:rPr/>
              <w:rPr>
                <w:rFonts w:ascii="Cambria Math" w:hAnsi="Cambria Math"/>
              </w:rPr>
              <m:t>F</m:t>
            </m:r>
          </m:num>
          <m:den>
            <m:sSub>
              <m:sSubPr/>
              <m:e>
                <m:r>
                  <m:rPr/>
                  <w:rPr>
                    <w:rFonts w:ascii="Cambria Math" w:hAnsi="Cambria Math"/>
                  </w:rPr>
                  <m:t>Q</m:t>
                </m:r>
              </m:e>
              <m:sub>
                <m:r>
                  <m:rPr/>
                  <w:rPr>
                    <w:rFonts w:ascii="Cambria Math" w:hAnsi="Cambria Math"/>
                  </w:rPr>
                  <m:t>j</m:t>
                </m:r>
              </m:sub>
            </m:sSub>
          </m:den>
        </m:f>
        <m:r>
          <m:rPr>
            <m:sty m:val="p"/>
          </m:rPr>
          <w:rPr>
            <w:rFonts w:ascii="Cambria Math" w:hAnsi="Cambria Math"/>
          </w:rPr>
          <m:t> &lt; </m:t>
        </m:r>
        <m:sSub>
          <m:sSubPr/>
          <m:e>
            <m:r>
              <m:rPr/>
              <w:rPr>
                <w:rFonts w:ascii="Cambria Math" w:hAnsi="Cambria Math"/>
              </w:rPr>
              <m:t>c</m:t>
            </m:r>
          </m:e>
          <m:sub>
            <m:r>
              <m:rPr/>
              <w:rPr>
                <w:rFonts w:ascii="Cambria Math" w:hAnsi="Cambria Math"/>
              </w:rPr>
              <m:t>j∗</m:t>
            </m:r>
          </m:sub>
        </m:sSub>
        <m:r>
          <m:rPr>
            <m:sty m:val="p"/>
          </m:rPr>
          <w:rPr>
            <w:rFonts w:ascii="Cambria Math" w:hAnsi="Cambria Math"/>
          </w:rPr>
          <m:t> ⋅ τ(</m:t>
        </m:r>
        <m:sSub>
          <m:sSubPr/>
          <m:e>
            <m:r>
              <m:rPr/>
              <w:rPr>
                <w:rFonts w:ascii="Cambria Math" w:hAnsi="Cambria Math"/>
              </w:rPr>
              <m:t>l</m:t>
            </m:r>
          </m:e>
          <m:sub>
            <m:r>
              <m:rPr/>
              <w:rPr>
                <w:rFonts w:ascii="Cambria Math" w:hAnsi="Cambria Math"/>
              </w:rPr>
              <m:t>j∗k</m:t>
            </m:r>
          </m:sub>
        </m:sSub>
        <m:r>
          <m:rPr>
            <m:sty m:val="p"/>
          </m:rPr>
          <w:rPr>
            <w:rFonts w:ascii="Cambria Math" w:hAnsi="Cambria Math"/>
          </w:rPr>
          <m:t>)</m:t>
        </m:r>
      </m:oMath>
      <w:r>
        <w:t xml:space="preserve">, which is harder for distant countries. The inference catchment area — the set of demand centers </w:t>
      </w:r>
      <m:oMath>
        <m:r>
          <m:rPr/>
          <w:rPr>
            <w:rFonts w:ascii="Cambria Math" w:hAnsi="Cambria Math"/>
          </w:rPr>
          <m:t>k</m:t>
        </m:r>
      </m:oMath>
      <w:r>
        <w:t xml:space="preserve"> that country </w:t>
      </w:r>
      <m:oMath>
        <m:r>
          <m:rPr/>
          <w:rPr>
            <w:rFonts w:ascii="Cambria Math" w:hAnsi="Cambria Math"/>
          </w:rPr>
          <m:t>j</m:t>
        </m:r>
      </m:oMath>
      <w:r>
        <w:t xml:space="preserve"> can profitably serve — expands with lower </w:t>
      </w:r>
      <m:oMath>
        <m:sSub>
          <m:sSubPr/>
          <m:e>
            <m:r>
              <m:rPr/>
              <w:rPr>
                <w:rFonts w:ascii="Cambria Math" w:hAnsi="Cambria Math"/>
              </w:rPr>
              <m:t>c</m:t>
            </m:r>
          </m:e>
          <m:sub>
            <m:r>
              <m:rPr/>
              <w:rPr>
                <w:rFonts w:ascii="Cambria Math" w:hAnsi="Cambria Math"/>
              </w:rPr>
              <m:t>j</m:t>
            </m:r>
          </m:sub>
        </m:sSub>
      </m:oMath>
      <w:r>
        <w:t xml:space="preserve">, larger </w:t>
      </w:r>
      <m:oMath>
        <m:sSub>
          <m:sSubPr/>
          <m:e>
            <m:r>
              <m:rPr/>
              <w:rPr>
                <w:rFonts w:ascii="Cambria Math" w:hAnsi="Cambria Math"/>
              </w:rPr>
              <m:t>Q</m:t>
            </m:r>
          </m:e>
          <m:sub>
            <m:r>
              <m:rPr/>
              <w:rPr>
                <w:rFonts w:ascii="Cambria Math" w:hAnsi="Cambria Math"/>
              </w:rPr>
              <m:t>j</m:t>
            </m:r>
          </m:sub>
        </m:sSub>
      </m:oMath>
      <w:r>
        <w:t>, and contracts with higher latency sensitivity σ.</w:t>
      </w:r>
    </w:p>
    <w:p>
      <w:pPr>
        <w:pStyle w:val="Heading1"/>
      </w:pPr>
      <w:r>
        <w:t>3. The Make-or-Buy Decision</w:t>
      </w:r>
    </w:p>
    <w:p>
      <w:pPr>
        <w:ind w:firstLine="720"/>
      </w:pPr>
      <w:r>
        <w:t xml:space="preserve">A demand center </w:t>
      </w:r>
      <m:oMath>
        <m:r>
          <m:rPr/>
          <w:rPr>
            <w:rFonts w:ascii="Cambria Math" w:hAnsi="Cambria Math"/>
          </w:rPr>
          <m:t>k</m:t>
        </m:r>
      </m:oMath>
      <w:r>
        <w:t xml:space="preserve"> chooses between domestic production (cost </w:t>
      </w:r>
      <m:oMath>
        <m:sSub>
          <m:sSubPr/>
          <m:e>
            <m:r>
              <m:rPr/>
              <w:rPr>
                <w:rFonts w:ascii="Cambria Math" w:hAnsi="Cambria Math"/>
              </w:rPr>
              <m:t>c</m:t>
            </m:r>
          </m:e>
          <m:sub>
            <m:r>
              <m:rPr/>
              <w:rPr>
                <w:rFonts w:ascii="Cambria Math" w:hAnsi="Cambria Math"/>
              </w:rPr>
              <m:t>k</m:t>
            </m:r>
          </m:sub>
        </m:sSub>
        <m:r>
          <m:rPr>
            <m:sty m:val="p"/>
          </m:rPr>
          <w:rPr>
            <w:rFonts w:ascii="Cambria Math" w:hAnsi="Cambria Math"/>
          </w:rPr>
          <m:t> + F/</m:t>
        </m:r>
        <m:sSub>
          <m:sSubPr/>
          <m:e>
            <m:r>
              <m:rPr/>
              <w:rPr>
                <w:rFonts w:ascii="Cambria Math" w:hAnsi="Cambria Math"/>
              </w:rPr>
              <m:t>Q</m:t>
            </m:r>
          </m:e>
          <m:sub>
            <m:r>
              <m:rPr/>
              <w:rPr>
                <w:rFonts w:ascii="Cambria Math" w:hAnsi="Cambria Math"/>
              </w:rPr>
              <m:t>k</m:t>
            </m:r>
          </m:sub>
        </m:sSub>
      </m:oMath>
      <w:r>
        <w:t xml:space="preserve">, where </w:t>
      </w:r>
      <m:oMath>
        <m:r>
          <m:rPr/>
          <w:rPr>
            <w:rFonts w:ascii="Cambria Math" w:hAnsi="Cambria Math"/>
          </w:rPr>
          <m:t>F</m:t>
        </m:r>
      </m:oMath>
      <w:r>
        <w:t xml:space="preserve"> is the data center fixed cost) and importing at the best foreign price. A sovereignty premium </w:t>
      </w:r>
      <m:oMath>
        <m:r>
          <m:rPr>
            <m:sty m:val="p"/>
          </m:rPr>
          <w:rPr>
            <w:rFonts w:ascii="Cambria Math" w:hAnsi="Cambria Math"/>
          </w:rPr>
          <m:t>λ ≥ 0</m:t>
        </m:r>
      </m:oMath>
      <w:r>
        <w:t xml:space="preserve"> captures non-economic motives for domestic production. Country </w:t>
      </w:r>
      <m:oMath>
        <m:r>
          <m:rPr/>
          <w:rPr>
            <w:rFonts w:ascii="Cambria Math" w:hAnsi="Cambria Math"/>
          </w:rPr>
          <m:t>k</m:t>
        </m:r>
      </m:oMath>
      <w:r>
        <w:t xml:space="preserve"> builds domestically when:</w:t>
      </w:r>
    </w:p>
    <w:tbl>
      <w:tblPr>
        <w:jc w:val="center"/>
        <w:tblLook w:firstColumn="1" w:firstRow="1" w:lastColumn="0" w:lastRow="0" w:noHBand="0" w:noVBand="1" w:val="04A0"/>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320"/>
        <w:gridCol w:w="4320"/>
      </w:tblGrid>
      <w:tr>
        <w:tc>
          <w:tcPr>
            <w:tcW w:type="dxa" w:w="4320"/>
            <w:tcW w:w="8460" w:type="dxa"/>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jc w:val="center"/>
              <w:spacing w:before="0" w:after="0"/>
            </w:pPr>
            <m:oMathPara>
              <m:oMath>
                <m:sSub>
                  <m:sSubPr/>
                  <m:e>
                    <m:r>
                      <m:rPr/>
                      <w:rPr>
                        <w:rFonts w:ascii="Cambria Math" w:hAnsi="Cambria Math"/>
                      </w:rPr>
                      <m:t>c</m:t>
                    </m:r>
                  </m:e>
                  <m:sub>
                    <m:r>
                      <m:rPr/>
                      <w:rPr>
                        <w:rFonts w:ascii="Cambria Math" w:hAnsi="Cambria Math"/>
                      </w:rPr>
                      <m:t>k</m:t>
                    </m:r>
                  </m:sub>
                </m:sSub>
                <m:r>
                  <m:rPr>
                    <m:sty m:val="p"/>
                  </m:rPr>
                  <w:rPr>
                    <w:rFonts w:ascii="Cambria Math" w:hAnsi="Cambria Math"/>
                  </w:rPr>
                  <m:t> + </m:t>
                </m:r>
                <m:f>
                  <m:fPr/>
                  <m:num>
                    <m:sSup>
                      <m:sSupPr/>
                      <m:e>
                        <m:r>
                          <m:rPr/>
                          <w:rPr>
                            <w:rFonts w:ascii="Cambria Math" w:hAnsi="Cambria Math"/>
                          </w:rPr>
                          <m:t>F</m:t>
                        </m:r>
                      </m:e>
                      <m:sup>
                        <m:r>
                          <m:rPr/>
                          <w:rPr>
                            <w:rFonts w:ascii="Cambria Math" w:hAnsi="Cambria Math"/>
                          </w:rPr>
                          <m:t>s</m:t>
                        </m:r>
                      </m:sup>
                    </m:sSup>
                  </m:num>
                  <m:den>
                    <m:sSubSup>
                      <m:sSubSupPr/>
                      <m:e>
                        <m:r>
                          <m:rPr/>
                          <w:rPr>
                            <w:rFonts w:ascii="Cambria Math" w:hAnsi="Cambria Math"/>
                          </w:rPr>
                          <m:t>Q</m:t>
                        </m:r>
                      </m:e>
                      <m:sub>
                        <m:r>
                          <m:rPr/>
                          <w:rPr>
                            <w:rFonts w:ascii="Cambria Math" w:hAnsi="Cambria Math"/>
                          </w:rPr>
                          <m:t>k</m:t>
                        </m:r>
                      </m:sub>
                      <m:sup>
                        <m:r>
                          <m:rPr/>
                          <w:rPr>
                            <w:rFonts w:ascii="Cambria Math" w:hAnsi="Cambria Math"/>
                          </w:rPr>
                          <m:t>s</m:t>
                        </m:r>
                      </m:sup>
                    </m:sSubSup>
                  </m:den>
                </m:f>
                <m:r>
                  <m:rPr>
                    <m:sty m:val="p"/>
                  </m:rPr>
                  <w:rPr>
                    <w:rFonts w:ascii="Cambria Math" w:hAnsi="Cambria Math"/>
                  </w:rPr>
                  <m:t> ≤ </m:t>
                </m:r>
                <m:sSubSup>
                  <m:sSubSupPr/>
                  <m:e>
                    <m:r>
                      <m:rPr>
                        <m:sty m:val="p"/>
                      </m:rPr>
                      <w:rPr>
                        <w:rFonts w:ascii="Cambria Math" w:hAnsi="Cambria Math"/>
                      </w:rPr>
                      <m:t>p</m:t>
                    </m:r>
                  </m:e>
                  <m:sub>
                    <m:r>
                      <m:rPr/>
                      <w:rPr>
                        <w:rFonts w:ascii="Cambria Math" w:hAnsi="Cambria Math"/>
                      </w:rPr>
                      <m:t>k</m:t>
                    </m:r>
                  </m:sub>
                  <m:sup>
                    <m:r>
                      <m:rPr/>
                      <w:rPr>
                        <w:rFonts w:ascii="Cambria Math" w:hAnsi="Cambria Math"/>
                      </w:rPr>
                      <m:t>s∗</m:t>
                    </m:r>
                  </m:sup>
                </m:sSubSup>
                <m:r>
                  <m:rPr>
                    <m:sty m:val="p"/>
                  </m:rPr>
                  <w:rPr>
                    <w:rFonts w:ascii="Cambria Math" w:hAnsi="Cambria Math"/>
                  </w:rPr>
                  <m:t> + λ</m:t>
                </m:r>
                <m:r>
                  <m:rPr>
                    <m:sty m:val="p"/>
                  </m:rPr>
                  <w:rPr>
                    <w:rFonts w:ascii="Cambria Math" w:hAnsi="Cambria Math"/>
                  </w:rPr>
                  <m:t>       s ∈ {T, I}</m:t>
                </m:r>
              </m:oMath>
            </m:oMathPara>
          </w:p>
        </w:tc>
        <w:tc>
          <w:tcPr>
            <w:tcW w:type="dxa" w:w="4320"/>
            <w:tcW w:w="900" w:type="dxa"/>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jc w:val="right"/>
              <w:spacing w:before="0" w:after="0"/>
            </w:pPr>
            <w:r>
              <w:t>(4)</w:t>
            </w:r>
          </w:p>
        </w:tc>
      </w:tr>
    </w:tbl>
    <w:p>
      <w:pPr>
        <w:ind w:firstLine="720"/>
      </w:pPr>
      <w:r>
        <w:t xml:space="preserve">Since </w:t>
      </w:r>
      <m:oMath>
        <m:sSubSup>
          <m:sSubSupPr/>
          <m:e>
            <m:r>
              <m:rPr>
                <m:sty m:val="p"/>
              </m:rPr>
              <w:rPr>
                <w:rFonts w:ascii="Cambria Math" w:hAnsi="Cambria Math"/>
              </w:rPr>
              <m:t>p</m:t>
            </m:r>
          </m:e>
          <m:sub>
            <m:r>
              <m:rPr/>
              <w:rPr>
                <w:rFonts w:ascii="Cambria Math" w:hAnsi="Cambria Math"/>
              </w:rPr>
              <m:t>k</m:t>
            </m:r>
          </m:sub>
          <m:sup>
            <m:r>
              <m:rPr/>
              <w:rPr>
                <w:rFonts w:ascii="Cambria Math" w:hAnsi="Cambria Math"/>
              </w:rPr>
              <m:t>I∗</m:t>
            </m:r>
          </m:sup>
        </m:sSubSup>
        <m:r>
          <m:rPr>
            <m:sty m:val="p"/>
          </m:rPr>
          <w:rPr>
            <w:rFonts w:ascii="Cambria Math" w:hAnsi="Cambria Math"/>
          </w:rPr>
          <m:t> ≥ </m:t>
        </m:r>
        <m:sSubSup>
          <m:sSubSupPr/>
          <m:e>
            <m:r>
              <m:rPr>
                <m:sty m:val="p"/>
              </m:rPr>
              <w:rPr>
                <w:rFonts w:ascii="Cambria Math" w:hAnsi="Cambria Math"/>
              </w:rPr>
              <m:t>p</m:t>
            </m:r>
          </m:e>
          <m:sub>
            <m:r>
              <m:rPr/>
              <w:rPr>
                <w:rFonts w:ascii="Cambria Math" w:hAnsi="Cambria Math"/>
              </w:rPr>
              <m:t>k</m:t>
            </m:r>
          </m:sub>
          <m:sup>
            <m:r>
              <m:rPr/>
              <w:rPr>
                <w:rFonts w:ascii="Cambria Math" w:hAnsi="Cambria Math"/>
              </w:rPr>
              <m:t>T∗</m:t>
            </m:r>
          </m:sup>
        </m:sSubSup>
      </m:oMath>
      <w:r>
        <w:t xml:space="preserve"> (latency raises the import price for inference), this condition is easier to satisfy for inference. Four regimes emerge: </w:t>
      </w:r>
      <w:r>
        <w:rPr>
          <w:i/>
        </w:rPr>
        <w:t>full import</w:t>
      </w:r>
      <w:r>
        <w:t xml:space="preserve"> (small, high-cost countries); </w:t>
      </w:r>
      <w:r>
        <w:rPr>
          <w:i/>
        </w:rPr>
        <w:t>import training, build inference</w:t>
      </w:r>
      <w:r>
        <w:t xml:space="preserve"> (the modal regime for mid-sized economies); </w:t>
      </w:r>
      <w:r>
        <w:rPr>
          <w:i/>
        </w:rPr>
        <w:t>full domestic</w:t>
      </w:r>
      <w:r>
        <w:t xml:space="preserve"> (US, China); and rarely, </w:t>
      </w:r>
      <w:r>
        <w:rPr>
          <w:i/>
        </w:rPr>
        <w:t>build training, import inference</w:t>
      </w:r>
      <w:r>
        <w:t xml:space="preserve"> (cheap energy but extreme remoteness, e.g. Iceland). Higher λ, larger demand, and economies of scope between segments all shift the frontier toward domestic production.</w:t>
      </w:r>
    </w:p>
    <w:p>
      <w:pPr>
        <w:pStyle w:val="Heading1"/>
      </w:pPr>
      <w:r>
        <w:t>4. Calibration and Discussion</w:t>
      </w:r>
    </w:p>
    <w:p>
      <w:pPr>
        <w:ind w:firstLine="720"/>
      </w:pPr>
      <w:r>
        <w:t>The model can be calibrated using industrial electricity prices (IEA), ambient temperature (ERA5 reanalysis for cooling costs), bilateral latency (Cloudflare, TeleGeography submarine cable distances), cloud spending as a demand proxy (Synergy Research), and construction cost benchmarks for fixed costs. The sovereignty premium λ is backed out as a residual from countries building at above-import costs. An illustrative assignment places most small developing countries in full import, advanced and large emerging economies in the import-training/build-inference regime, the US and China in full domestic, and Iceland and parts of Central Asia in the training-export niche. Validation compares predicted regimes against observed data center geography.</w:t>
      </w:r>
    </w:p>
    <w:p>
      <w:pPr>
        <w:ind w:firstLine="720"/>
      </w:pPr>
      <w:r>
        <w:t>The model omits several channels that could alter rankings in specific cases: export controls on advanced GPUs (raising both hardware costs and λ for restricted countries), grid reliability (distinct from price), data localization regulations (hard trade barriers rather than soft preferences), governance risk (a trust premium favoring countries with strong institutions), agglomeration effects generating path dependence, and hardware obsolescence creating an option value of waiting. Whether compute exports catalyze development or remain an extractive enclave — the resource curse analogy — depends on complementary investments in human capital and institutions.</w:t>
      </w:r>
    </w:p>
    <w:p>
      <w:pPr>
        <w:pStyle w:val="Heading1"/>
      </w:pPr>
      <w:r>
        <w:t>5. Conclusion</w:t>
      </w:r>
    </w:p>
    <w:p>
      <w:pPr>
        <w:ind w:firstLine="720"/>
      </w:pPr>
      <w:r>
        <w:t>The latency asymmetry between training and inference generates a natural pattern of comparative advantage in compute: cheap-energy countries can enter the global training market regardless of remoteness, while most demand centers will optimally import training and produce inference domestically. Empirical calibration against observed data center investment is the natural next step.</w:t>
      </w:r>
    </w:p>
    <w:p>
      <w:pPr>
        <w:pStyle w:val="Heading1"/>
      </w:pPr>
      <w:r>
        <w:t>References</w:t>
      </w:r>
    </w:p>
    <w:p>
      <w:pPr>
        <w:spacing w:after="120"/>
        <w:ind w:left="720" w:hanging="720"/>
      </w:pPr>
      <w:r>
        <w:rPr>
          <w:sz w:val="22"/>
        </w:rPr>
        <w:t>Brainard, S. L. (1997). “An Empirical Assessment of the Proximity-Concentration Tradeoff.” American Economic Review, 87(4): 520–544.</w:t>
      </w:r>
    </w:p>
    <w:p>
      <w:pPr>
        <w:spacing w:after="120"/>
        <w:ind w:left="720" w:hanging="720"/>
      </w:pPr>
      <w:r>
        <w:rPr>
          <w:sz w:val="22"/>
        </w:rPr>
        <w:t>Grossman, G. M., and E. Rossi-Hansberg. (2008). “Trading Tasks: A Simple Theory of Offshoring.” American Economic Review, 98(5): 1978–1997.</w:t>
      </w:r>
    </w:p>
    <w:p>
      <w:pPr>
        <w:spacing w:after="120"/>
        <w:ind w:left="720" w:hanging="720"/>
      </w:pPr>
      <w:r>
        <w:rPr>
          <w:sz w:val="22"/>
        </w:rPr>
        <w:t>Helpman, E., Melitz, M. J., and S. R. Yeaple. (2004). “Export Versus FDI with Heterogeneous Firms.” American Economic Review, 94(1): 300–316.</w:t>
      </w:r>
    </w:p>
    <w:p>
      <w:pPr>
        <w:spacing w:after="120"/>
        <w:ind w:left="720" w:hanging="720"/>
      </w:pPr>
      <w:r>
        <w:rPr>
          <w:sz w:val="22"/>
        </w:rPr>
        <w:t>IEA. (2025). “Energy Demand from AI.” Published online at iea.org.</w:t>
      </w:r>
    </w:p>
    <w:p>
      <w:pPr>
        <w:spacing w:after="120"/>
        <w:ind w:left="720" w:hanging="720"/>
      </w:pPr>
      <w:r>
        <w:rPr>
          <w:sz w:val="22"/>
        </w:rPr>
        <w:t>Korinek, A., and J. Stiglitz. (2021). “AI, Globalization, and Strategies for Economic Development.” NBER Working Paper No. 28453.</w:t>
      </w:r>
    </w:p>
    <w:p>
      <w:pPr>
        <w:spacing w:after="120"/>
        <w:ind w:left="720" w:hanging="720"/>
      </w:pPr>
      <w:r>
        <w:rPr>
          <w:sz w:val="22"/>
        </w:rPr>
        <w:t>Krugman, P. (1991). “Increasing Returns and Economic Geography.” Journal of Political Economy, 99(3): 483–499.</w:t>
      </w:r>
    </w:p>
    <w:p>
      <w:pPr>
        <w:spacing w:after="120"/>
        <w:ind w:left="720" w:hanging="720"/>
      </w:pPr>
      <w:r>
        <w:rPr>
          <w:sz w:val="22"/>
        </w:rPr>
        <w:t>Limão, N., and A. J. Venables. (2001). “Infrastructure, Geographical Disadvantage, Transport Costs, and Trade.” World Bank Economic Review, 15(3): 451–479.</w:t>
      </w:r>
    </w:p>
    <w:p>
      <w:pPr>
        <w:spacing w:after="120"/>
        <w:ind w:left="720" w:hanging="720"/>
      </w:pPr>
      <w:r>
        <w:rPr>
          <w:sz w:val="22"/>
        </w:rPr>
        <w:t>Samuelson, P. (1954). “The Transfer Problem and Transport Costs, II.” Economic Journal, 64(254): 264–289.</w:t>
      </w:r>
    </w:p>
    <w:p>
      <w:pPr>
        <w:spacing w:after="120"/>
        <w:ind w:left="720" w:hanging="720"/>
      </w:pPr>
      <w:r>
        <w:rPr>
          <w:sz w:val="22"/>
        </w:rPr>
        <w:t>UNCTAD. (2025). Technology and Innovation Report 2025. Geneva: United Nations.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pPr>
        <w:spacing w:after="0" w:line="240" w:lineRule="auto"/>
      </w:pPr>
      <w:r>
        <w:separator/>
      </w:r>
    </w:p>
  </w:footnote>
  <w:footnote w:type="continuationSeparator" w:id="0">
    <w:p>
      <w:pPr>
        <w:spacing w:after="0" w:line="240" w:lineRule="auto"/>
      </w:pPr>
      <w:r>
        <w:continuationSeparator/>
      </w:r>
    </w:p>
  </w:footnote>
  <w:footnote w:id="1">
    <w:p>
      <w:pPr>
        <w:pStyle w:val="FootnoteText"/>
        <w:rPr>
          <w:sz w:val="20"/>
          <w:szCs w:val="20"/>
        </w:rPr>
      </w:pPr>
      <w:r>
        <w:rPr>
          <w:rStyle w:val="FootnoteReference"/>
        </w:rPr>
        <w:footnoteRef/>
      </w:r>
      <w:r>
        <w:rPr>
          <w:sz w:val="20"/>
          <w:szCs w:val="20"/>
        </w:rPr>
        <w:t xml:space="preserve"> The two-type taxonomy is a simplification. In practice, the compute landscape includes experimentation and hyperparameter search, fine-tuning and reinforcement learning from human feedback, and synthetic data generation — all of which are batch, latency-insensitive workloads that map to the training segment of our model. An emerging intermediate category is agentic compute: multi-step AI reasoning tasks (e.g., research agents, coding assistants performing extended tool use) that are user-initiated like inference but run for minutes or hours like training, with intermediate latency tolerance. This category is growing rapidly but remains a small share of total compute. Edge inference — workloads processed on end-user devices rather than in data centers — bypasses the trade model entirely. The key structural distinction for trade purposes is between latency-sensitive and latency-insensitive workloads, which our two-type model captures.</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360" w:after="12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FootnoteText">
    <w:name w:val="footnote text"/>
    <w:basedOn w:val="Normal"/>
    <w:link w:val="FootnoteTextChar"/>
    <w:semiHidden/>
    <w:unhideWhenUsed/>
    <w:pPr>
      <w:spacing w:after="0" w:line="240" w:lineRule="auto"/>
    </w:pPr>
    <w:rPr>
      <w:sz w:val="20"/>
      <w:szCs w:val="20"/>
    </w:rPr>
  </w:style>
  <w:style w:type="character" w:styleId="FootnoteTextChar">
    <w:name w:val="Footnote Text Char"/>
    <w:basedOn w:val="DefaultParagraphFont"/>
    <w:link w:val="FootnoteText"/>
    <w:semiHidden/>
    <w:rPr>
      <w:sz w:val="20"/>
      <w:szCs w:val="20"/>
    </w:rPr>
  </w:style>
  <w:style w:type="character" w:styleId="FootnoteReference">
    <w:name w:val="footnote reference"/>
    <w:basedOn w:val="DefaultParagraphFont"/>
    <w:semiHidden/>
    <w:unhideWhenUsed/>
    <w:rPr>
      <w:vertAlign w:val="superscript"/>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9" Type="http://schemas.openxmlformats.org/officeDocument/2006/relationships/footnotes" Target="footnotes.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