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21, 2026  20:48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12" w:name="Table3txt"/>
      <w:hyperlink w:anchor="Table3" w:history="1">
        <w:r>
          <w:rPr>
            <w:color w:val="1F3864"/>
            <w:u w:val="single"/>
          </w:rPr>
          <w:t xml:space="preserve">Table 3</w:t>
        </w:r>
      </w:hyperlink>
      <w:bookmarkEnd w:id="112"/>
      <w:r>
        <w:t xml:space="preserve"> ranks all countries under four alternative pricing specifications, moving from raw electricity tariffs to the paper’s preferred reliability-adjusted measure. </w:t>
      </w: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w:t>
      </w:r>
      <w:bookmarkStart w:id="141" w:name="TableA2txt"/>
      <w:hyperlink w:anchor="TableA2" w:history="1">
        <w:r>
          <w:rPr>
            <w:color w:val="1F3864"/>
            <w:u w:val="single"/>
          </w:rPr>
          <w:t xml:space="preserve">Table A2</w:t>
        </w:r>
      </w:hyperlink>
      <w:bookmarkEnd w:id="141"/>
      <w:r>
        <w:t xml:space="preserve"> extends the rankings to all countries. Rankings shift dramatically across specifications: the country ranked first under raw tariffs falls to the bottom quintile once subsidies and institutional quality are accounted for. Because hardware and networking costs account for over 90% of engineering costs and are identical everywhere, the cross-country cost spread is narrow (about 12%), so even modest analytical corrections reshuffle the ordering.</w:t>
      </w:r>
    </w:p>
    <w:p>
      <w:pPr>
        <w:spacing w:before="0" w:after="160"/>
        <w:ind w:firstLine="0"/>
        <w:jc w:val="both"/>
      </w:pPr>
      <w:r>
        <w:rPr>
          <w:rFonts w:ascii="Times New Roman" w:hAnsi="Times New Roman"/>
          <w:b w:val="0"/>
          <w:i/>
          <w:sz w:val="24"/>
        </w:rPr>
        <w:t xml:space="preserve">Column (1): Raw electricity tariffs. </w:t>
      </w:r>
      <w:r>
        <w:t>Under observed electricity tariffs, the three cheapest producers are Iran ($1.41/hr), Turkmenistan ($1.42/hr), and Ethiopia ($1.43/hr). But this ranking conflates subsidies with endowments. Iran’s headline cost rests on electricity priced at $0.005/kWh, sustained by one of the world’s largest fossil fuel subsidies. Turkmenistan, Algeria, Qatar, and several other low-cost producers face similar distortions.</w:t>
      </w:r>
    </w:p>
    <w:p>
      <w:pPr>
        <w:spacing w:before="0" w:after="160"/>
        <w:ind w:firstLine="0"/>
        <w:jc w:val="both"/>
      </w:pPr>
      <w:r>
        <w:rPr>
          <w:rFonts w:ascii="Times New Roman" w:hAnsi="Times New Roman"/>
          <w:b w:val="0"/>
          <w:i/>
          <w:sz w:val="24"/>
        </w:rPr>
        <w:t xml:space="preserve">Column (2): Cost-recovery prices. </w:t>
      </w:r>
      <w:r>
        <w:t xml:space="preserve">To distinguish genuine comparative advantage from fiscal artifact, the calibration replaces subsidized tariffs with cost-recovery prices—the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The top of the ranking shifts toward hydropower-rich countries: Kyrgyzstan ($1.58/hr), Canada ($1.59/hr), Ethiopia ($1.59/hr), Kosovo ($1.60/hr), and Tajikistan ($1.60/hr).</w:t>
      </w:r>
    </w:p>
    <w:p>
      <w:pPr>
        <w:spacing w:before="0" w:after="160"/>
        <w:ind w:firstLine="0"/>
        <w:jc w:val="both"/>
      </w:pPr>
      <w:r>
        <w:rPr>
          <w:rFonts w:ascii="Times New Roman" w:hAnsi="Times New Roman"/>
          <w:b w:val="0"/>
          <w:i/>
          <w:sz w:val="24"/>
        </w:rPr>
        <w:t xml:space="preserve">Column (3): Reliability-adjusted (preferred specification). </w:t>
      </w:r>
      <w:r>
        <w:t xml:space="preserve">Dividing cost-recovery costs by the institutional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3" w:name="Eq2txt903"/>
      <w:hyperlink w:anchor="Eq2" w:history="1">
        <w:r>
          <w:rPr>
            <w:color w:val="1F3864"/>
            <w:u w:val="single"/>
          </w:rPr>
          <w:t xml:space="preserve">equation (2)</w:t>
        </w:r>
      </w:hyperlink>
      <w:bookmarkEnd w:id="903"/>
      <w:r>
        <w:t xml:space="preserve"> penalizes countries with weak governance, unreliable grids, or sanctions exposure. The five cheapest producers are </w:t>
      </w:r>
      <w:r>
        <w:t xml:space="preserve">Canada ($1.61/hr), Norway ($1.62/hr), Finland ($1.62/hr), Sweden ($1.63/hr), and Iceland ($1.64/hr). Nine of the ten cheapest countries under the raw-tariff ranking fall out of the top ten after reliability adjustment. </w:t>
      </w:r>
      <w:r>
        <w:t xml:space="preserve">The Δ column of Table 3 records the rank change from specification (1) to (3). </w:t>
      </w:r>
      <w:r>
        <w:t>Iran drops 84 places</w:t>
      </w:r>
      <w:r>
        <w:t xml:space="preserve"> and Kyrgyzstan drops 64</w:t>
      </w:r>
      <w:r>
        <w:t>, while Austria rises 56 places</w:t>
      </w:r>
      <w:r>
        <w:t xml:space="preserve"> and Switzerland rises 50</w:t>
      </w:r>
      <w:r>
        <w:t xml:space="preserve">. An engineering cost advantage is therefore necessary but not sufficient for FLOP exporting; governance quality can easily dominate the thin cost margins.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rPr>
          <w:rFonts w:ascii="Times New Roman" w:hAnsi="Times New Roman"/>
          <w:b w:val="0"/>
          <w:i/>
          <w:sz w:val="24"/>
        </w:rPr>
        <w:t xml:space="preserve">Column (4): Sovereignty. </w:t>
      </w:r>
      <w:r>
        <w:t xml:space="preserve">Specification (4) applies a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autarky threshold: countries whose reliability-adjusted cost exceeds the frontier price p* = $1.49/hr by more than 10% import at the frontier markup, while near-frontier countries produce domestically (type DD). </w:t>
      </w:r>
      <w:r>
        <w:t xml:space="preserve">Near-frontier countries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w:t>
      </w: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6" w:name="WorldBank2025txt"/>
      <w:hyperlink w:anchor="WorldBank2025" w:history="1">
        <w:r>
          <w:rPr>
            <w:color w:val="1F3864"/>
            <w:u w:val="single"/>
          </w:rPr>
          <w:t xml:space="preserve">World Bank (2025)</w:t>
        </w:r>
      </w:hyperlink>
      <w:bookmarkEnd w:id="226"/>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Eleven countries change trade regime.</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 Country-specific cost of capital can replace the uniform straight-line amortization with annuity-based depreciation at heterogeneous discount rates, introducing a financing channel that compounds the reliability disadvantage of high-risk countries (see Section 6.3).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600"/>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720"/>
            <w:tcBorders>
              <w:top w:val="single" w:sz="4" w:space="0" w:color="auto"/>
              <w:bottom w:val="single" w:sz="4" w:space="0" w:color="auto"/>
            </w:tcBorders>
          </w:tcPr>
          <w:p>
            <w:pPr>
              <w:jc w:val="center"/>
              <w:spacing w:before="10" w:after="10"/>
            </w:pPr>
            <w:r/>
            <w:r>
              <w:rPr>
                <w:rFonts w:ascii="Times New Roman" w:hAnsi="Times New Roman"/>
                <w:b/>
                <w:sz w:val="20"/>
              </w:rPr>
              <w:t>Eq.</w:t>
            </w:r>
          </w:p>
        </w:tc>
        <w:tc>
          <w:tcPr>
            <w:tcW w:type="dxa" w:w="144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736"/>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600"/>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0.700 kW</w:t>
            </w:r>
          </w:p>
        </w:tc>
        <w:tc>
          <w:tcPr>
            <w:tcW w:type="dxa" w:w="2736"/>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600"/>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$25,000</w:t>
            </w:r>
          </w:p>
        </w:tc>
        <w:tc>
          <w:tcPr>
            <w:tcW w:type="dxa" w:w="2736"/>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600"/>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3 years</w:t>
            </w:r>
          </w:p>
        </w:tc>
        <w:tc>
          <w:tcPr>
            <w:tcW w:type="dxa" w:w="2736"/>
          </w:tcPr>
          <w:p>
            <w:pPr>
              <w:jc w:val="left"/>
              <w:spacing w:before="10" w:after="10"/>
            </w:pPr>
            <w:r/>
            <w:r>
              <w:rPr>
                <w:rFonts w:ascii="Times New Roman" w:hAnsi="Times New Roman"/>
                <w:sz w:val="20"/>
              </w:rPr>
              <w:t>Industry standard</w:t>
            </w:r>
          </w:p>
        </w:tc>
      </w:tr>
      <w:tr>
        <w:tc>
          <w:tcPr>
            <w:tcW w:type="dxa" w:w="3600"/>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0.70</w:t>
            </w:r>
          </w:p>
        </w:tc>
        <w:tc>
          <w:tcPr>
            <w:tcW w:type="dxa" w:w="2736"/>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600"/>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8766 hr/yr</w:t>
            </w:r>
          </w:p>
        </w:tc>
        <w:tc>
          <w:tcPr>
            <w:tcW w:type="dxa" w:w="2736"/>
          </w:tcPr>
          <w:p>
            <w:pPr>
              <w:jc w:val="left"/>
              <w:spacing w:before="10" w:after="10"/>
            </w:pPr>
            <w:r/>
            <w:r>
              <w:rPr>
                <w:rFonts w:ascii="Times New Roman" w:hAnsi="Times New Roman"/>
                <w:sz w:val="20"/>
              </w:rPr>
              <w:t>Calendar</w:t>
            </w:r>
          </w:p>
        </w:tc>
      </w:tr>
      <w:tr>
        <w:tc>
          <w:tcPr>
            <w:tcW w:type="dxa" w:w="3600"/>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$1.36/hr</w:t>
            </w:r>
          </w:p>
        </w:tc>
        <w:tc>
          <w:tcPr>
            <w:tcW w:type="dxa" w:w="2736"/>
          </w:tcPr>
          <w:p>
            <w:pPr>
              <w:jc w:val="left"/>
              <w:spacing w:before="10" w:after="10"/>
            </w:pPr>
            <w:r/>
            <w:r>
              <w:rPr>
                <w:rFonts w:ascii="Times New Roman" w:hAnsi="Times New Roman"/>
                <w:sz w:val="20"/>
              </w:rPr>
              <w:t>Derived</w:t>
            </w:r>
          </w:p>
        </w:tc>
      </w:tr>
      <w:tr>
        <w:tc>
          <w:tcPr>
            <w:tcW w:type="dxa" w:w="3600"/>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$0.15/hr</w:t>
            </w:r>
          </w:p>
        </w:tc>
        <w:tc>
          <w:tcPr>
            <w:tcW w:type="dxa" w:w="2736"/>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600"/>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1.08</w:t>
            </w:r>
          </w:p>
        </w:tc>
        <w:tc>
          <w:tcPr>
            <w:tcW w:type="dxa" w:w="2736"/>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600"/>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0.015 per C</w:t>
            </w:r>
          </w:p>
        </w:tc>
        <w:tc>
          <w:tcPr>
            <w:tcW w:type="dxa" w:w="2736"/>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600"/>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15 C</w:t>
            </w:r>
          </w:p>
        </w:tc>
        <w:tc>
          <w:tcPr>
            <w:tcW w:type="dxa" w:w="2736"/>
          </w:tcPr>
          <w:p>
            <w:pPr>
              <w:jc w:val="left"/>
              <w:spacing w:before="10" w:after="10"/>
            </w:pPr>
            <w:r/>
            <w:r>
              <w:rPr>
                <w:rFonts w:ascii="Times New Roman" w:hAnsi="Times New Roman"/>
                <w:sz w:val="20"/>
              </w:rPr>
              <w:t>Industry standard</w:t>
            </w:r>
          </w:p>
        </w:tc>
      </w:tr>
      <w:tr>
        <w:tc>
          <w:tcPr>
            <w:tcW w:type="dxa" w:w="3600"/>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720"/>
          </w:tcPr>
          <w:p>
            <w:pPr>
              <w:jc w:val="center"/>
              <w:spacing w:before="10" w:after="10"/>
            </w:pPr>
            <w:r/>
            <w:r>
              <w:rPr>
                <w:rFonts w:ascii="Times New Roman" w:hAnsi="Times New Roman"/>
                <w:sz w:val="20"/>
              </w:rPr>
              <w:t>(1)</w:t>
            </w:r>
          </w:p>
        </w:tc>
        <w:tc>
          <w:tcPr>
            <w:tcW w:type="dxa" w:w="1440"/>
          </w:tcPr>
          <w:p>
            <w:pPr>
              <w:jc w:val="center"/>
              <w:spacing w:before="10" w:after="10"/>
            </w:pPr>
            <w:r/>
            <w:r>
              <w:rPr>
                <w:rFonts w:ascii="Times New Roman" w:hAnsi="Times New Roman"/>
                <w:sz w:val="20"/>
              </w:rPr>
              <w:t>15 years</w:t>
            </w:r>
          </w:p>
        </w:tc>
        <w:tc>
          <w:tcPr>
            <w:tcW w:type="dxa" w:w="2736"/>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600"/>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720"/>
          </w:tcPr>
          <w:p>
            <w:pPr>
              <w:jc w:val="center"/>
              <w:spacing w:before="10" w:after="10"/>
            </w:pPr>
            <w:r/>
            <w:r>
              <w:rPr>
                <w:rFonts w:ascii="Times New Roman" w:hAnsi="Times New Roman"/>
                <w:sz w:val="20"/>
              </w:rPr>
              <w:t>(2)</w:t>
            </w:r>
          </w:p>
        </w:tc>
        <w:tc>
          <w:tcPr>
            <w:tcW w:type="dxa" w:w="1440"/>
          </w:tcPr>
          <w:p>
            <w:pPr>
              <w:jc w:val="center"/>
              <w:spacing w:before="10" w:after="10"/>
            </w:pPr>
            <w:r/>
            <w:r>
              <w:rPr>
                <w:rFonts w:ascii="Times New Roman" w:hAnsi="Times New Roman"/>
                <w:sz w:val="20"/>
              </w:rPr>
              <w:t>0.0008 per ms</w:t>
            </w:r>
          </w:p>
        </w:tc>
        <w:tc>
          <w:tcPr>
            <w:tcW w:type="dxa" w:w="2736"/>
          </w:tcPr>
          <w:p>
            <w:pPr>
              <w:jc w:val="left"/>
              <w:spacing w:before="10" w:after="10"/>
            </w:pPr>
            <w:r/>
            <w:r>
              <w:rPr>
                <w:rFonts w:ascii="Times New Roman" w:hAnsi="Times New Roman"/>
                <w:sz w:val="20"/>
              </w:rPr>
              <w:t>Calibrated</w:t>
            </w:r>
          </w:p>
        </w:tc>
      </w:tr>
      <w:tr>
        <w:tc>
          <w:tcPr>
            <w:tcW w:type="dxa" w:w="3600"/>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720"/>
          </w:tcPr>
          <w:p>
            <w:pPr>
              <w:jc w:val="center"/>
              <w:spacing w:before="10" w:after="10"/>
            </w:pPr>
            <w:r/>
            <w:r>
              <w:rPr>
                <w:rFonts w:ascii="Times New Roman" w:hAnsi="Times New Roman"/>
                <w:sz w:val="20"/>
              </w:rPr>
              <w:t>(2)</w:t>
            </w:r>
          </w:p>
        </w:tc>
        <w:tc>
          <w:tcPr>
            <w:tcW w:type="dxa" w:w="1440"/>
          </w:tcPr>
          <w:p>
            <w:pPr>
              <w:jc w:val="center"/>
              <w:spacing w:before="10" w:after="10"/>
            </w:pPr>
            <w:r/>
            <w:r>
              <w:rPr>
                <w:rFonts w:ascii="Times New Roman" w:hAnsi="Times New Roman"/>
                <w:sz w:val="20"/>
              </w:rPr>
              <w:t>0.10</w:t>
            </w:r>
          </w:p>
        </w:tc>
        <w:tc>
          <w:tcPr>
            <w:tcW w:type="dxa" w:w="2736"/>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600"/>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720"/>
          </w:tcPr>
          <w:p>
            <w:pPr>
              <w:jc w:val="center"/>
              <w:spacing w:before="10" w:after="10"/>
            </w:pPr>
            <w:r/>
            <w:r>
              <w:rPr>
                <w:rFonts w:ascii="Times New Roman" w:hAnsi="Times New Roman"/>
                <w:sz w:val="20"/>
              </w:rPr>
              <w:t>(3)</w:t>
            </w:r>
          </w:p>
        </w:tc>
        <w:tc>
          <w:tcPr>
            <w:tcW w:type="dxa" w:w="1440"/>
          </w:tcPr>
          <w:p>
            <w:pPr>
              <w:jc w:val="center"/>
              <w:spacing w:before="10" w:after="10"/>
            </w:pPr>
            <w:r/>
            <w:r>
              <w:rPr>
                <w:rFonts w:ascii="Times New Roman" w:hAnsi="Times New Roman"/>
                <w:sz w:val="20"/>
              </w:rPr>
              <w:t>0.50</w:t>
            </w:r>
          </w:p>
        </w:tc>
        <w:tc>
          <w:tcPr>
            <w:tcW w:type="dxa" w:w="2736"/>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600"/>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720"/>
          </w:tcPr>
          <w:p>
            <w:pPr>
              <w:jc w:val="center"/>
              <w:spacing w:before="10" w:after="10"/>
            </w:pPr>
            <w:r/>
            <w:r>
              <w:rPr>
                <w:rFonts w:ascii="Times New Roman" w:hAnsi="Times New Roman"/>
                <w:sz w:val="20"/>
              </w:rPr>
              <w:t>(3)</w:t>
            </w:r>
          </w:p>
        </w:tc>
        <w:tc>
          <w:tcPr>
            <w:tcW w:type="dxa" w:w="1440"/>
          </w:tcPr>
          <w:p>
            <w:pPr>
              <w:jc w:val="center"/>
              <w:spacing w:before="10" w:after="10"/>
            </w:pPr>
            <w:r/>
            <w:r>
              <w:rPr>
                <w:rFonts w:ascii="Times New Roman" w:hAnsi="Times New Roman"/>
                <w:sz w:val="20"/>
              </w:rPr>
              <w:t>6×10¹⁰ GPU-hr/yr</w:t>
            </w:r>
          </w:p>
        </w:tc>
        <w:tc>
          <w:tcPr>
            <w:tcW w:type="dxa" w:w="2736"/>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600"/>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720"/>
            <w:tcBorders>
              <w:bottom w:val="double" w:sz="4" w:space="0" w:color="auto"/>
            </w:tcBorders>
          </w:tcPr>
          <w:p>
            <w:pPr>
              <w:jc w:val="center"/>
              <w:spacing w:before="10" w:after="10"/>
            </w:pPr>
            <w:r/>
            <w:r>
              <w:rPr>
                <w:rFonts w:ascii="Times New Roman" w:hAnsi="Times New Roman"/>
                <w:sz w:val="20"/>
              </w:rPr>
              <w:t>(2)</w:t>
            </w:r>
          </w:p>
        </w:tc>
        <w:tc>
          <w:tcPr>
            <w:tcW w:type="dxa" w:w="1440"/>
            <w:tcBorders>
              <w:bottom w:val="double" w:sz="4" w:space="0" w:color="auto"/>
            </w:tcBorders>
          </w:tcPr>
          <w:p>
            <w:pPr>
              <w:jc w:val="center"/>
              <w:spacing w:before="10" w:after="10"/>
            </w:pPr>
            <w:r/>
            <w:r>
              <w:rPr>
                <w:rFonts w:ascii="Times New Roman" w:hAnsi="Times New Roman"/>
                <w:sz w:val="20"/>
              </w:rPr>
              <w:t>1.00</w:t>
            </w:r>
          </w:p>
        </w:tc>
        <w:tc>
          <w:tcPr>
            <w:tcW w:type="dxa" w:w="2736"/>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2"/>
            <w:color w:val="1F3864"/>
            <w:u w:val="single"/>
          </w:rPr>
          <w:t>Table 3</w:t>
        </w:r>
      </w:hyperlink>
      <w:bookmarkEnd w:id="111"/>
      <w:r>
        <w:rPr>
          <w:b/>
          <w:sz w:val="22"/>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Austria</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Estonia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Poland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w:t>
            </w:r>
          </w:p>
        </w:tc>
        <w:tc>
          <w:tcPr>
            <w:tcW w:w="90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c>
          <w:tcPr>
            <w:tcW w:w="90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c>
          <w:tcPr>
            <w:tcW w:w="90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c>
          <w:tcPr>
            <w:tcW w:w="90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c>
          <w:tcPr>
            <w:tcW w:w="540" w:type="dxa"/>
          </w:tcPr>
          <w:p>
            <w:pPr>
              <w:jc w:val="center"/>
              <w:spacing w:before="10" w:after="10"/>
            </w:pPr>
            <w:r/>
            <w:r>
              <w:rPr>
                <w:rFonts w:ascii="Times New Roman" w:hAnsi="Times New Roman"/>
                <w:sz w:val="16"/>
              </w:rPr>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Uzbekistan</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countries shown by specification (3); additional developing countries below separator.</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