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21:38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six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(5) of </w:t>
      </w:r>
      <w:hyperlink w:anchor="Table3" w:history="1">
        <w:r>
          <w:rPr>
            <w:color w:val="1F3864"/>
            <w:u w:val="single"/>
          </w:rPr>
          <w:t xml:space="preserve">Table 3</w:t>
        </w:r>
      </w:hyperlink>
      <w:r>
        <w:t xml:space="preserve"> reports regime assignments under the FDI specification. Under bilateral sovereignty (column 3), only Canada exports; all other countries either produce domestically or import. Under hyperscaler FDI (column 5), 8 countries become exporters, 6 of them developing economies: China, Ethiopia, Kosovo, Kyrgyzstan, Montenegro,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(5) in </w:t>
      </w:r>
      <w:hyperlink w:anchor="Table3" w:history="1">
        <w:r>
          <w:rPr>
            <w:color w:val="1F3864"/>
            <w:u w:val="single"/>
          </w:rPr>
          <w:t xml:space="preserve">Table 3</w:t>
        </w:r>
      </w:hyperlink>
      <w:r>
        <w:t xml:space="preserve"> measures the value of hyperscaler intermediation as a trust mechanism.</w:t>
      </w:r>
    </w:p>
    <w:p>
      <w:pPr>
        <w:spacing w:before="0" w:after="160"/>
        <w:ind w:firstLine="0"/>
        <w:jc w:val="both"/>
      </w:pPr>
      <w:r>
        <w:t>One caveat: the FDI specification assumes the hyperscaler absorbs all bilateral trust. In practice, governments and regulated industries may retain a residual premium even with a trusted operator, since data physically resides in the host jurisdiction.</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(4) of </w:t>
      </w:r>
      <w:hyperlink w:anchor="Table3" w:history="1">
        <w:r>
          <w:rPr>
            <w:color w:val="1F3864"/>
            <w:u w:val="single"/>
          </w:rPr>
          <w:t xml:space="preserve">Table 3</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(5) of Table 3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and only hyperscaler intermediation restores it (column 5).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Borders>
              <w:top w:val="single" w:sz="4" w:space="0" w:color="auto"/>
              <w:bottom w:val="single" w:sz="4" w:space="0" w:color="auto"/>
            </w:tcBorders>
            <w:tcW w:w="15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(3) Bilateral λᵢⱼ</w:t>
            </w:r>
          </w:p>
        </w:tc>
        <w:tc>
          <w:tcPr>
            <w:gridSpan w:val="2"/>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pPr>
            <w:r/>
            <w:r>
              <w:rPr>
                <w:rFonts w:ascii="Times New Roman" w:hAnsi="Times New Roman"/>
                <w:b/>
                <w:sz w:val="16"/>
              </w:rPr>
              <w:t>(4) Uniform (λ=10%)</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(5) FDI</w:t>
            </w:r>
          </w:p>
        </w:tc>
      </w:tr>
      <w:tr>
        <w:tc>
          <w:tcPr>
            <w:tcBorders>
              <w:top w:val="single" w:sz="4" w:space="0" w:color="auto"/>
              <w:bottom w:val="single" w:sz="4" w:space="0" w:color="auto"/>
            </w:tcBorders>
            <w:tcW w:w="15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r>
      <w:tr>
        <w:tc>
          <w:tcPr>
            <w:tcW w:w="1500" w:type="dxa"/>
          </w:tcPr>
          <w:p>
            <w:pPr>
              <w:jc w:val="left"/>
              <w:spacing w:before="10" w:after="10"/>
            </w:pPr>
            <w:r/>
            <w:r>
              <w:rPr>
                <w:rFonts w:ascii="Times New Roman" w:hAnsi="Times New Roman"/>
                <w:sz w:val="16"/>
              </w:rPr>
              <w:t>Kyrgyzstan</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Ethiopia</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Canada</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Kosovo</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China</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Tajikistan</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Montenegro</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Colombia</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Ukraine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Argentina</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Azerbaijan</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Algeria</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Russia</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Vietnam</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Egypt</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India</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Norway</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25</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Turkmenistan</w:t>
            </w:r>
          </w:p>
        </w:tc>
        <w:tc>
          <w:tcPr>
            <w:tcW w:w="700" w:type="dxa"/>
          </w:tcPr>
          <w:p>
            <w:pPr>
              <w:jc w:val="center"/>
              <w:spacing w:before="10" w:after="10"/>
            </w:pPr>
            <w:r/>
            <w:r>
              <w:rPr>
                <w:rFonts w:ascii="Times New Roman" w:hAnsi="Times New Roman"/>
                <w:sz w:val="16"/>
              </w:rPr>
              <w:t>$1.59</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Finland</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26</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Brazil</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27</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Iran</w:t>
            </w:r>
          </w:p>
        </w:tc>
        <w:tc>
          <w:tcPr>
            <w:tcW w:w="700" w:type="dxa"/>
          </w:tcPr>
          <w:p>
            <w:pPr>
              <w:jc w:val="center"/>
              <w:spacing w:before="10" w:after="10"/>
            </w:pPr>
            <w:r/>
            <w:r>
              <w:rPr>
                <w:rFonts w:ascii="Times New Roman" w:hAnsi="Times New Roman"/>
                <w:sz w:val="16"/>
              </w:rPr>
              <w:t>$1.58</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Indonesia</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Sweden</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30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r>
      <w:tr>
        <w:tc>
          <w:tcPr>
            <w:tcW w:w="1500" w:type="dxa"/>
          </w:tcPr>
          <w:p>
            <w:pPr>
              <w:jc w:val="left"/>
              <w:spacing w:before="10" w:after="10"/>
            </w:pPr>
            <w:r/>
            <w:r>
              <w:rPr>
                <w:rFonts w:ascii="Times New Roman" w:hAnsi="Times New Roman"/>
                <w:sz w:val="16"/>
              </w:rPr>
              <w:t>Kazakhstan</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DD</w:t>
            </w:r>
          </w:p>
        </w:tc>
      </w:tr>
      <w:tr>
        <w:tc>
          <w:tcPr>
            <w:tcBorders>
              <w:bottom w:val="double" w:sz="4" w:space="0" w:color="auto"/>
            </w:tcBorders>
            <w:tcW w:w="1500" w:type="dxa"/>
          </w:tcPr>
          <w:p>
            <w:pPr>
              <w:jc w:val="left"/>
              <w:spacing w:before="10" w:after="10"/>
            </w:pPr>
            <w:r/>
            <w:r>
              <w:rPr>
                <w:rFonts w:ascii="Times New Roman" w:hAnsi="Times New Roman"/>
                <w:sz w:val="16"/>
              </w:rPr>
              <w:t>Uzbekistan</w:t>
            </w:r>
          </w:p>
        </w:tc>
        <w:tc>
          <w:tcPr>
            <w:tcBorders>
              <w:bottom w:val="double" w:sz="4" w:space="0" w:color="auto"/>
            </w:tcBorders>
            <w:tcW w:w="700" w:type="dxa"/>
          </w:tcPr>
          <w:p>
            <w:pPr>
              <w:jc w:val="center"/>
              <w:spacing w:before="10" w:after="10"/>
            </w:pPr>
            <w:r/>
            <w:r>
              <w:rPr>
                <w:rFonts w:ascii="Times New Roman" w:hAnsi="Times New Roman"/>
                <w:sz w:val="16"/>
              </w:rPr>
              <w:t>$1.64</w:t>
            </w:r>
          </w:p>
        </w:tc>
        <w:tc>
          <w:tcPr>
            <w:tcBorders>
              <w:bottom w:val="double" w:sz="4" w:space="0" w:color="auto"/>
            </w:tcBorders>
            <w:tcW w:w="420" w:type="dxa"/>
          </w:tcPr>
          <w:p>
            <w:pPr>
              <w:jc w:val="center"/>
              <w:spacing w:before="10" w:after="10"/>
            </w:pPr>
            <w:r/>
            <w:r>
              <w:rPr>
                <w:rFonts w:ascii="Times New Roman" w:hAnsi="Times New Roman"/>
                <w:sz w:val="16"/>
              </w:rPr>
              <w:t>20</w:t>
            </w:r>
          </w:p>
        </w:tc>
        <w:tc>
          <w:tcPr>
            <w:tcBorders>
              <w:bottom w:val="double" w:sz="4" w:space="0" w:color="auto"/>
            </w:tcBorders>
            <w:tcW w:w="420" w:type="dxa"/>
          </w:tcPr>
          <w:p>
            <w:pPr>
              <w:jc w:val="center"/>
              <w:spacing w:before="10" w:after="10"/>
            </w:pPr>
            <w:r/>
            <w:r>
              <w:rPr>
                <w:rFonts w:ascii="Times New Roman" w:hAnsi="Times New Roman"/>
                <w:sz w:val="16"/>
              </w:rPr>
              <w:t>II</w:t>
            </w:r>
          </w:p>
        </w:tc>
        <w:tc>
          <w:tcPr>
            <w:tcBorders>
              <w:bottom w:val="double" w:sz="4" w:space="0" w:color="auto"/>
            </w:tcBorders>
            <w:tcW w:w="700" w:type="dxa"/>
          </w:tcPr>
          <w:p>
            <w:pPr>
              <w:jc w:val="center"/>
              <w:spacing w:before="10" w:after="10"/>
            </w:pPr>
            <w:r/>
            <w:r>
              <w:rPr>
                <w:rFonts w:ascii="Times New Roman" w:hAnsi="Times New Roman"/>
                <w:sz w:val="16"/>
              </w:rPr>
              <w:t>$1.65</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II</w:t>
            </w:r>
          </w:p>
        </w:tc>
        <w:tc>
          <w:tcPr>
            <w:tcBorders>
              <w:bottom w:val="double" w:sz="4" w:space="0" w:color="auto"/>
            </w:tcBorders>
            <w:tcW w:w="700" w:type="dxa"/>
          </w:tcPr>
          <w:p>
            <w:pPr>
              <w:jc w:val="center"/>
              <w:spacing w:before="10" w:after="10"/>
            </w:pPr>
            <w:r/>
            <w:r>
              <w:rPr>
                <w:rFonts w:ascii="Times New Roman" w:hAnsi="Times New Roman"/>
                <w:sz w:val="16"/>
              </w:rPr>
              <w:t>$1.65</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DD</w:t>
            </w:r>
          </w:p>
        </w:tc>
        <w:tc>
          <w:tcPr>
            <w:tcBorders>
              <w:bottom w:val="double" w:sz="4" w:space="0" w:color="auto"/>
            </w:tcBorders>
            <w:tcW w:w="420" w:type="dxa"/>
          </w:tcPr>
          <w:p>
            <w:pPr>
              <w:jc w:val="center"/>
              <w:spacing w:before="10" w:after="10"/>
            </w:pPr>
            <w:r/>
            <w:r>
              <w:rPr>
                <w:rFonts w:ascii="Times New Roman" w:hAnsi="Times New Roman"/>
                <w:sz w:val="16"/>
              </w:rPr>
              <w:t>DD</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match column (2) because the premium reshapes regime assignments without affecting production costs. Under calibrated parameters, demand tiering (sovereign 10%, regulated 20%, commercial 70%) leaves all regime assignments unchanged relative to column (3). (4) Uniform: uniform λ = 10% premium (robustness check). (5) Hyperscaler FDI: bilateral premium replaced by λᶠᵈᵉ from equation (2′), where h is the hyperscaler’s home country (assumed US); trust premium reflects buyer–operator relationship; sanctions on host still apply.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Borders>
              <w:top w:val="single" w:sz="4" w:space="0" w:color="auto"/>
              <w:bottom w:val="single" w:sz="4" w:space="0" w:color="auto"/>
            </w:tcBorders>
            <w:tcW w:w="15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(3) Bilateral λᵢⱼ</w:t>
            </w:r>
          </w:p>
        </w:tc>
        <w:tc>
          <w:tcPr>
            <w:gridSpan w:val="2"/>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pPr>
            <w:r/>
            <w:r>
              <w:rPr>
                <w:rFonts w:ascii="Times New Roman" w:hAnsi="Times New Roman"/>
                <w:b/>
                <w:sz w:val="14"/>
              </w:rPr>
              <w:t>(4) Uniform (λ=10%)</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(5) FDI</w:t>
            </w:r>
          </w:p>
        </w:tc>
      </w:tr>
      <w:tr>
        <w:tc>
          <w:tcPr>
            <w:tcBorders>
              <w:top w:val="single" w:sz="4" w:space="0" w:color="auto"/>
              <w:bottom w:val="single" w:sz="4" w:space="0" w:color="auto"/>
            </w:tcBorders>
            <w:tcW w:w="15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r>
      <w:tr>
        <w:tc>
          <w:tcPr>
            <w:tcW w:w="1500" w:type="dxa"/>
          </w:tcPr>
          <w:p>
            <w:pPr>
              <w:jc w:val="left"/>
              <w:spacing w:before="5" w:after="5"/>
            </w:pPr>
            <w:r/>
            <w:r>
              <w:rPr>
                <w:rFonts w:ascii="Times New Roman" w:hAnsi="Times New Roman"/>
                <w:sz w:val="14"/>
              </w:rPr>
              <w:t>Kyrgyzstan</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Ethiopia</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Canada</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Kosovo</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China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Tajikistan</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Montenegro</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Colombia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Ukraine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Argentina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Azerbaijan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Algeria</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Russia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Vietnam</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Egypt</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India</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Norway</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Turkmenistan</w:t>
            </w:r>
          </w:p>
        </w:tc>
        <w:tc>
          <w:tcPr>
            <w:tcW w:w="700" w:type="dxa"/>
          </w:tcPr>
          <w:p>
            <w:pPr>
              <w:jc w:val="center"/>
              <w:spacing w:before="5" w:after="5"/>
            </w:pPr>
            <w:r/>
            <w:r>
              <w:rPr>
                <w:rFonts w:ascii="Times New Roman" w:hAnsi="Times New Roman"/>
                <w:sz w:val="14"/>
              </w:rPr>
              <w:t>$1.59</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Finland</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Brazil</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Iran</w:t>
            </w:r>
          </w:p>
        </w:tc>
        <w:tc>
          <w:tcPr>
            <w:tcW w:w="700" w:type="dxa"/>
          </w:tcPr>
          <w:p>
            <w:pPr>
              <w:jc w:val="center"/>
              <w:spacing w:before="5" w:after="5"/>
            </w:pPr>
            <w:r/>
            <w:r>
              <w:rPr>
                <w:rFonts w:ascii="Times New Roman" w:hAnsi="Times New Roman"/>
                <w:sz w:val="14"/>
              </w:rPr>
              <w:t>$1.58</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Indonesia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Sweden</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Kazakhstan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Uzbekistan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Georgia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United States of A.</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Bosnia and Herz.</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Kenya</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Turkey</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Nigeria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Morocco</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South Africa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Australia</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Iceland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Mexico</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Belarus</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France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Armenia</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Chile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UAE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UK</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IE</w:t>
            </w:r>
          </w:p>
        </w:tc>
      </w:tr>
      <w:tr>
        <w:tc>
          <w:tcPr>
            <w:tcW w:w="1500" w:type="dxa"/>
          </w:tcPr>
          <w:p>
            <w:pPr>
              <w:jc w:val="left"/>
              <w:spacing w:before="5" w:after="5"/>
            </w:pPr>
            <w:r/>
            <w:r>
              <w:rPr>
                <w:rFonts w:ascii="Times New Roman" w:hAnsi="Times New Roman"/>
                <w:sz w:val="14"/>
              </w:rPr>
              <w:t>Poland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New Zealand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Malta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Philippines</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Portugal</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Latvia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Pakistan</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Israel</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Spain</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Malaysia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Thailand</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Belgium</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Serbia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Saudi Arabia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Luxembourg</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Moldova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South Korea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Netherlands</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Estonia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Qatar</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 Macedonia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Lithuania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Denmark</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Ghana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Albania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Slovenia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Romania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Greece</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Bulgaria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Slovakia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Germany</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Italy</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Austria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Czechia</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Japan</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Hungary</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Switzerland</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Singapore</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Cyprus</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Croatia</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Senegal</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Ireland</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r>
      <w:tr>
        <w:tc>
          <w:tcPr>
            <w:tcBorders>
              <w:bottom w:val="double" w:sz="4" w:space="0" w:color="auto"/>
            </w:tcBorders>
            <w:tcW w:w="1500" w:type="dxa"/>
          </w:tcPr>
          <w:p>
            <w:pPr>
              <w:jc w:val="left"/>
              <w:spacing w:before="5" w:after="5"/>
            </w:pPr>
            <w:r/>
            <w:r>
              <w:rPr>
                <w:rFonts w:ascii="Times New Roman" w:hAnsi="Times New Roman"/>
                <w:sz w:val="14"/>
              </w:rPr>
              <w:t>Greenland</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