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August 14, 2026  17:21</w:t>
      </w:r>
    </w:p>
    <w:p>
      <w:pPr>
        <w:spacing w:before="240" w:after="0" w:line="240" w:lineRule="auto"/>
        <w:ind w:firstLine="0" w:left="720" w:right="720"/>
        <w:jc w:val="both"/>
      </w:pPr>
      <w:r>
        <w:rPr>
          <w:b/>
        </w:rPr>
        <w:t>Abstract</w:t>
      </w:r>
      <w:r>
        <w:t>: Can energy-rich developing countries convert cheap electricity into AI compute exports? This paper develops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Because hardware dominates unit costs and is globally priced, cross-country production costs differ by only 12–20 percent. Modest regulatory, financing, and trust frictions can therefore erase the gains from cheap power. The binding constraint is institutional credibility rather than electricity prices, including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5" w:name="IEA2025txt"/>
      <w:hyperlink w:anchor="IEA2025" w:history="1">
        <w:r>
          <w:rPr>
            <w:color w:val="1F3864"/>
            <w:u w:val="single"/>
          </w:rPr>
          <w:t xml:space="preserve">IEA 2025</w:t>
        </w:r>
      </w:hyperlink>
      <w:bookmarkEnd w:id="245"/>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6" w:name="Firebird2026txt"/>
      <w:hyperlink w:anchor="Firebird2026" w:history="1">
        <w:r>
          <w:rPr>
            <w:color w:val="1F3864"/>
            <w:u w:val="single"/>
          </w:rPr>
          <w:t xml:space="preserve">Firebird 2026</w:t>
        </w:r>
      </w:hyperlink>
      <w:bookmarkEnd w:id="246"/>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7" w:name="AykutEtAl2026txt"/>
      <w:hyperlink w:anchor="AykutEtAl2026" w:history="1">
        <w:r>
          <w:rPr>
            <w:color w:val="1F3864"/>
            <w:u w:val="single"/>
          </w:rPr>
          <w:t xml:space="preserve">Aykut et al. 2026</w:t>
        </w:r>
      </w:hyperlink>
      <w:bookmarkEnd w:id="247"/>
      <w:r>
        <w:t xml:space="preserve">) and annual cloud computing exports exceeded $9 billion (</w:t>
      </w:r>
      <w:bookmarkStart w:id="263" w:name="WorldBank2025txt"/>
      <w:hyperlink w:anchor="WorldBank2025" w:history="1">
        <w:r>
          <w:rPr>
            <w:color w:val="1F3864"/>
            <w:u w:val="single"/>
          </w:rPr>
          <w:t xml:space="preserve">World Bank 2025</w:t>
        </w:r>
      </w:hyperlink>
      <w:bookmarkEnd w:id="263"/>
      <w:r>
        <w:t xml:space="preserve">).</w:t>
      </w:r>
    </w:p>
    <w:p>
      <w:pPr>
        <w:spacing w:before="0" w:after="160" w:line="360" w:lineRule="auto"/>
        <w:ind w:firstLine="0"/>
        <w:jc w:val="both"/>
      </w:pPr>
      <w:r>
        <w:t xml:space="preserve">Yet the cheapest locations are not the ones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alone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8" w:name="Sastry2024txt"/>
      <w:hyperlink w:anchor="Sastry2024" w:history="1">
        <w:r>
          <w:rPr>
            <w:color w:val="1F3864"/>
            <w:u w:val="single"/>
          </w:rPr>
          <w:t xml:space="preserve">Sastry et al. 2024</w:t>
        </w:r>
      </w:hyperlink>
      <w:bookmarkEnd w:id="248"/>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9" w:name="Pilz2025txt"/>
      <w:hyperlink w:anchor="Pilz2025" w:history="1">
        <w:r>
          <w:rPr>
            <w:color w:val="1F3864"/>
            <w:u w:val="single"/>
          </w:rPr>
          <w:t xml:space="preserve">Pilz et al. 2025</w:t>
        </w:r>
      </w:hyperlink>
      <w:bookmarkEnd w:id="249"/>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that raises delivered costs.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export competitiveness.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50" w:name="Korinek2021txt"/>
      <w:hyperlink w:anchor="Korinek2021" w:history="1">
        <w:r>
          <w:rPr>
            <w:color w:val="1F3864"/>
            <w:u w:val="single"/>
          </w:rPr>
          <w:t xml:space="preserve">Korinek and Stiglitz (2021)</w:t>
        </w:r>
      </w:hyperlink>
      <w:bookmarkEnd w:id="250"/>
      <w:r>
        <w:t xml:space="preserve"> warn that developing countries may be left behind in the AI revolution; FLOP exporting offers a route in. The concept relates to </w:t>
      </w:r>
      <w:bookmarkStart w:id="270" w:name="Hausmann2007txt"/>
      <w:hyperlink w:anchor="Hausmann2007" w:history="1">
        <w:r>
          <w:rPr>
            <w:color w:val="1F3864"/>
            <w:u w:val="single"/>
          </w:rPr>
          <w:t xml:space="preserve">Hausmann et al. (2007)</w:t>
        </w:r>
      </w:hyperlink>
      <w:bookmarkEnd w:id="270"/>
      <w:r>
        <w:t xml:space="preserve"> on export composition and growth, and to </w:t>
      </w:r>
      <w:bookmarkStart w:id="264" w:name="Limao2001txt"/>
      <w:hyperlink w:anchor="Limao2001" w:history="1">
        <w:r>
          <w:rPr>
            <w:color w:val="1F3864"/>
            <w:u w:val="single"/>
          </w:rPr>
          <w:t xml:space="preserve">Limão and Venables (2001)</w:t>
        </w:r>
      </w:hyperlink>
      <w:bookmarkEnd w:id="26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5" w:name="Liu2023txt"/>
      <w:hyperlink w:anchor="Liu2023" w:history="1">
        <w:r>
          <w:rPr>
            <w:color w:val="1F3864"/>
            <w:u w:val="single"/>
          </w:rPr>
          <w:t xml:space="preserve">Liu et al. (2023)</w:t>
        </w:r>
      </w:hyperlink>
      <w:bookmarkEnd w:id="265"/>
      <w:r>
        <w:t xml:space="preserve"> study data center placement under renewable energy constraints. In international trade theory, </w:t>
      </w:r>
      <w:bookmarkStart w:id="271" w:name="Brainard1997txt"/>
      <w:hyperlink w:anchor="Brainard1997" w:history="1">
        <w:r>
          <w:rPr>
            <w:color w:val="1F3864"/>
            <w:u w:val="single"/>
          </w:rPr>
          <w:t xml:space="preserve">Brainard (1997)</w:t>
        </w:r>
      </w:hyperlink>
      <w:bookmarkEnd w:id="271"/>
      <w:r>
        <w:t xml:space="preserve"> formalizes the proximity-concentration trade-off between serving a market locally and concentrating production abroad. </w:t>
      </w:r>
      <w:bookmarkStart w:id="251" w:name="HMY2004txt"/>
      <w:hyperlink w:anchor="HMY2004" w:history="1">
        <w:r>
          <w:rPr>
            <w:color w:val="1F3864"/>
            <w:u w:val="single"/>
          </w:rPr>
          <w:t xml:space="preserve">Helpman et al. (2004)</w:t>
        </w:r>
      </w:hyperlink>
      <w:bookmarkEnd w:id="251"/>
      <w:r>
        <w:t xml:space="preserve"> extend this to heterogeneous firms choosing between exporting and FDI.</w:t>
      </w:r>
    </w:p>
    <w:p>
      <w:pPr>
        <w:spacing w:before="0" w:after="160" w:line="360" w:lineRule="auto"/>
        <w:ind w:firstLine="0"/>
        <w:jc w:val="both"/>
      </w:pPr>
      <w:r>
        <w:t xml:space="preserve">On governance, </w:t>
      </w:r>
      <w:bookmarkStart w:id="252" w:name="Sastry2024txt"/>
      <w:hyperlink w:anchor="Sastry2024" w:history="1">
        <w:r>
          <w:rPr>
            <w:color w:val="1F3864"/>
            <w:u w:val="single"/>
          </w:rPr>
          <w:t xml:space="preserve">Sastry et al. (2024)</w:t>
        </w:r>
      </w:hyperlink>
      <w:bookmarkEnd w:id="252"/>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6" w:name="Pilz2025txt"/>
      <w:hyperlink w:anchor="Pilz2025" w:history="1">
        <w:r>
          <w:rPr>
            <w:color w:val="1F3864"/>
            <w:u w:val="single"/>
          </w:rPr>
          <w:t xml:space="preserve">Pilz et al. (2025)</w:t>
        </w:r>
      </w:hyperlink>
      <w:bookmarkEnd w:id="266"/>
      <w:r>
        <w:t xml:space="preserve"> project that data center power demand could reach 327 GW by 2030. The </w:t>
      </w:r>
      <w:bookmarkStart w:id="272" w:name="WorldBank2025txt"/>
      <w:hyperlink w:anchor="WorldBank2025" w:history="1">
        <w:r>
          <w:rPr>
            <w:color w:val="1F3864"/>
            <w:u w:val="single"/>
          </w:rPr>
          <w:t xml:space="preserve">World Bank (2025)</w:t>
        </w:r>
      </w:hyperlink>
      <w:bookmarkEnd w:id="272"/>
      <w:r>
        <w:t xml:space="preserve"> documents the resulting divide (high-income countries hold 77 percent of colocation capacity), but does not offer a formal framework linking costs to trade patterns. </w:t>
      </w:r>
      <w:bookmarkStart w:id="253" w:name="Biglaiser2024txt"/>
      <w:hyperlink w:anchor="Biglaiser2024" w:history="1">
        <w:r>
          <w:rPr>
            <w:color w:val="1F3864"/>
            <w:u w:val="single"/>
          </w:rPr>
          <w:t xml:space="preserve">Biglaiser et al. (2024)</w:t>
        </w:r>
      </w:hyperlink>
      <w:bookmarkEnd w:id="253"/>
      <w:r>
        <w:t xml:space="preserve"> survey the cloud market in IO, and </w:t>
      </w:r>
      <w:bookmarkStart w:id="267" w:name="Stojkoski2024txt"/>
      <w:hyperlink w:anchor="Stojkoski2024" w:history="1">
        <w:r>
          <w:rPr>
            <w:color w:val="1F3864"/>
            <w:u w:val="single"/>
          </w:rPr>
          <w:t xml:space="preserve">Stojkoski et al. (2024)</w:t>
        </w:r>
      </w:hyperlink>
      <w:bookmarkEnd w:id="267"/>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construction-cost estimates are described in Appendix E.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4" w:name="Ohlin1933txt"/>
      <w:hyperlink w:anchor="Ohlin1933" w:history="1">
        <w:r>
          <w:rPr>
            <w:color w:val="1F3864"/>
            <w:u w:val="single"/>
          </w:rPr>
          <w:t xml:space="preserve">Ohlin 1933</w:t>
        </w:r>
      </w:hyperlink>
      <w:bookmarkEnd w:id="254"/>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5" w:name="Antras2003txt"/>
      <w:hyperlink w:anchor="Antras2003" w:history="1">
        <w:r>
          <w:rPr>
            <w:color w:val="1F3864"/>
            <w:u w:val="single"/>
          </w:rPr>
          <w:t xml:space="preserve">Antràs 2003</w:t>
        </w:r>
      </w:hyperlink>
      <w:bookmarkEnd w:id="255"/>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b w:val="0"/>
          <w:i/>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b w:val="0"/>
          <w:i/>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regime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they raise world prices, making imports more expensive.</w:t>
      </w:r>
      <w:r>
        <w:rPr>
          <w:rStyle w:val="FootnoteReference"/>
        </w:rPr>
        <w:footnoteReference w:id="22"/>
      </w:r>
    </w:p>
    <w:p>
      <w:pPr>
        <w:spacing w:before="0" w:after="160" w:line="360" w:lineRule="auto"/>
        <w:ind w:firstLine="0"/>
        <w:jc w:val="both"/>
      </w:pPr>
      <w:r>
        <w:rPr>
          <w:b w:val="0"/>
          <w:i/>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b w:val="0"/>
          <w:i/>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b w:val="0"/>
          <w:i/>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b w:val="0"/>
          <w:i/>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b w:val="0"/>
          <w:i/>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b w:val="0"/>
          <w:i/>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b w:val="0"/>
          <w:i/>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b w:val="0"/>
          <w:i/>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b w:val="0"/>
          <w:i/>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 xml:space="preserve"> (Appendix A).</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7" w:name="IMF2025txt"/>
      <w:hyperlink w:anchor="IMF2025" w:history="1">
        <w:r>
          <w:rPr>
            <w:color w:val="1F3864"/>
            <w:u w:val="single"/>
          </w:rPr>
          <w:t xml:space="preserve">IMF 2025</w:t>
        </w:r>
      </w:hyperlink>
      <w:bookmarkEnd w:id="257"/>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Appendix G develops a symmetric specification that additionally corrects OECD and high-income tariff distortions—carbon externalities and industrial cross-subsidies—and confirms that the qualitative ranking is reinforced rather than overturned.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indicating that low production cost alone is not sufficient to attract investment.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8" w:name="AykutEtAl2026txt"/>
      <w:hyperlink w:anchor="AykutEtAl2026" w:history="1">
        <w:r>
          <w:rPr>
            <w:color w:val="1F3864"/>
            <w:u w:val="single"/>
          </w:rPr>
          <w:t xml:space="preserve">Aykut et al. 2026</w:t>
        </w:r>
      </w:hyperlink>
      <w:bookmarkEnd w:id="268"/>
      <w:r>
        <w:t xml:space="preserve">). Most investment flows occur between geopolitical allies. This pattern is consistent with the bilateral sovereignty premium and suggests that cost alone does not determine where capacity is built (</w:t>
      </w:r>
      <w:bookmarkStart w:id="258" w:name="StraubEtAl2026txt"/>
      <w:hyperlink w:anchor="StraubEtAl2026" w:history="1">
        <w:r>
          <w:rPr>
            <w:color w:val="1F3864"/>
            <w:u w:val="single"/>
          </w:rPr>
          <w:t xml:space="preserve">Straub et al. 2026</w:t>
        </w:r>
      </w:hyperlink>
      <w:bookmarkEnd w:id="258"/>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9" w:name="KatzEtAl2025txt"/>
      <w:hyperlink w:anchor="KatzEtAl2025" w:history="1">
        <w:r>
          <w:rPr>
            <w:color w:val="1F3864"/>
            <w:u w:val="single"/>
          </w:rPr>
          <w:t xml:space="preserve">Katz et al. 2025</w:t>
        </w:r>
      </w:hyperlink>
      <w:bookmarkEnd w:id="259"/>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b w:val="0"/>
          <w:i/>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b w:val="0"/>
          <w:i/>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b w:val="0"/>
          <w:i/>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60" w:name="ACR2012txt"/>
      <w:hyperlink w:anchor="ACR2012" w:history="1">
        <w:r>
          <w:rPr>
            <w:color w:val="1F3864"/>
            <w:u w:val="single"/>
          </w:rPr>
          <w:t xml:space="preserve">Arkolakis et al. 2012</w:t>
        </w:r>
      </w:hyperlink>
      <w:bookmarkEnd w:id="260"/>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the logic of sovereignty to routine commercial computation. In the model, the bilateral premium shifts most countries toward domestic production, reducing the gains from specialization. The welfare cost is large in dollar terms but modest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b w:val="0"/>
          <w:i/>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(Appendix C)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b w:val="0"/>
          <w:i/>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b w:val="0"/>
          <w:i/>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b w:val="0"/>
          <w:i/>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b w:val="0"/>
          <w:i/>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9" w:name="IMF2025txt"/>
      <w:hyperlink w:anchor="IMF2025" w:history="1">
        <w:r>
          <w:rPr>
            <w:color w:val="1F3864"/>
            <w:u w:val="single"/>
          </w:rPr>
          <w:t xml:space="preserve">IMF 2025</w:t>
        </w:r>
      </w:hyperlink>
      <w:bookmarkEnd w:id="269"/>
      <w:r>
        <w:t xml:space="preserve">). </w:t>
      </w:r>
      <w:bookmarkStart w:id="261" w:name="AlvarezEtAl2026txt"/>
      <w:hyperlink w:anchor="AlvarezEtAl2026" w:history="1">
        <w:r>
          <w:rPr>
            <w:color w:val="1F3864"/>
            <w:u w:val="single"/>
          </w:rPr>
          <w:t xml:space="preserve">Alvarez et al. (2026)</w:t>
        </w:r>
      </w:hyperlink>
      <w:bookmarkEnd w:id="261"/>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b w:val="0"/>
          <w:i/>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b w:val="0"/>
          <w:i/>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b w:val="0"/>
          <w:i/>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 Designing Warehouse-Scale Machines</w:t>
      </w:r>
      <w:r>
        <w:t>,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orenstein2012"/>
      <w:hyperlink w:anchor="Borenstein2012txt" w:history="1">
        <w:r>
          <w:rPr>
            <w:color w:val="1F3864"/>
            <w:u w:val="single"/>
          </w:rPr>
          <w:t xml:space="preserve">Borenstein, S. (2012). </w:t>
        </w:r>
      </w:hyperlink>
      <w:r>
        <w:t xml:space="preserve">“The Redistributional Impact of Nonlinear Electricity Pricing.” </w:t>
      </w:r>
      <w:r>
        <w:rPr>
          <w:i/>
        </w:rPr>
        <w:t>American Economic Journal: Economic Policy</w:t>
      </w:r>
      <w:r>
        <w:t>, 4(3): 56–90.</w:t>
      </w:r>
      <w:bookmarkEnd w:id="512"/>
    </w:p>
    <w:p>
      <w:pPr>
        <w:spacing w:before="0" w:after="80" w:line="240" w:lineRule="exact"/>
        <w:ind w:hanging="720" w:left="720"/>
        <w:jc w:val="both"/>
      </w:pPr>
      <w:bookmarkStart w:id="513"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3"/>
    </w:p>
    <w:p>
      <w:pPr>
        <w:spacing w:before="0" w:after="80" w:line="240" w:lineRule="exact"/>
        <w:ind w:hanging="720" w:left="720"/>
        <w:jc w:val="both"/>
      </w:pPr>
      <w:bookmarkStart w:id="514" w:name="Calcaterra2024"/>
      <w:hyperlink w:anchor="Calcaterra2024txt" w:history="1">
        <w:r>
          <w:rPr>
            <w:color w:val="1F3864"/>
            <w:u w:val="single"/>
          </w:rPr>
          <w:t xml:space="preserve">Calcaterra, M., Reis, L., Fragkos, P., Briera, T., Boer, H., Egli, F., et al. (2024). </w:t>
        </w:r>
      </w:hyperlink>
      <w:r>
        <w:t xml:space="preserve">“Reducing the Cost of Capital to Finance the Energy Transition in Developing Countries.” </w:t>
      </w:r>
      <w:r>
        <w:rPr>
          <w:i/>
        </w:rPr>
        <w:t>Nature Energy</w:t>
      </w:r>
      <w:r>
        <w:t>, 9(10): 1241–1251.</w:t>
      </w:r>
      <w:bookmarkEnd w:id="514"/>
    </w:p>
    <w:p>
      <w:pPr>
        <w:spacing w:before="0" w:after="80" w:line="240" w:lineRule="exact"/>
        <w:ind w:hanging="720" w:left="720"/>
        <w:jc w:val="both"/>
      </w:pPr>
      <w:bookmarkStart w:id="515"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5"/>
    </w:p>
    <w:p>
      <w:pPr>
        <w:spacing w:before="0" w:after="80" w:line="240" w:lineRule="exact"/>
        <w:ind w:hanging="720" w:left="720"/>
        <w:jc w:val="both"/>
      </w:pPr>
      <w:bookmarkStart w:id="516"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6"/>
    </w:p>
    <w:p>
      <w:pPr>
        <w:spacing w:before="0" w:after="80" w:line="240" w:lineRule="exact"/>
        <w:ind w:hanging="720" w:left="720"/>
        <w:jc w:val="both"/>
      </w:pPr>
      <w:bookmarkStart w:id="51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7"/>
    </w:p>
    <w:p>
      <w:pPr>
        <w:spacing w:before="0" w:after="80" w:line="240" w:lineRule="exact"/>
        <w:ind w:hanging="720" w:left="720"/>
        <w:jc w:val="both"/>
      </w:pPr>
      <w:bookmarkStart w:id="518" w:name="DavisHausman2016"/>
      <w:hyperlink w:anchor="DavisHausman2016txt" w:history="1">
        <w:r>
          <w:rPr>
            <w:color w:val="1F3864"/>
            <w:u w:val="single"/>
          </w:rPr>
          <w:t xml:space="preserve">Davis, L., and C. Hausman. (2016). </w:t>
        </w:r>
      </w:hyperlink>
      <w:r>
        <w:t xml:space="preserve">“Market Impacts of a Nuclear Power Plant Closure.” </w:t>
      </w:r>
      <w:r>
        <w:rPr>
          <w:i/>
        </w:rPr>
        <w:t>American Economic Journal: Applied Economics</w:t>
      </w:r>
      <w:r>
        <w:t>, 8(2): 92–122.</w:t>
      </w:r>
      <w:bookmarkEnd w:id="518"/>
    </w:p>
    <w:p>
      <w:pPr>
        <w:spacing w:before="0" w:after="80" w:line="240" w:lineRule="exact"/>
        <w:ind w:hanging="720" w:left="720"/>
        <w:jc w:val="both"/>
      </w:pPr>
      <w:bookmarkStart w:id="51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9"/>
    </w:p>
    <w:p>
      <w:pPr>
        <w:spacing w:before="0" w:after="80" w:line="240" w:lineRule="exact"/>
        <w:ind w:hanging="720" w:left="720"/>
        <w:jc w:val="both"/>
      </w:pPr>
      <w:bookmarkStart w:id="520" w:name="Deloitte2020"/>
      <w:hyperlink w:anchor="Deloitte2020txt" w:history="1">
        <w:r>
          <w:rPr>
            <w:color w:val="1F3864"/>
            <w:u w:val="single"/>
          </w:rPr>
          <w:t xml:space="preserve">Deloitte and Google. (2020). </w:t>
        </w:r>
      </w:hyperlink>
      <w:r>
        <w:t>“Milliseconds Make Millions.” Deloitte Digital and Google.</w:t>
      </w:r>
      <w:bookmarkEnd w:id="520"/>
    </w:p>
    <w:p>
      <w:pPr>
        <w:spacing w:before="0" w:after="80" w:line="240" w:lineRule="exact"/>
        <w:ind w:hanging="720" w:left="720"/>
        <w:jc w:val="both"/>
      </w:pPr>
      <w:bookmarkStart w:id="52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21"/>
    </w:p>
    <w:p>
      <w:pPr>
        <w:spacing w:before="0" w:after="80" w:line="240" w:lineRule="exact"/>
        <w:ind w:hanging="720" w:left="720"/>
        <w:jc w:val="both"/>
      </w:pPr>
      <w:bookmarkStart w:id="52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2"/>
    </w:p>
    <w:p>
      <w:pPr>
        <w:spacing w:before="0" w:after="80" w:line="240" w:lineRule="exact"/>
        <w:ind w:hanging="720" w:left="720"/>
        <w:jc w:val="both"/>
      </w:pPr>
      <w:bookmarkStart w:id="523" w:name="EpochAI2024"/>
      <w:r>
        <w:rPr>
          <w:color w:val="1F3864"/>
          <w:u w:val="single"/>
        </w:rPr>
        <w:t xml:space="preserve">Epoch AI. (2024). </w:t>
      </w:r>
      <w:r>
        <w:t>“The Training Compute of Notable AI Models.” epochai.org.</w:t>
      </w:r>
      <w:bookmarkEnd w:id="523"/>
    </w:p>
    <w:p>
      <w:pPr>
        <w:spacing w:before="0" w:after="80" w:line="240" w:lineRule="exact"/>
        <w:ind w:hanging="720" w:left="720"/>
        <w:jc w:val="both"/>
      </w:pPr>
      <w:bookmarkStart w:id="52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4"/>
    </w:p>
    <w:p>
      <w:pPr>
        <w:spacing w:before="0" w:after="80" w:line="240" w:lineRule="exact"/>
        <w:ind w:hanging="720" w:left="720"/>
        <w:jc w:val="both"/>
      </w:pPr>
      <w:bookmarkStart w:id="52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5"/>
    </w:p>
    <w:p>
      <w:pPr>
        <w:spacing w:before="0" w:after="80" w:line="240" w:lineRule="exact"/>
        <w:ind w:hanging="720" w:left="720"/>
        <w:jc w:val="both"/>
      </w:pPr>
      <w:bookmarkStart w:id="526"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6"/>
    </w:p>
    <w:p>
      <w:pPr>
        <w:spacing w:before="0" w:after="80" w:line="240" w:lineRule="exact"/>
        <w:ind w:hanging="720" w:left="720"/>
        <w:jc w:val="both"/>
      </w:pPr>
      <w:bookmarkStart w:id="527"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7"/>
    </w:p>
    <w:p>
      <w:pPr>
        <w:spacing w:before="0" w:after="80" w:line="240" w:lineRule="exact"/>
        <w:ind w:hanging="720" w:left="720"/>
        <w:jc w:val="both"/>
      </w:pPr>
      <w:bookmarkStart w:id="528"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8"/>
    </w:p>
    <w:p>
      <w:pPr>
        <w:spacing w:before="0" w:after="80" w:line="240" w:lineRule="exact"/>
        <w:ind w:hanging="720" w:left="720"/>
        <w:jc w:val="both"/>
      </w:pPr>
      <w:bookmarkStart w:id="529" w:name="Google2024"/>
      <w:hyperlink w:anchor="Google2024txt" w:history="1">
        <w:r>
          <w:rPr>
            <w:color w:val="1F3864"/>
            <w:u w:val="single"/>
          </w:rPr>
          <w:t xml:space="preserve">Google. </w:t>
        </w:r>
      </w:hyperlink>
      <w:r>
        <w:t xml:space="preserve">(2024). </w:t>
      </w:r>
      <w:r>
        <w:rPr>
          <w:i/>
        </w:rPr>
        <w:t>2024 Environmental Report</w:t>
      </w:r>
      <w:r>
        <w:t>. sustainability.google.</w:t>
      </w:r>
      <w:bookmarkEnd w:id="529"/>
    </w:p>
    <w:p>
      <w:pPr>
        <w:spacing w:before="0" w:after="80" w:line="240" w:lineRule="exact"/>
        <w:ind w:hanging="720" w:left="720"/>
        <w:jc w:val="both"/>
      </w:pPr>
      <w:bookmarkStart w:id="530"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30"/>
    </w:p>
    <w:p>
      <w:pPr>
        <w:spacing w:before="0" w:after="80" w:line="240" w:lineRule="exact"/>
        <w:ind w:hanging="720" w:left="720"/>
        <w:jc w:val="both"/>
      </w:pPr>
      <w:bookmarkStart w:id="531"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31"/>
    </w:p>
    <w:p>
      <w:pPr>
        <w:spacing w:before="0" w:after="80" w:line="240" w:lineRule="exact"/>
        <w:ind w:hanging="720" w:left="720"/>
        <w:jc w:val="both"/>
      </w:pPr>
      <w:bookmarkStart w:id="532"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2"/>
    </w:p>
    <w:p>
      <w:pPr>
        <w:spacing w:before="0" w:after="80" w:line="240" w:lineRule="exact"/>
        <w:ind w:hanging="720" w:left="720"/>
        <w:jc w:val="both"/>
      </w:pPr>
      <w:bookmarkStart w:id="53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3"/>
    </w:p>
    <w:p>
      <w:pPr>
        <w:spacing w:before="0" w:after="80" w:line="240" w:lineRule="exact"/>
        <w:ind w:hanging="720" w:left="720"/>
        <w:jc w:val="both"/>
      </w:pPr>
      <w:bookmarkStart w:id="534" w:name="IEA2025"/>
      <w:hyperlink w:anchor="IEA2025txt" w:history="1">
        <w:r>
          <w:rPr>
            <w:color w:val="1F3864"/>
            <w:u w:val="single"/>
          </w:rPr>
          <w:t xml:space="preserve">IEA. (2025). </w:t>
        </w:r>
      </w:hyperlink>
      <w:r>
        <w:t>“Energy Demand from AI.” Published online at iea.org.</w:t>
      </w:r>
      <w:bookmarkEnd w:id="534"/>
    </w:p>
    <w:p>
      <w:pPr>
        <w:spacing w:before="0" w:after="80" w:line="240" w:lineRule="exact"/>
        <w:ind w:hanging="720" w:left="720"/>
        <w:jc w:val="both"/>
      </w:pPr>
      <w:bookmarkStart w:id="53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5"/>
    </w:p>
    <w:p>
      <w:pPr>
        <w:spacing w:before="0" w:after="80" w:line="240" w:lineRule="exact"/>
        <w:ind w:hanging="720" w:left="720"/>
        <w:jc w:val="both"/>
      </w:pPr>
      <w:bookmarkStart w:id="536"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6"/>
    </w:p>
    <w:p>
      <w:pPr>
        <w:spacing w:before="0" w:after="80" w:line="240" w:lineRule="exact"/>
        <w:ind w:hanging="720" w:left="720"/>
        <w:jc w:val="both"/>
      </w:pPr>
      <w:bookmarkStart w:id="537"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7"/>
    </w:p>
    <w:p>
      <w:pPr>
        <w:spacing w:before="0" w:after="80" w:line="240" w:lineRule="exact"/>
        <w:ind w:hanging="720" w:left="720"/>
        <w:jc w:val="both"/>
      </w:pPr>
      <w:bookmarkStart w:id="53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8"/>
    </w:p>
    <w:p>
      <w:pPr>
        <w:spacing w:before="0" w:after="80" w:line="240" w:lineRule="exact"/>
        <w:ind w:hanging="720" w:left="720"/>
        <w:jc w:val="both"/>
      </w:pPr>
      <w:bookmarkStart w:id="53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9"/>
    </w:p>
    <w:p>
      <w:pPr>
        <w:spacing w:before="0" w:after="80" w:line="240" w:lineRule="exact"/>
        <w:ind w:hanging="720" w:left="720"/>
        <w:jc w:val="both"/>
      </w:pPr>
      <w:bookmarkStart w:id="540"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40"/>
    </w:p>
    <w:p>
      <w:pPr>
        <w:spacing w:before="0" w:after="80" w:line="240" w:lineRule="exact"/>
        <w:ind w:hanging="720" w:left="720"/>
        <w:jc w:val="both"/>
      </w:pPr>
      <w:bookmarkStart w:id="54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41"/>
    </w:p>
    <w:p>
      <w:pPr>
        <w:spacing w:before="0" w:after="80" w:line="240" w:lineRule="exact"/>
        <w:ind w:hanging="720" w:left="720"/>
        <w:jc w:val="both"/>
      </w:pPr>
      <w:bookmarkStart w:id="542"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2"/>
    </w:p>
    <w:p>
      <w:pPr>
        <w:spacing w:before="0" w:after="80" w:line="240" w:lineRule="exact"/>
        <w:ind w:hanging="720" w:left="720"/>
        <w:jc w:val="both"/>
      </w:pPr>
      <w:bookmarkStart w:id="543" w:name="NVIDIA2024"/>
      <w:r>
        <w:rPr>
          <w:color w:val="1F3864"/>
          <w:u w:val="single"/>
        </w:rPr>
        <w:t xml:space="preserve">NVIDIA. </w:t>
      </w:r>
      <w:r>
        <w:t xml:space="preserve">(2024). </w:t>
      </w:r>
      <w:r>
        <w:rPr>
          <w:i/>
        </w:rPr>
        <w:t>NVIDIA H100 Tensor Core GPU Datasheet</w:t>
      </w:r>
      <w:r>
        <w:t>. nvidia.com.</w:t>
      </w:r>
      <w:bookmarkEnd w:id="543"/>
    </w:p>
    <w:p>
      <w:pPr>
        <w:spacing w:before="0" w:after="80" w:line="240" w:lineRule="exact"/>
        <w:ind w:hanging="720" w:left="720"/>
        <w:jc w:val="both"/>
      </w:pPr>
      <w:bookmarkStart w:id="54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4"/>
    </w:p>
    <w:p>
      <w:pPr>
        <w:spacing w:before="0" w:after="80" w:line="240" w:lineRule="exact"/>
        <w:ind w:hanging="720" w:left="720"/>
        <w:jc w:val="both"/>
      </w:pPr>
      <w:bookmarkStart w:id="545"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5"/>
    </w:p>
    <w:p>
      <w:pPr>
        <w:spacing w:before="0" w:after="80" w:line="240" w:lineRule="exact"/>
        <w:ind w:hanging="720" w:left="720"/>
        <w:jc w:val="both"/>
      </w:pPr>
      <w:bookmarkStart w:id="546" w:name="Sastry2024"/>
      <w:hyperlink w:anchor="Sastry2024txt" w:history="1">
        <w:r>
          <w:rPr>
            <w:color w:val="1F3864"/>
            <w:u w:val="single"/>
          </w:rPr>
          <w:t xml:space="preserve">Sastry, G., Heim, L., Belfield, H., Anderljung, M., Brundage, M., Hazell, J., et al. (2024). </w:t>
        </w:r>
      </w:hyperlink>
      <w:r>
        <w:t>“Computing Power and the Governance of Artificial Intelligence.” arXiv:2402.08797.</w:t>
      </w:r>
      <w:bookmarkEnd w:id="546"/>
    </w:p>
    <w:p>
      <w:pPr>
        <w:spacing w:before="0" w:after="80" w:line="240" w:lineRule="exact"/>
        <w:ind w:hanging="720" w:left="720"/>
        <w:jc w:val="both"/>
      </w:pPr>
      <w:bookmarkStart w:id="547"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7"/>
    </w:p>
    <w:p>
      <w:pPr>
        <w:spacing w:before="0" w:after="80" w:line="240" w:lineRule="exact"/>
        <w:ind w:hanging="720" w:left="720"/>
        <w:jc w:val="both"/>
      </w:pPr>
      <w:bookmarkStart w:id="548" w:name="Stojkoski2024"/>
      <w:hyperlink w:anchor="Stojkoski2024txt" w:history="1">
        <w:r>
          <w:rPr>
            <w:color w:val="1F3864"/>
            <w:u w:val="single"/>
          </w:rPr>
          <w:t xml:space="preserve">Stojkoski, V., Koch, P., Coll, E., and C. Hidalgo. (2024). </w:t>
        </w:r>
      </w:hyperlink>
      <w:r>
        <w:t xml:space="preserve">“Estimating Digital Product Trade through Corporate Revenue Data.” </w:t>
      </w:r>
      <w:r>
        <w:rPr>
          <w:i/>
        </w:rPr>
        <w:t>Nature Communications</w:t>
      </w:r>
      <w:r>
        <w:t>, 15: 5262.</w:t>
      </w:r>
      <w:bookmarkEnd w:id="548"/>
    </w:p>
    <w:p>
      <w:pPr>
        <w:spacing w:before="0" w:after="80" w:line="240" w:lineRule="exact"/>
        <w:ind w:hanging="720" w:left="720"/>
        <w:jc w:val="both"/>
      </w:pPr>
      <w:bookmarkStart w:id="549" w:name="StraubEtAl2026"/>
      <w:hyperlink w:anchor="StraubEtAl2026txt" w:history="1">
        <w:r>
          <w:rPr>
            <w:color w:val="1F3864"/>
            <w:u w:val="single"/>
          </w:rPr>
          <w:t xml:space="preserve">Straub, S., He, H., Li, Y., Lyu, X., Steinbuks, J., Vergara Cobos, E., et al.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9"/>
    </w:p>
    <w:p>
      <w:pPr>
        <w:spacing w:before="0" w:after="80" w:line="240" w:lineRule="exact"/>
        <w:ind w:hanging="720" w:left="720"/>
        <w:jc w:val="both"/>
      </w:pPr>
      <w:bookmarkStart w:id="550"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50"/>
    </w:p>
    <w:p>
      <w:pPr>
        <w:spacing w:before="0" w:after="80" w:line="240" w:lineRule="exact"/>
        <w:ind w:hanging="720" w:left="720"/>
        <w:jc w:val="both"/>
      </w:pPr>
      <w:bookmarkStart w:id="55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51"/>
    </w:p>
    <w:p>
      <w:pPr>
        <w:spacing w:before="0" w:after="80" w:line="240" w:lineRule="exact"/>
        <w:ind w:hanging="720" w:left="720"/>
        <w:jc w:val="both"/>
      </w:pPr>
      <w:bookmarkStart w:id="55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2"/>
    </w:p>
    <w:p>
      <w:pPr>
        <w:spacing w:before="0" w:after="80" w:line="240" w:lineRule="exact"/>
        <w:ind w:hanging="720" w:left="720"/>
        <w:jc w:val="both"/>
      </w:pPr>
      <w:bookmarkStart w:id="55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3"/>
    </w:p>
    <w:p>
      <w:pPr>
        <w:spacing w:before="0" w:after="80" w:line="240" w:lineRule="exact"/>
        <w:ind w:hanging="720" w:left="720"/>
        <w:jc w:val="both"/>
      </w:pPr>
      <w:bookmarkStart w:id="554" w:name="WorldBank2025"/>
      <w:hyperlink w:anchor="WorldBank2025txt" w:history="1">
        <w:r>
          <w:rPr>
            <w:color w:val="1F3864"/>
            <w:u w:val="single"/>
          </w:rPr>
          <w:t xml:space="preserve">World Bank. </w:t>
        </w:r>
      </w:hyperlink>
      <w:r>
        <w:t xml:space="preserve">(2025). </w:t>
      </w:r>
      <w:r>
        <w:rPr>
          <w:i/>
        </w:rPr>
        <w:t>Digital Progress and Trends Report 2025: Strengthening AI Foundations</w:t>
      </w:r>
      <w:r>
        <w:t xml:space="preserve">. Washington, DC: </w:t>
      </w:r>
      <w:bookmarkStart w:id="241" w:name="WorldBank2024txt"/>
      <w:hyperlink w:anchor="WorldBank2024" w:history="1">
        <w:r>
          <w:rPr>
            <w:color w:val="1F3864"/>
            <w:u w:val="single"/>
          </w:rPr>
          <w:t xml:space="preserve">World Bank</w:t>
        </w:r>
      </w:hyperlink>
      <w:bookmarkEnd w:id="241"/>
      <w:r>
        <w:t xml:space="preserve">.</w:t>
      </w:r>
      <w:bookmarkEnd w:id="554"/>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1728"/>
            <w:vMerge w:val="restart"/>
          </w:tcPr>
          <w:p>
            <w:pPr>
              <w:jc w:val="center"/>
              <w:spacing w:before="20" w:after="20"/>
            </w:pPr>
            <w:r/>
            <w:r>
              <w:rPr>
                <w:b w:val="0"/>
                <w:i w:val="0"/>
                <w:sz w:val="14"/>
              </w:rPr>
            </w:r>
          </w:p>
          <w:p>
            <w:pPr>
              <w:jc w:val="center"/>
              <w:spacing w:before="20" w:after="20"/>
            </w:pPr>
            <w:r/>
            <w:r>
              <w:rPr>
                <w:b w:val="0"/>
                <w:i w:val="0"/>
                <w:sz w:val="14"/>
              </w:rPr>
            </w:r>
          </w:p>
        </w:tc>
        <w:tc>
          <w:tcPr>
            <w:tcW w:type="dxa" w:w="5184"/>
            <w:gridSpan w:val="3"/>
          </w:tcPr>
          <w:p>
            <w:pPr>
              <w:jc w:val="center"/>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(2) Cost-Recovery</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(3) Bilateral</w:t>
            </w:r>
          </w:p>
        </w:tc>
        <w:tc>
          <w:tcPr>
            <w:gridSpan w:val="3"/>
            <w:tcBorders>
              <w:top w:val="single" w:sz="4" w:space="0" w:color="auto"/>
              <w:bottom w:val="single" w:sz="4" w:space="0" w:color="auto"/>
            </w:tcBorders>
            <w:tcW w:w="400" w:type="dxa"/>
          </w:tcPr>
          <w:p>
            <w:pPr>
              <w:jc w:val="center"/>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W w:w="450" w:type="dxa"/>
          </w:tcPr>
          <w:p>
            <w:pPr>
              <w:jc w:val="center"/>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w:t>
      </w:r>
      <w:bookmarkStart w:id="262" w:name="Borenstein2012txt"/>
      <w:hyperlink w:anchor="Borenstein2012" w:history="1">
        <w:r>
          <w:rPr>
            <w:color w:val="1F3864"/>
            <w:u w:val="single"/>
          </w:rPr>
          <w:t xml:space="preserve">Borenstein (2012)</w:t>
        </w:r>
      </w:hyperlink>
      <w:bookmarkEnd w:id="262"/>
      <w:r>
        <w:t xml:space="preserve"> and </w:t>
      </w:r>
      <w:bookmarkStart w:id="244" w:name="DavisHausman2016txt"/>
      <w:hyperlink w:anchor="DavisHausman2016" w:history="1">
        <w:r>
          <w:rPr>
            <w:color w:val="1F3864"/>
            <w:u w:val="single"/>
          </w:rPr>
          <w:t xml:space="preserve">Davis and Hausman (2016)</w:t>
        </w:r>
      </w:hyperlink>
      <w:bookmarkEnd w:id="244"/>
      <w:r>
        <w:t xml:space="preserve">. Korea receives $0.020/kWh reflecting KEPCO industrial tariffs below cost-of-service (OECD Energy Policy Review). All other countries receive zero.</w:t>
      </w:r>
      <w:r>
        <w:rPr>
          <w:rStyle w:val="FootnoteReference"/>
        </w:rPr>
        <w:footnoteReference w:id="90"/>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90">
    <w:p>
      <w:pPr>
        <w:pStyle w:val="FootnoteText"/>
      </w:pPr>
      <w:r>
        <w:rPr>
          <w:rStyle w:val="FootnoteReference"/>
        </w:rPr>
        <w:footnoteRef/>
      </w:r>
      <w:r>
        <w:t xml:space="preserve"> Data sources for the carbon-price and cross-subsidy adjustments: EMBER, Yearly Electricity Data (2025 release); Agora Energiewende and BDEW industrial electricity-price analyses; and OECD, Energy Policy Reviews: Korea.</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